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B5CAD"/>
          <w:sz w:val="30"/>
          <w:szCs w:val="30"/>
        </w:rPr>
        <w:t xml:space="preserve">Plan de pruebas · AsesorIA  </w:t>
      </w:r>
      <w:r>
        <w:rPr>
          <w:rFonts w:ascii="Calibri" w:cs="Calibri" w:eastAsia="Calibri" w:hAnsi="Calibri"/>
          <w:i/>
          <w:iCs/>
          <w:color w:val="5B6675"/>
          <w:sz w:val="18"/>
          <w:szCs w:val="18"/>
        </w:rPr>
        <w:t xml:space="preserve">Diseño de una estrategia de testing automatizado (ISTQB · ágil · JUnit 5 + Playwright)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43"/>
        <w:gridCol w:w="1843"/>
        <w:gridCol w:w="3277"/>
        <w:gridCol w:w="3277"/>
      </w:tblGrid>
      <w:tr>
        <w:trPr>
          <w:tblHeader/>
        </w:trPr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Estudiante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Fecha</w:t>
            </w:r>
          </w:p>
        </w:tc>
        <w:tc>
          <w:tcPr>
            <w:tcW w:type="dxa" w:w="327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Sistema bajo prueba</w:t>
            </w:r>
          </w:p>
        </w:tc>
        <w:tc>
          <w:tcPr>
            <w:tcW w:type="dxa" w:w="327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Herramientas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Manuela Larrea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26 de septiembre de 2026</w:t>
            </w:r>
          </w:p>
        </w:tc>
        <w:tc>
          <w:tcPr>
            <w:tcW w:type="dxa" w:w="327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AsesorIA v0.1.0 – asistente de IA para asesores financieros</w:t>
            </w:r>
          </w:p>
        </w:tc>
        <w:tc>
          <w:tcPr>
            <w:tcW w:type="dxa" w:w="327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Java 17 · JUnit 5.11 · Playwright 1.56 · FastAPI · scikit-learn · pytest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40" w:before="120"/>
      </w:pPr>
      <w:r>
        <w:rPr>
          <w:rFonts w:ascii="Calibri" w:cs="Calibri" w:eastAsia="Calibri" w:hAnsi="Calibri"/>
          <w:b/>
          <w:bCs/>
          <w:color w:val="0B5CAD"/>
          <w:sz w:val="22"/>
          <w:szCs w:val="22"/>
        </w:rPr>
        <w:t xml:space="preserve">1. Contexto del sistema bajo prueba</w:t>
      </w:r>
    </w:p>
    <w:p>
      <w:pPr>
        <w:spacing w:after="50" w:line="236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AsesorIA es una aplicación web conversacional construida para esta actividad, inspirada en los asistentes corporativos con IA que se despliegan en entidades financieras (chat gobernado sobre una base de conocimiento): el asesor escribe la consulta del cliente y el sistema devuelve la respuesta oficial del producto, la intención detectada y una medida de confianza. Se eligió porque concentra los retos de prueba propios de la IA en banca: paráfrasis del lenguaje natural, riesgo de respuestas inventadas y manejo de datos sensibles bajo exigencia regulatoria.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43"/>
        <w:gridCol w:w="8397"/>
      </w:tblGrid>
      <w:tr>
        <w:trPr>
          <w:tblHeader/>
        </w:trPr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Dimensión</w:t>
            </w:r>
          </w:p>
        </w:tc>
        <w:tc>
          <w:tcPr>
            <w:tcW w:type="dxa" w:w="839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Tipo y usuarios</w:t>
            </w:r>
          </w:p>
        </w:tc>
        <w:tc>
          <w:tcPr>
            <w:tcW w:type="dxa" w:w="839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Web monolítica: páginas de login, chat e historial + API JSON (/api/chat, /api/history, /api/health). Usuarios: asesores de servicio y supervisores (credenciales demo asesor.demo / Asesor2026*).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Motor de IA (NLU)</w:t>
            </w:r>
          </w:p>
        </w:tc>
        <w:tc>
          <w:tcPr>
            <w:tcW w:type="dxa" w:w="839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Clasificación por recuperación: TF-IDF sobre n-gramas de caracteres + similitud coseno contra 50 ejemplos de 10 intenciones (horarios, cuentas, crédito, CDP, tarjetas, transferencias, clave, estado de cuenta, cajeros, fraude). Umbral de confianza 0,40; por debajo responde con un fallback controlado.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Controles de seguridad</w:t>
            </w:r>
          </w:p>
        </w:tc>
        <w:tc>
          <w:tcPr>
            <w:tcW w:type="dxa" w:w="839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Sesión firmada, contraseñas con PBKDF2, rutas protegidas; guardrail de entrada: longitud 1–500, detección de PAN (Luhn) e IBAN → respuesta bloqueada y registro enmascarado.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Entorno tecnológico</w:t>
            </w:r>
          </w:p>
        </w:tc>
        <w:tc>
          <w:tcPr>
            <w:tcW w:type="dxa" w:w="839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SUT: Python 3.11, FastAPI, scikit-learn, uvicorn en localhost:8000. Harness: Java 17, Maven, JUnit 5.11, Playwright 1.56 (Chromium headless), Page Objects; unitarias con pytest; reportes XML para CI.</w:t>
            </w:r>
          </w:p>
        </w:tc>
      </w:tr>
    </w:tbl>
    <w:p>
      <w:pPr>
        <w:spacing w:after="40"/>
      </w:pPr>
    </w:p>
    <w:p>
      <w:pPr>
        <w:pStyle w:val="Heading1"/>
        <w:keepNext/>
        <w:spacing w:after="40" w:before="120"/>
      </w:pPr>
      <w:r>
        <w:rPr>
          <w:rFonts w:ascii="Calibri" w:cs="Calibri" w:eastAsia="Calibri" w:hAnsi="Calibri"/>
          <w:b/>
          <w:bCs/>
          <w:color w:val="0B5CAD"/>
          <w:sz w:val="22"/>
          <w:szCs w:val="22"/>
        </w:rPr>
        <w:t xml:space="preserve">2. Objetivos del proceso de pruebas</w:t>
      </w:r>
    </w:p>
    <w:p>
      <w:pPr>
        <w:pStyle w:val="ListParagraph"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Verificar que autenticación, consulta al asistente, historial y cierre de sesión cumplen los requisitos RF-01 a RF-08, detectando defectos antes de la entrega (las pruebas muestran la presencia de defectos, no su ausencia).</w:t>
      </w:r>
    </w:p>
    <w:p>
      <w:pPr>
        <w:pStyle w:val="ListParagraph"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Validar el componente de IA con un conjunto dorado versionado: intención correcta con confianza ≥ 0,40 y fallback controlado fuera de dominio, mitigando el riesgo de respuestas inventadas.</w:t>
      </w:r>
    </w:p>
    <w:p>
      <w:pPr>
        <w:pStyle w:val="ListParagraph"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Comprobar los controles de seguridad de datos (rutas protegidas, bloqueo y enmascaramiento de PAN/IBAN) acordes con el contexto financiero.</w:t>
      </w:r>
    </w:p>
    <w:p>
      <w:pPr>
        <w:pStyle w:val="ListParagraph"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Construir una base de regresión automatizada en tres niveles (unitario, API, E2E), ejecutable en segundos e integrable en CI, con evidencia reproducible y métricas de línea base (cobertura, éxito, latencia, defectos, esfuerzo).</w:t>
      </w:r>
    </w:p>
    <w:p>
      <w:pPr>
        <w:pStyle w:val="Heading1"/>
        <w:keepNext/>
        <w:spacing w:after="40" w:before="120"/>
      </w:pPr>
      <w:r>
        <w:rPr>
          <w:rFonts w:ascii="Calibri" w:cs="Calibri" w:eastAsia="Calibri" w:hAnsi="Calibri"/>
          <w:b/>
          <w:bCs/>
          <w:color w:val="0B5CAD"/>
          <w:sz w:val="22"/>
          <w:szCs w:val="22"/>
        </w:rPr>
        <w:t xml:space="preserve">3. Escenarios y casos de prueba (principios ISTQB)</w:t>
      </w:r>
    </w:p>
    <w:p>
      <w:pPr>
        <w:spacing w:after="50" w:line="236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Casos diseñados desde los requisitos antes de codificar la interfaz (testing temprano), priorizados por riesgo (A alto, M medio, B bajo), independientes entre sí y con un identificador que viaja hasta el reporte de ejecución.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17"/>
        <w:gridCol w:w="2765"/>
        <w:gridCol w:w="1536"/>
        <w:gridCol w:w="3789"/>
        <w:gridCol w:w="1434"/>
      </w:tblGrid>
      <w:tr>
        <w:trPr>
          <w:tblHeader/>
        </w:trPr>
        <w:tc>
          <w:tcPr>
            <w:tcW w:type="dxa" w:w="7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276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Escenario</w:t>
            </w:r>
          </w:p>
        </w:tc>
        <w:tc>
          <w:tcPr>
            <w:tcW w:type="dxa" w:w="153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Nivel (ISTQB)</w:t>
            </w:r>
          </w:p>
        </w:tc>
        <w:tc>
          <w:tcPr>
            <w:tcW w:type="dxa" w:w="378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Técnicas de diseño</w:t>
            </w:r>
          </w:p>
        </w:tc>
        <w:tc>
          <w:tcPr>
            <w:tcW w:type="dxa" w:w="14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Casos</w:t>
            </w:r>
          </w:p>
        </w:tc>
      </w:tr>
      <w:tr>
        <w:trPr>
          <w:cantSplit/>
        </w:trPr>
        <w:tc>
          <w:tcPr>
            <w:tcW w:type="dxa" w:w="7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E-00</w:t>
            </w:r>
          </w:p>
        </w:tc>
        <w:tc>
          <w:tcPr>
            <w:tcW w:type="dxa" w:w="276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Motor NLU y guardrails (lógica interna)</w:t>
            </w:r>
          </w:p>
        </w:tc>
        <w:tc>
          <w:tcPr>
            <w:tcW w:type="dxa" w:w="153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Componente (pytest)</w:t>
            </w:r>
          </w:p>
        </w:tc>
        <w:tc>
          <w:tcPr>
            <w:tcW w:type="dxa" w:w="378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Partición de equivalencia, valores límite</w:t>
            </w:r>
          </w:p>
        </w:tc>
        <w:tc>
          <w:tcPr>
            <w:tcW w:type="dxa" w:w="14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 pruebas unitarias</w:t>
            </w:r>
          </w:p>
        </w:tc>
      </w:tr>
      <w:tr>
        <w:trPr>
          <w:cantSplit/>
        </w:trPr>
        <w:tc>
          <w:tcPr>
            <w:tcW w:type="dxa" w:w="7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E-01</w:t>
            </w:r>
          </w:p>
        </w:tc>
        <w:tc>
          <w:tcPr>
            <w:tcW w:type="dxa" w:w="276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Autenticación y control de sesión</w:t>
            </w:r>
          </w:p>
        </w:tc>
        <w:tc>
          <w:tcPr>
            <w:tcW w:type="dxa" w:w="153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Sistema / E2E</w:t>
            </w:r>
          </w:p>
        </w:tc>
        <w:tc>
          <w:tcPr>
            <w:tcW w:type="dxa" w:w="378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Casos de uso, transición de estados, pruebas negativas</w:t>
            </w:r>
          </w:p>
        </w:tc>
        <w:tc>
          <w:tcPr>
            <w:tcW w:type="dxa" w:w="14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CP-UI-01 … 04</w:t>
            </w:r>
          </w:p>
        </w:tc>
      </w:tr>
      <w:tr>
        <w:trPr>
          <w:cantSplit/>
        </w:trPr>
        <w:tc>
          <w:tcPr>
            <w:tcW w:type="dxa" w:w="7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E-02</w:t>
            </w:r>
          </w:p>
        </w:tc>
        <w:tc>
          <w:tcPr>
            <w:tcW w:type="dxa" w:w="276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Consulta al asistente de IA</w:t>
            </w:r>
          </w:p>
        </w:tc>
        <w:tc>
          <w:tcPr>
            <w:tcW w:type="dxa" w:w="153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Sistema / E2E</w:t>
            </w:r>
          </w:p>
        </w:tc>
        <w:tc>
          <w:tcPr>
            <w:tcW w:type="dxa" w:w="378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Casos de uso, partición de equivalencia (dominio / fuera de dominio / PII)</w:t>
            </w:r>
          </w:p>
        </w:tc>
        <w:tc>
          <w:tcPr>
            <w:tcW w:type="dxa" w:w="14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CP-UI-05 … 09</w:t>
            </w:r>
          </w:p>
        </w:tc>
      </w:tr>
      <w:tr>
        <w:trPr>
          <w:cantSplit/>
        </w:trPr>
        <w:tc>
          <w:tcPr>
            <w:tcW w:type="dxa" w:w="7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E-03</w:t>
            </w:r>
          </w:p>
        </w:tc>
        <w:tc>
          <w:tcPr>
            <w:tcW w:type="dxa" w:w="276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Historial de consultas de la sesión</w:t>
            </w:r>
          </w:p>
        </w:tc>
        <w:tc>
          <w:tcPr>
            <w:tcW w:type="dxa" w:w="153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Sistema / E2E</w:t>
            </w:r>
          </w:p>
        </w:tc>
        <w:tc>
          <w:tcPr>
            <w:tcW w:type="dxa" w:w="378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Casos de uso, verificación de enmascaramiento</w:t>
            </w:r>
          </w:p>
        </w:tc>
        <w:tc>
          <w:tcPr>
            <w:tcW w:type="dxa" w:w="14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CP-UI-10 … 11</w:t>
            </w:r>
          </w:p>
        </w:tc>
      </w:tr>
      <w:tr>
        <w:trPr>
          <w:cantSplit/>
        </w:trPr>
        <w:tc>
          <w:tcPr>
            <w:tcW w:type="dxa" w:w="7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E-04</w:t>
            </w:r>
          </w:p>
        </w:tc>
        <w:tc>
          <w:tcPr>
            <w:tcW w:type="dxa" w:w="276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Contrato de la API del asistente</w:t>
            </w:r>
          </w:p>
        </w:tc>
        <w:tc>
          <w:tcPr>
            <w:tcW w:type="dxa" w:w="153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Integración / API</w:t>
            </w:r>
          </w:p>
        </w:tc>
        <w:tc>
          <w:tcPr>
            <w:tcW w:type="dxa" w:w="378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Valores límite, basadas en datos, negativas, no funcional (latencia)</w:t>
            </w:r>
          </w:p>
        </w:tc>
        <w:tc>
          <w:tcPr>
            <w:tcW w:type="dxa" w:w="14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CP-API-01 … 09</w:t>
            </w:r>
          </w:p>
        </w:tc>
      </w:tr>
    </w:tbl>
    <w:p>
      <w:pPr>
        <w:spacing w:after="4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2"/>
        <w:gridCol w:w="1843"/>
        <w:gridCol w:w="1843"/>
        <w:gridCol w:w="2355"/>
        <w:gridCol w:w="2867"/>
        <w:gridCol w:w="410"/>
      </w:tblGrid>
      <w:tr>
        <w:trPr>
          <w:tblHeader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Caso de prueba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Técnica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Datos / precondición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Resultado esperado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Pr.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CP-API-01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Salud del servicio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Contrato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GET /api/health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200; status ok; 10 intenciones; umbral 0,40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CP-API-02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Chat sin sesión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Negativa / seguridad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POST /api/chat sin cookie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HTTP 401 «No autenticado.»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CP-API-03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Mensaje vacío o en blanco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Part. de equivalencia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«» y «   » con sesión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422 «no puede estar vacío»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CP-API-04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Longitud máxima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Valores límite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500 y 501 caracteres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500 → 200; 501 → 422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CP-API-05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Conjunto dorado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Basada en datos (10 filas)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 paráfrasis, una por intención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Intención esperada; status ok; confianza ≥ 0,40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CP-API-06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Fuera de dominio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Part. de equivalencia (3 filas)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«lasaña», «partido», «hola»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status fallback; fuera_de_dominio; confianza &lt; 0,40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CP-API-07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Guardrail de datos sensibles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Negativa / seguridad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PAN válido (Luhn)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status blocked; confianza nula; almacenado «**** 1111»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CP-API-08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Latencia de inferencia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 funcional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consulta en dominio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latency_ms &lt; 200; ida y vuelta &lt; 2 s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CP-API-09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Historial vía API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Contrato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 consultas + 1 nueva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Tamaño n+1; última = cambio_clave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CP-UI-01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Login válido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Caso de uso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asesor.demo / Asesor2026*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URL /chat; saludo y nombre del asesor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CP-UI-02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Login inválido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Negativa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asesor.demo / clave-incorrecta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Error visible; sigue en /login; usuario conservado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CP-UI-03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Ruta protegida sin sesión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Transición de estados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GET /chat sin autenticar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Redirección a /login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CP-UI-04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Cierre de sesión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Transición de estados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Sesión activa → «Salir»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/login; /chat vuelve a redirigir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CP-UI-05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Botón Enviar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Part. de equivalencia (UI)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«», «hola», «   »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Deshabilitado / habilitado / deshabilitado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CP-UI-06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Consulta en dominio (horario)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Caso de uso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«¿Cuál es el horario de atención…?»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Respuesta con «8:30»; horario_sucursales; ok; confianza visible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CP-UI-07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Consulta fuera de dominio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Part. de equivalencia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«¿Cómo preparo una lasaña?»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Estado fallback; mensaje de derivación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CP-UI-08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Bloqueo de PII en la UI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Seguridad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Mensaje con PAN válido (Luhn)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Estado blocked; bloqueado_pii; sin confianza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CP-UI-09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Conversación multi-turno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Caso de uso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 consultas consecutivas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 turnos usuario / 2 bot, intenciones correctas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CP-UI-10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Historial vacío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Caso de uso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Login sin consultas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Estado vacío visible; 0 filas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CP-UI-11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Historial enmascarado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Caso de uso / seguridad</w:t>
            </w:r>
          </w:p>
        </w:tc>
        <w:tc>
          <w:tcPr>
            <w:tcW w:type="dxa" w:w="23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consulta válida + 1 con PAN</w:t>
            </w:r>
          </w:p>
        </w:tc>
        <w:tc>
          <w:tcPr>
            <w:tcW w:type="dxa" w:w="28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 filas; intención correcta; PAN enmascarado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</w:t>
            </w:r>
          </w:p>
        </w:tc>
      </w:tr>
    </w:tbl>
    <w:p>
      <w:pPr>
        <w:spacing w:after="30"/>
      </w:pPr>
    </w:p>
    <w:p>
      <w:pPr>
        <w:pStyle w:val="Heading1"/>
        <w:keepNext/>
        <w:spacing w:after="40" w:before="120"/>
      </w:pPr>
      <w:r>
        <w:rPr>
          <w:rFonts w:ascii="Calibri" w:cs="Calibri" w:eastAsia="Calibri" w:hAnsi="Calibri"/>
          <w:b/>
          <w:bCs/>
          <w:color w:val="0B5CAD"/>
          <w:sz w:val="22"/>
          <w:szCs w:val="22"/>
        </w:rPr>
        <w:t xml:space="preserve">4. Matriz de trazabilidad entre requisitos y casos de prueba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17"/>
        <w:gridCol w:w="2970"/>
        <w:gridCol w:w="2150"/>
        <w:gridCol w:w="2048"/>
        <w:gridCol w:w="1843"/>
        <w:gridCol w:w="512"/>
      </w:tblGrid>
      <w:tr>
        <w:trPr>
          <w:tblHeader/>
        </w:trPr>
        <w:tc>
          <w:tcPr>
            <w:tcW w:type="dxa" w:w="7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Req.</w:t>
            </w:r>
          </w:p>
        </w:tc>
        <w:tc>
          <w:tcPr>
            <w:tcW w:type="dxa" w:w="29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Descripción</w:t>
            </w:r>
          </w:p>
        </w:tc>
        <w:tc>
          <w:tcPr>
            <w:tcW w:type="dxa" w:w="2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Unitario (pytest)</w:t>
            </w:r>
          </w:p>
        </w:tc>
        <w:tc>
          <w:tcPr>
            <w:tcW w:type="dxa" w:w="204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API (JUnit + Playwright)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E2E UI (JUnit + Playwright)</w:t>
            </w:r>
          </w:p>
        </w:tc>
        <w:tc>
          <w:tcPr>
            <w:tcW w:type="dxa" w:w="5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Cub.</w:t>
            </w:r>
          </w:p>
        </w:tc>
      </w:tr>
      <w:tr>
        <w:trPr>
          <w:cantSplit/>
        </w:trPr>
        <w:tc>
          <w:tcPr>
            <w:tcW w:type="dxa" w:w="7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RF-01</w:t>
            </w:r>
          </w:p>
        </w:tc>
        <w:tc>
          <w:tcPr>
            <w:tcW w:type="dxa" w:w="29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Inicio de sesión con credenciales válidas</w:t>
            </w:r>
          </w:p>
        </w:tc>
        <w:tc>
          <w:tcPr>
            <w:tcW w:type="dxa" w:w="2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04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login en setUp (precondición)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CP-UI-01</w:t>
            </w:r>
          </w:p>
        </w:tc>
        <w:tc>
          <w:tcPr>
            <w:tcW w:type="dxa" w:w="5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7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RF-02</w:t>
            </w:r>
          </w:p>
        </w:tc>
        <w:tc>
          <w:tcPr>
            <w:tcW w:type="dxa" w:w="29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Credenciales inválidas y rutas protegidas</w:t>
            </w:r>
          </w:p>
        </w:tc>
        <w:tc>
          <w:tcPr>
            <w:tcW w:type="dxa" w:w="2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04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CP-API-02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CP-UI-02, CP-UI-03</w:t>
            </w:r>
          </w:p>
        </w:tc>
        <w:tc>
          <w:tcPr>
            <w:tcW w:type="dxa" w:w="5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7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RF-03</w:t>
            </w:r>
          </w:p>
        </w:tc>
        <w:tc>
          <w:tcPr>
            <w:tcW w:type="dxa" w:w="29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Intención correcta con respuesta oficial</w:t>
            </w:r>
          </w:p>
        </w:tc>
        <w:tc>
          <w:tcPr>
            <w:tcW w:type="dxa" w:w="2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test_clasifica_intencion (6)</w:t>
            </w:r>
          </w:p>
        </w:tc>
        <w:tc>
          <w:tcPr>
            <w:tcW w:type="dxa" w:w="204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CP-API-05 (10)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CP-UI-06, CP-UI-09</w:t>
            </w:r>
          </w:p>
        </w:tc>
        <w:tc>
          <w:tcPr>
            <w:tcW w:type="dxa" w:w="5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7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RF-04</w:t>
            </w:r>
          </w:p>
        </w:tc>
        <w:tc>
          <w:tcPr>
            <w:tcW w:type="dxa" w:w="29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Fallback controlado por baja confianza</w:t>
            </w:r>
          </w:p>
        </w:tc>
        <w:tc>
          <w:tcPr>
            <w:tcW w:type="dxa" w:w="2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test_fuera_de_dominio (4)</w:t>
            </w:r>
          </w:p>
        </w:tc>
        <w:tc>
          <w:tcPr>
            <w:tcW w:type="dxa" w:w="204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CP-API-06 (3)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CP-UI-07</w:t>
            </w:r>
          </w:p>
        </w:tc>
        <w:tc>
          <w:tcPr>
            <w:tcW w:type="dxa" w:w="5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7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RF-05</w:t>
            </w:r>
          </w:p>
        </w:tc>
        <w:tc>
          <w:tcPr>
            <w:tcW w:type="dxa" w:w="29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Guardrail PII: bloqueo y enmascaramiento</w:t>
            </w:r>
          </w:p>
        </w:tc>
        <w:tc>
          <w:tcPr>
            <w:tcW w:type="dxa" w:w="2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test_guardrails (4)</w:t>
            </w:r>
          </w:p>
        </w:tc>
        <w:tc>
          <w:tcPr>
            <w:tcW w:type="dxa" w:w="204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CP-API-07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CP-UI-08, CP-UI-11</w:t>
            </w:r>
          </w:p>
        </w:tc>
        <w:tc>
          <w:tcPr>
            <w:tcW w:type="dxa" w:w="5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7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RF-06</w:t>
            </w:r>
          </w:p>
        </w:tc>
        <w:tc>
          <w:tcPr>
            <w:tcW w:type="dxa" w:w="29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Validación de entrada (vacío, máx. 500)</w:t>
            </w:r>
          </w:p>
        </w:tc>
        <w:tc>
          <w:tcPr>
            <w:tcW w:type="dxa" w:w="2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test_longitud (3)</w:t>
            </w:r>
          </w:p>
        </w:tc>
        <w:tc>
          <w:tcPr>
            <w:tcW w:type="dxa" w:w="204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CP-API-03, CP-API-04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CP-UI-05</w:t>
            </w:r>
          </w:p>
        </w:tc>
        <w:tc>
          <w:tcPr>
            <w:tcW w:type="dxa" w:w="5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7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RF-07</w:t>
            </w:r>
          </w:p>
        </w:tc>
        <w:tc>
          <w:tcPr>
            <w:tcW w:type="dxa" w:w="29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Historial de consultas de la sesión</w:t>
            </w:r>
          </w:p>
        </w:tc>
        <w:tc>
          <w:tcPr>
            <w:tcW w:type="dxa" w:w="2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04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CP-API-09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CP-UI-10, CP-UI-11</w:t>
            </w:r>
          </w:p>
        </w:tc>
        <w:tc>
          <w:tcPr>
            <w:tcW w:type="dxa" w:w="5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7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RF-08</w:t>
            </w:r>
          </w:p>
        </w:tc>
        <w:tc>
          <w:tcPr>
            <w:tcW w:type="dxa" w:w="29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Cierre de sesión</w:t>
            </w:r>
          </w:p>
        </w:tc>
        <w:tc>
          <w:tcPr>
            <w:tcW w:type="dxa" w:w="2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04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CP-UI-04</w:t>
            </w:r>
          </w:p>
        </w:tc>
        <w:tc>
          <w:tcPr>
            <w:tcW w:type="dxa" w:w="5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7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RNF-01</w:t>
            </w:r>
          </w:p>
        </w:tc>
        <w:tc>
          <w:tcPr>
            <w:tcW w:type="dxa" w:w="29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Latencia de inferencia &lt; 200 ms</w:t>
            </w:r>
          </w:p>
        </w:tc>
        <w:tc>
          <w:tcPr>
            <w:tcW w:type="dxa" w:w="2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04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CP-API-08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5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7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RNF-02</w:t>
            </w:r>
          </w:p>
        </w:tc>
        <w:tc>
          <w:tcPr>
            <w:tcW w:type="dxa" w:w="29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PII nunca en claro; contraseñas con hash</w:t>
            </w:r>
          </w:p>
        </w:tc>
        <w:tc>
          <w:tcPr>
            <w:tcW w:type="dxa" w:w="2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test_detecta_tarjeta</w:t>
            </w:r>
          </w:p>
        </w:tc>
        <w:tc>
          <w:tcPr>
            <w:tcW w:type="dxa" w:w="204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CP-API-07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CP-UI-11</w:t>
            </w:r>
          </w:p>
        </w:tc>
        <w:tc>
          <w:tcPr>
            <w:tcW w:type="dxa" w:w="5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7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RNF-03</w:t>
            </w:r>
          </w:p>
        </w:tc>
        <w:tc>
          <w:tcPr>
            <w:tcW w:type="dxa" w:w="297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Contrato y observabilidad de la API</w:t>
            </w:r>
          </w:p>
        </w:tc>
        <w:tc>
          <w:tcPr>
            <w:tcW w:type="dxa" w:w="2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04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CP-API-01, CP-API-09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5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✓</w:t>
            </w:r>
          </w:p>
        </w:tc>
      </w:tr>
    </w:tbl>
    <w:p>
      <w:pPr>
        <w:spacing w:after="30" w:line="236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Cobertura inicial: 11 de 11 requisitos con al menos un caso automatizado; los de mayor riesgo (RF-03 a RF-06, RNF-02) se verifican en dos o tres niveles. La trazabilidad vive también en el código (IDs en @DisplayName, escenarios como clases, etiquetas por nivel), de modo que el reporte XML enlaza cada resultado con su requisito.</w:t>
      </w:r>
    </w:p>
    <w:p>
      <w:pPr>
        <w:pStyle w:val="Heading1"/>
        <w:keepNext/>
        <w:spacing w:after="40" w:before="120"/>
      </w:pPr>
      <w:r>
        <w:rPr>
          <w:rFonts w:ascii="Calibri" w:cs="Calibri" w:eastAsia="Calibri" w:hAnsi="Calibri"/>
          <w:b/>
          <w:bCs/>
          <w:color w:val="0B5CAD"/>
          <w:sz w:val="22"/>
          <w:szCs w:val="22"/>
        </w:rPr>
        <w:t xml:space="preserve">5. Identificación inicial de riesgos y métricas básicas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4"/>
        <w:gridCol w:w="3072"/>
        <w:gridCol w:w="410"/>
        <w:gridCol w:w="410"/>
        <w:gridCol w:w="819"/>
        <w:gridCol w:w="4915"/>
      </w:tblGrid>
      <w:tr>
        <w:trPr>
          <w:tblHeader/>
        </w:trPr>
        <w:tc>
          <w:tcPr>
            <w:tcW w:type="dxa" w:w="61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307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Riesgo (producto / proyecto)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</w:t>
            </w:r>
          </w:p>
        </w:tc>
        <w:tc>
          <w:tcPr>
            <w:tcW w:type="dxa" w:w="81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Nivel</w:t>
            </w:r>
          </w:p>
        </w:tc>
        <w:tc>
          <w:tcPr>
            <w:tcW w:type="dxa" w:w="491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Mitigación / casos que lo cubren   (P = probabilidad, I = impacto: B bajo, M medio, A alto, MA muy alto)</w:t>
            </w:r>
          </w:p>
        </w:tc>
      </w:tr>
      <w:tr>
        <w:trPr>
          <w:cantSplit/>
        </w:trPr>
        <w:tc>
          <w:tcPr>
            <w:tcW w:type="dxa" w:w="61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R-01</w:t>
            </w:r>
          </w:p>
        </w:tc>
        <w:tc>
          <w:tcPr>
            <w:tcW w:type="dxa" w:w="307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Intención incorrecta con confianza alta (falso positivo del clasificador)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</w:t>
            </w:r>
          </w:p>
        </w:tc>
        <w:tc>
          <w:tcPr>
            <w:tcW w:type="dxa" w:w="81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Alto</w:t>
            </w:r>
          </w:p>
        </w:tc>
        <w:tc>
          <w:tcPr>
            <w:tcW w:type="dxa" w:w="491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Conjunto dorado y fuera de dominio (CP-API-05/06, CP-UI-06/07); recalibración del umbral; revisión de la base de conocimiento por iteración</w:t>
            </w:r>
          </w:p>
        </w:tc>
      </w:tr>
      <w:tr>
        <w:trPr>
          <w:cantSplit/>
        </w:trPr>
        <w:tc>
          <w:tcPr>
            <w:tcW w:type="dxa" w:w="61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R-02</w:t>
            </w:r>
          </w:p>
        </w:tc>
        <w:tc>
          <w:tcPr>
            <w:tcW w:type="dxa" w:w="307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Fuga de datos sensibles (PAN/IBAN) en historial o registros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</w:t>
            </w:r>
          </w:p>
        </w:tc>
        <w:tc>
          <w:tcPr>
            <w:tcW w:type="dxa" w:w="81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Alto</w:t>
            </w:r>
          </w:p>
        </w:tc>
        <w:tc>
          <w:tcPr>
            <w:tcW w:type="dxa" w:w="491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CP-API-07, CP-UI-08/11 y unitarias; enmascaramiento antes de persistir</w:t>
            </w:r>
          </w:p>
        </w:tc>
      </w:tr>
      <w:tr>
        <w:trPr>
          <w:cantSplit/>
        </w:trPr>
        <w:tc>
          <w:tcPr>
            <w:tcW w:type="dxa" w:w="61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R-03</w:t>
            </w:r>
          </w:p>
        </w:tc>
        <w:tc>
          <w:tcPr>
            <w:tcW w:type="dxa" w:w="307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Acceso a funciones sin autenticación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</w:t>
            </w:r>
          </w:p>
        </w:tc>
        <w:tc>
          <w:tcPr>
            <w:tcW w:type="dxa" w:w="81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Medio</w:t>
            </w:r>
          </w:p>
        </w:tc>
        <w:tc>
          <w:tcPr>
            <w:tcW w:type="dxa" w:w="491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CP-UI-03, CP-API-02; sesión firmada</w:t>
            </w:r>
          </w:p>
        </w:tc>
      </w:tr>
      <w:tr>
        <w:trPr>
          <w:cantSplit/>
        </w:trPr>
        <w:tc>
          <w:tcPr>
            <w:tcW w:type="dxa" w:w="61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R-04</w:t>
            </w:r>
          </w:p>
        </w:tc>
        <w:tc>
          <w:tcPr>
            <w:tcW w:type="dxa" w:w="307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Pruebas E2E inestables (flaky) por sincronización o selectores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</w:t>
            </w:r>
          </w:p>
        </w:tc>
        <w:tc>
          <w:tcPr>
            <w:tcW w:type="dxa" w:w="81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Medio</w:t>
            </w:r>
          </w:p>
        </w:tc>
        <w:tc>
          <w:tcPr>
            <w:tcW w:type="dxa" w:w="491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Selectores data-testid, aserciones con auto-espera, contexto aislado por prueba</w:t>
            </w:r>
          </w:p>
        </w:tc>
      </w:tr>
      <w:tr>
        <w:trPr>
          <w:cantSplit/>
        </w:trPr>
        <w:tc>
          <w:tcPr>
            <w:tcW w:type="dxa" w:w="61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R-05</w:t>
            </w:r>
          </w:p>
        </w:tc>
        <w:tc>
          <w:tcPr>
            <w:tcW w:type="dxa" w:w="307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Regresión del modelo al ampliar la base de conocimiento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</w:t>
            </w:r>
          </w:p>
        </w:tc>
        <w:tc>
          <w:tcPr>
            <w:tcW w:type="dxa" w:w="81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Medio</w:t>
            </w:r>
          </w:p>
        </w:tc>
        <w:tc>
          <w:tcPr>
            <w:tcW w:type="dxa" w:w="491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Suite de regresión en CI; base de conocimiento versionada</w:t>
            </w:r>
          </w:p>
        </w:tc>
      </w:tr>
      <w:tr>
        <w:trPr>
          <w:cantSplit/>
        </w:trPr>
        <w:tc>
          <w:tcPr>
            <w:tcW w:type="dxa" w:w="61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R-07</w:t>
            </w:r>
          </w:p>
        </w:tc>
        <w:tc>
          <w:tcPr>
            <w:tcW w:type="dxa" w:w="307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Paráfrasis reales no cubiertas por los 50 ejemplos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</w:t>
            </w:r>
          </w:p>
        </w:tc>
        <w:tc>
          <w:tcPr>
            <w:tcW w:type="dxa" w:w="41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</w:t>
            </w:r>
          </w:p>
        </w:tc>
        <w:tc>
          <w:tcPr>
            <w:tcW w:type="dxa" w:w="81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Medio</w:t>
            </w:r>
          </w:p>
        </w:tc>
        <w:tc>
          <w:tcPr>
            <w:tcW w:type="dxa" w:w="491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Ampliar el dataset con consultas reales; pruebas exploratorias</w:t>
            </w:r>
          </w:p>
        </w:tc>
      </w:tr>
    </w:tbl>
    <w:p>
      <w:pPr>
        <w:spacing w:after="4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2"/>
        <w:gridCol w:w="1434"/>
        <w:gridCol w:w="5325"/>
      </w:tblGrid>
      <w:tr>
        <w:trPr>
          <w:tblHeader/>
        </w:trPr>
        <w:tc>
          <w:tcPr>
            <w:tcW w:type="dxa" w:w="3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Métrica</w:t>
            </w:r>
          </w:p>
        </w:tc>
        <w:tc>
          <w:tcPr>
            <w:tcW w:type="dxa" w:w="14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Meta inicial</w:t>
            </w:r>
          </w:p>
        </w:tc>
        <w:tc>
          <w:tcPr>
            <w:tcW w:type="dxa" w:w="532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Resultado de la primera iteración</w:t>
            </w:r>
          </w:p>
        </w:tc>
      </w:tr>
      <w:tr>
        <w:trPr>
          <w:cantSplit/>
        </w:trPr>
        <w:tc>
          <w:tcPr>
            <w:tcW w:type="dxa" w:w="3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Cobertura de requisitos (con ≥ 1 caso automatizado)</w:t>
            </w:r>
          </w:p>
        </w:tc>
        <w:tc>
          <w:tcPr>
            <w:tcW w:type="dxa" w:w="14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100 %</w:t>
            </w:r>
          </w:p>
        </w:tc>
        <w:tc>
          <w:tcPr>
            <w:tcW w:type="dxa" w:w="532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11/11 (100 %); 7/11 cubiertos en dos o más niveles</w:t>
            </w:r>
          </w:p>
        </w:tc>
      </w:tr>
      <w:tr>
        <w:trPr>
          <w:cantSplit/>
        </w:trPr>
        <w:tc>
          <w:tcPr>
            <w:tcW w:type="dxa" w:w="3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Casos diseñados / automatizados</w:t>
            </w:r>
          </w:p>
        </w:tc>
        <w:tc>
          <w:tcPr>
            <w:tcW w:type="dxa" w:w="14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≥ 15 / 100 %</w:t>
            </w:r>
          </w:p>
        </w:tc>
        <w:tc>
          <w:tcPr>
            <w:tcW w:type="dxa" w:w="532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 casos (32 ejecuciones JUnit) + 18 unitarias; 100 % automatizados</w:t>
            </w:r>
          </w:p>
        </w:tc>
      </w:tr>
      <w:tr>
        <w:trPr>
          <w:cantSplit/>
        </w:trPr>
        <w:tc>
          <w:tcPr>
            <w:tcW w:type="dxa" w:w="3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Tasa de éxito de la suite</w:t>
            </w:r>
          </w:p>
        </w:tc>
        <w:tc>
          <w:tcPr>
            <w:tcW w:type="dxa" w:w="14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≥ 95 %</w:t>
            </w:r>
          </w:p>
        </w:tc>
        <w:tc>
          <w:tcPr>
            <w:tcW w:type="dxa" w:w="532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50/50 (100 %)</w:t>
            </w:r>
          </w:p>
        </w:tc>
      </w:tr>
      <w:tr>
        <w:trPr>
          <w:cantSplit/>
        </w:trPr>
        <w:tc>
          <w:tcPr>
            <w:tcW w:type="dxa" w:w="3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Precisión conjunto dorado / tasa de fallback fuera de dominio</w:t>
            </w:r>
          </w:p>
        </w:tc>
        <w:tc>
          <w:tcPr>
            <w:tcW w:type="dxa" w:w="14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≥ 90 % / 100 %</w:t>
            </w:r>
          </w:p>
        </w:tc>
        <w:tc>
          <w:tcPr>
            <w:tcW w:type="dxa" w:w="532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10/10 / 3/3</w:t>
            </w:r>
          </w:p>
        </w:tc>
      </w:tr>
      <w:tr>
        <w:trPr>
          <w:cantSplit/>
        </w:trPr>
        <w:tc>
          <w:tcPr>
            <w:tcW w:type="dxa" w:w="3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Latencia de inferencia (máx. observada)</w:t>
            </w:r>
          </w:p>
        </w:tc>
        <w:tc>
          <w:tcPr>
            <w:tcW w:type="dxa" w:w="14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&lt; 200 ms</w:t>
            </w:r>
          </w:p>
        </w:tc>
        <w:tc>
          <w:tcPr>
            <w:tcW w:type="dxa" w:w="532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0,1 – 12 ms</w:t>
            </w:r>
          </w:p>
        </w:tc>
      </w:tr>
      <w:tr>
        <w:trPr>
          <w:cantSplit/>
        </w:trPr>
        <w:tc>
          <w:tcPr>
            <w:tcW w:type="dxa" w:w="3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Tiempo de ejecución de la suite</w:t>
            </w:r>
          </w:p>
        </w:tc>
        <w:tc>
          <w:tcPr>
            <w:tcW w:type="dxa" w:w="14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&lt; 2 min</w:t>
            </w:r>
          </w:p>
        </w:tc>
        <w:tc>
          <w:tcPr>
            <w:tcW w:type="dxa" w:w="532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8,7 s headless (25,8 s con slowMo para video); 1 s unitarias</w:t>
            </w:r>
          </w:p>
        </w:tc>
      </w:tr>
      <w:tr>
        <w:trPr>
          <w:cantSplit/>
        </w:trPr>
        <w:tc>
          <w:tcPr>
            <w:tcW w:type="dxa" w:w="3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Defectos esperados / encontrados</w:t>
            </w:r>
          </w:p>
        </w:tc>
        <w:tc>
          <w:tcPr>
            <w:tcW w:type="dxa" w:w="14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 – 5</w:t>
            </w:r>
          </w:p>
        </w:tc>
        <w:tc>
          <w:tcPr>
            <w:tcW w:type="dxa" w:w="532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1: el umbral inicial 0,30 admitía falsos positivos (confianza 0,32–0,36) fuera de dominio → ajustado a 0,40</w:t>
            </w:r>
          </w:p>
        </w:tc>
      </w:tr>
      <w:tr>
        <w:trPr>
          <w:cantSplit/>
        </w:trPr>
        <w:tc>
          <w:tcPr>
            <w:tcW w:type="dxa" w:w="3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Esfuerzo estimado</w:t>
            </w:r>
          </w:p>
        </w:tc>
        <w:tc>
          <w:tcPr>
            <w:tcW w:type="dxa" w:w="14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≈ 20 h</w:t>
            </w:r>
          </w:p>
        </w:tc>
        <w:tc>
          <w:tcPr>
            <w:tcW w:type="dxa" w:w="532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Plan 4 h · SUT 6 h · automatización 6 h · ejecución y documentación 3 h</w:t>
            </w:r>
          </w:p>
        </w:tc>
      </w:tr>
    </w:tbl>
    <w:p>
      <w:pPr>
        <w:spacing w:after="30"/>
      </w:pPr>
    </w:p>
    <w:p>
      <w:pPr>
        <w:pStyle w:val="Heading1"/>
        <w:keepNext/>
        <w:spacing w:after="40" w:before="120"/>
      </w:pPr>
      <w:r>
        <w:rPr>
          <w:rFonts w:ascii="Calibri" w:cs="Calibri" w:eastAsia="Calibri" w:hAnsi="Calibri"/>
          <w:b/>
          <w:bCs/>
          <w:color w:val="0B5CAD"/>
          <w:sz w:val="22"/>
          <w:szCs w:val="22"/>
        </w:rPr>
        <w:t xml:space="preserve">6. Primer flujo de prueba automatizado (JUnit 5 + Playwright)</w:t>
      </w:r>
    </w:p>
    <w:p>
      <w:pPr>
        <w:spacing w:after="50" w:line="236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El harness es un proyecto Maven (tests-e2e) con cuatro paquetes: config (parámetros -Dsut.baseUrl, -Dheadless, -DslowMo, -DrecordVideo), pages (Page Objects con selectores data-testid), ui (pruebas E2E) y api (contrato con APIRequestContext, sin navegador). BaseUiTest concentra el ciclo de vida: un Chromium por clase, un contexto aislado por prueba con grabación de video, verificación previa de /api/health y captura + video guardados con el nombre del caso; las etiquetas @Tag permiten ejecutar por nivel (mvn test -Dgroups=ui).</w:t>
      </w:r>
    </w:p>
    <w:p>
      <w:pPr>
        <w:pStyle w:val="ListParagraph"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Caso funcional CP-UI-01 (inicio de sesión): </w:t>
      </w:r>
      <w:r>
        <w:rPr>
          <w:rFonts w:ascii="Calibri" w:cs="Calibri" w:eastAsia="Calibri" w:hAnsi="Calibri"/>
          <w:sz w:val="19"/>
          <w:szCs w:val="19"/>
        </w:rPr>
        <w:t xml:space="preserve">tras uvicorn app.main:app --port 8000 y mvn test, Playwright abre /login, completa credenciales, pulsa «Ingresar» y las aserciones con auto-espera verifican la URL /chat, el saludo y el nombre del asesor; el mismo patrón se reutiliza en CP-UI-06 para enviar una consulta y validar intención, estado y confianza.</w:t>
      </w:r>
    </w:p>
    <w:p>
      <w:pPr>
        <w:pStyle w:val="ListParagraph"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Evidencia: </w:t>
      </w:r>
      <w:r>
        <w:rPr>
          <w:rFonts w:ascii="Calibri" w:cs="Calibri" w:eastAsia="Calibri" w:hAnsi="Calibri"/>
          <w:sz w:val="19"/>
          <w:szCs w:val="19"/>
        </w:rPr>
        <w:t xml:space="preserve">target/surefire-reports (XML), 17 capturas y 11 videos .webm en target/evidence, consolidados en docs/evidencia junto con un video de 1:49 min.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@Test @DisplayName("CP-UI-01 Login válido redirige al chat y muestra el nombre del asesor")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void loginValidoRedirigeAlChat() {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  ChatPage chat = new LoginPage(page).open().loginAs(TestConfig.DEMO_USER, TestConfig.DEMO_PASSWORD);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  assertThat(page).hasURL(Pattern.compile(".*/chat$"));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  assertThat(chat.greeting()).containsText(TestConfig.DEMO_DISPLAY_NAME);   // auto-espera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40"/>
      </w:pPr>
    </w:p>
    <w:p>
      <w:pPr>
        <w:pStyle w:val="Heading1"/>
        <w:keepNext/>
        <w:spacing w:after="40" w:before="120"/>
      </w:pPr>
      <w:r>
        <w:rPr>
          <w:rFonts w:ascii="Calibri" w:cs="Calibri" w:eastAsia="Calibri" w:hAnsi="Calibri"/>
          <w:b/>
          <w:bCs/>
          <w:color w:val="0B5CAD"/>
          <w:sz w:val="22"/>
          <w:szCs w:val="22"/>
        </w:rPr>
        <w:t xml:space="preserve">7. Resultados, dificultades y reflexión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43"/>
        <w:gridCol w:w="3482"/>
        <w:gridCol w:w="1843"/>
        <w:gridCol w:w="1434"/>
        <w:gridCol w:w="1638"/>
      </w:tblGrid>
      <w:tr>
        <w:trPr>
          <w:tblHeader/>
        </w:trPr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Nivel</w:t>
            </w:r>
          </w:p>
        </w:tc>
        <w:tc>
          <w:tcPr>
            <w:tcW w:type="dxa" w:w="3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Herramienta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Casos</w:t>
            </w:r>
          </w:p>
        </w:tc>
        <w:tc>
          <w:tcPr>
            <w:tcW w:type="dxa" w:w="14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Resultado</w:t>
            </w:r>
          </w:p>
        </w:tc>
        <w:tc>
          <w:tcPr>
            <w:tcW w:type="dxa" w:w="1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3ECF7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Duración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Componente</w:t>
            </w:r>
          </w:p>
        </w:tc>
        <w:tc>
          <w:tcPr>
            <w:tcW w:type="dxa" w:w="3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pytest 8 (sut/tests)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18</w:t>
            </w:r>
          </w:p>
        </w:tc>
        <w:tc>
          <w:tcPr>
            <w:tcW w:type="dxa" w:w="14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18 exitosas</w:t>
            </w:r>
          </w:p>
        </w:tc>
        <w:tc>
          <w:tcPr>
            <w:tcW w:type="dxa" w:w="1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1,0 s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Integración / API</w:t>
            </w:r>
          </w:p>
        </w:tc>
        <w:tc>
          <w:tcPr>
            <w:tcW w:type="dxa" w:w="3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JUnit 5 + Playwright APIRequestContext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 casos · 19 ejecuciones</w:t>
            </w:r>
          </w:p>
        </w:tc>
        <w:tc>
          <w:tcPr>
            <w:tcW w:type="dxa" w:w="14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19 exitosas</w:t>
            </w:r>
          </w:p>
        </w:tc>
        <w:tc>
          <w:tcPr>
            <w:tcW w:type="dxa" w:w="1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6F8FB" w:color="auto" w:val="clear"/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≈ 1 s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Sistema / E2E</w:t>
            </w:r>
          </w:p>
        </w:tc>
        <w:tc>
          <w:tcPr>
            <w:tcW w:type="dxa" w:w="3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JUnit 5 + Playwright · Chromium 141 headless</w:t>
            </w:r>
          </w:p>
        </w:tc>
        <w:tc>
          <w:tcPr>
            <w:tcW w:type="dxa" w:w="184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11 casos</w:t>
            </w:r>
          </w:p>
        </w:tc>
        <w:tc>
          <w:tcPr>
            <w:tcW w:type="dxa" w:w="14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11 exitosas</w:t>
            </w:r>
          </w:p>
        </w:tc>
        <w:tc>
          <w:tcPr>
            <w:tcW w:type="dxa" w:w="1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15"/>
              <w:left w:type="dxa" w:w="55"/>
              <w:bottom w:type="dxa" w:w="15"/>
              <w:right w:type="dxa" w:w="5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8,7 s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Oráculo para IA: </w:t>
      </w:r>
      <w:r>
        <w:rPr>
          <w:rFonts w:ascii="Calibri" w:cs="Calibri" w:eastAsia="Calibri" w:hAnsi="Calibri"/>
          <w:sz w:val="19"/>
          <w:szCs w:val="19"/>
        </w:rPr>
        <w:t xml:space="preserve">no hay respuesta «exacta» para una paráfrasis; el oráculo se definió como intención esperada + umbral, y diseñar las pruebas negativas (CP-API-06) reveló el único defecto (umbral 0,30 demasiado permisivo) antes de escribir la interfaz: testing temprano en la práctica.</w:t>
      </w:r>
    </w:p>
    <w:p>
      <w:pPr>
        <w:pStyle w:val="ListParagraph"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Sincronización, evidencia e independencia: </w:t>
      </w:r>
      <w:r>
        <w:rPr>
          <w:rFonts w:ascii="Calibri" w:cs="Calibri" w:eastAsia="Calibri" w:hAnsi="Calibri"/>
          <w:sz w:val="19"/>
          <w:szCs w:val="19"/>
        </w:rPr>
        <w:t xml:space="preserve">el chat responde por fetch asíncrono, resuelto contando los mensajes previos y esperando el n-ésimo con aserciones de Playwright, sin esperas fijas; el video .webm solo se materializa al cerrar el contexto, por lo que se guarda en @AfterEach tras context.close(); y como JUnit no garantiza el orden, cada prueba de UI crea su propio contexto y CP-API-09 se expresó en términos relativos (n+1).</w:t>
      </w:r>
    </w:p>
    <w:p>
      <w:pPr>
        <w:spacing w:after="50" w:line="236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La actividad confirma principios ISTQB: las pruebas dependen del contexto (en banca el foco está en datos sensibles y trazabilidad), la ausencia de fallos no equivale a calidad (el conjunto dorado es una muestra de un espacio de lenguaje mucho mayor) y la paradoja del pesticida exige ampliar los datos de prueba en cada iteración. El enfoque ágil se refleja en una suite en pirámide que corre en segundos y en entregas incrementales sobre un sistema ejecutable. Próximos pasos: integrar la suite en GitHub Actions, medir la precisión del clasificador con un dataset externo y añadir pruebas de robustez frente a inyección de instrucciones.</w:t>
      </w:r>
    </w:p>
    <w:p>
      <w:pPr>
        <w:pStyle w:val="Heading1"/>
        <w:keepNext/>
        <w:pageBreakBefore/>
        <w:spacing w:after="40" w:before="0"/>
      </w:pPr>
      <w:r>
        <w:rPr>
          <w:rFonts w:ascii="Calibri" w:cs="Calibri" w:eastAsia="Calibri" w:hAnsi="Calibri"/>
          <w:b/>
          <w:bCs/>
          <w:color w:val="0B5CAD"/>
          <w:sz w:val="22"/>
          <w:szCs w:val="22"/>
        </w:rPr>
        <w:t xml:space="preserve">Anexo A. Evidencia de ejecución</w:t>
      </w:r>
    </w:p>
    <w:p>
      <w:pPr>
        <w:spacing w:after="60" w:line="236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Capturas generadas automáticamente por la suite (tests-e2e/target/evidence/screenshots) y resumen del log de ejecución. El video consolidado (docs/evidencia/video_evidencia_junit_playwright.mp4, 1:49 min) muestra los 11 casos de UI grabados por Playwright; los reportes XML están en docs/evidencia/reportes-junit.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3238500" cy="1419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675"/>
                <w:sz w:val="14"/>
                <w:szCs w:val="14"/>
              </w:rPr>
              <w:t xml:space="preserve">CP-UI-06 · respuesta con intención, estado y confianza</w:t>
            </w:r>
          </w:p>
        </w:tc>
        <w:tc>
          <w:tcPr>
            <w:tcW w:type="dxa" w:w="5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3238500" cy="1419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675"/>
                <w:sz w:val="14"/>
                <w:szCs w:val="14"/>
              </w:rPr>
              <w:t xml:space="preserve">CP-UI-11 · historial con el PAN enmascarado</w:t>
            </w:r>
          </w:p>
        </w:tc>
      </w:tr>
    </w:tbl>
    <w:p>
      <w:pPr>
        <w:spacing w:after="60"/>
      </w:pPr>
    </w:p>
    <w:p>
      <w:pPr>
        <w:spacing w:after="40" w:line="236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Extracto del log de ejecución (JUnit Platform, Chromium headless):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+- JUnit Jupiter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+- E-04 API del asistente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|  +- CP-API-01 /api/health expone estado, versión y configuración del NLU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|  +- CP-API-05 Clasificación del conjunto dorado de intenciones (10 consultas)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|  +- CP-API-08 La latencia de inferencia se mantiene bajo 200 ms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|  +- CP-API-06 Consultas fuera de dominio producen fallback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|  +- CP-API-07 Un PAN válido se bloquea y se almacena enmascarado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|  +- CP-API-04 Análisis de valores límite: 500 caracteres se acepta, 501 se rechaza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|  +- CP-API-09 /api/history refleja cada consulta registrada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|  +- CP-API-03 Mensaje vacío o en blanco responde 422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|  +- CP-API-02 Sin sesión, /api/chat responde 401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+- E-01 Autenticación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|  +- CP-UI-02 Credenciales inválidas muestran error y no crean sesión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|  +- CP-UI-01 Login válido redirige al chat y muestra el nombre del asesor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|  +- CP-UI-04 Cerrar sesión invalida el acceso al chat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|  +- CP-UI-03 Acceso directo a /chat sin sesión redirige a /login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+- E-02 Consulta al asistente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|  +- CP-UI-05 El botón Enviar solo se habilita con texto en la entrada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|  +- CP-UI-06 Consulta de horario devuelve la intención horario_sucursales con respue...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|  +- CP-UI-08 Mensaje con número de tarjeta es bloqueado por el guardrail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|  +- CP-UI-07 Consulta fuera de dominio produce fallback controlado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|  +- CP-UI-09 La conversación conserva los turnos previos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+- E-03 Historial de consultas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   +- CP-UI-11 El historial registra las consultas con su intención y enmascara datos ...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|     +- CP-UI-10 Sesión nueva muestra historial vacío [OK]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...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Test run finished after 25836 ms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[        32 tests found           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[         0 tests skipped         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[        32 tests started         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[         0 tests aborted         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[        32 tests successful      ]</w:t>
      </w:r>
    </w:p>
    <w:p>
      <w:pPr>
        <w:shd w:fill="F3F5F9" w:color="auto" w:val="clear"/>
        <w:spacing w:after="0" w:line="220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[         0 tests failed          ]</w:t>
      </w:r>
    </w:p>
    <w:p>
      <w:pPr>
        <w:spacing w:after="40"/>
      </w:pPr>
    </w:p>
    <w:p>
      <w:pPr>
        <w:spacing w:after="50" w:line="236"/>
        <w:jc w:val="both"/>
      </w:pPr>
      <w:r>
        <w:rPr>
          <w:rFonts w:ascii="Calibri" w:cs="Calibri" w:eastAsia="Calibri" w:hAnsi="Calibri"/>
          <w:color w:val="5B6675"/>
          <w:sz w:val="15"/>
          <w:szCs w:val="15"/>
        </w:rPr>
        <w:t xml:space="preserve">Reproducción: cd sut &amp;&amp; uvicorn app.main:app --port 8000 · cd tests-e2e &amp;&amp; mvn test (ver README.md para los requisitos previos y la instalación de Chromium para Playwright).</w:t>
      </w:r>
    </w:p>
    <w:sectPr>
      <w:headerReference w:type="default" r:id="rId7"/>
      <w:footerReference w:type="default" r:id="rId8"/>
      <w:pgSz w:w="12240" w:h="15840" w:orient="portrait"/>
      <w:pgMar w:top="8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675"/>
        <w:sz w:val="14"/>
        <w:szCs w:val="14"/>
      </w:rPr>
      <w:t xml:space="preserve">Página </w:t>
    </w:r>
    <w:r>
      <w:rPr>
        <w:rFonts w:ascii="Calibri" w:cs="Calibri" w:eastAsia="Calibri" w:hAnsi="Calibri"/>
        <w:color w:val="5B667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675"/>
        <w:sz w:val="14"/>
        <w:szCs w:val="14"/>
      </w:rPr>
      <w:t xml:space="preserve"> de </w:t>
    </w:r>
    <w:r>
      <w:rPr>
        <w:rFonts w:ascii="Calibri" w:cs="Calibri" w:eastAsia="Calibri" w:hAnsi="Calibri"/>
        <w:color w:val="5B667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E" w:sz="4" w:space="2"/>
      </w:pBdr>
      <w:jc w:val="right"/>
    </w:pPr>
    <w:r>
      <w:rPr>
        <w:rFonts w:ascii="Calibri" w:cs="Calibri" w:eastAsia="Calibri" w:hAnsi="Calibri"/>
        <w:color w:val="5B6675"/>
        <w:sz w:val="14"/>
        <w:szCs w:val="14"/>
      </w:rPr>
      <w:t xml:space="preserve">Actividad Evaluativa Unidad 1 · Diseño de una estrategia de testing automatizado · Manuela Larrea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97a6bf9f07949716ffe3ab39a5b15e839aa5745.png"/><Relationship Id="rId10" Type="http://schemas.openxmlformats.org/officeDocument/2006/relationships/image" Target="media/43613b5f20d04bb0942d16a37b77d79c7563c96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– AsesorIA</dc:title>
  <dc:creator>Manuela Larrea</dc:creator>
  <cp:lastModifiedBy>Un-named</cp:lastModifiedBy>
  <cp:revision>1</cp:revision>
  <dcterms:created xsi:type="dcterms:W3CDTF">2026-09-26T22:38:57.877Z</dcterms:created>
  <dcterms:modified xsi:type="dcterms:W3CDTF">2026-09-26T22:38:57.877Z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