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08A51" w14:textId="77777777" w:rsidR="006F56FD" w:rsidRDefault="00FE4A19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- 2020.12.21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F909EE" w14:paraId="3670FBBF" w14:textId="77777777" w:rsidTr="00F90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77337F" w14:textId="77777777" w:rsidR="00F909EE" w:rsidRDefault="00FE4A19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FF6275" w14:textId="77777777" w:rsidR="00F909EE" w:rsidRDefault="00FE4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21 Dec 2020 </w:t>
            </w:r>
          </w:p>
        </w:tc>
      </w:tr>
      <w:tr w:rsidR="00F909EE" w14:paraId="2DAC67B3" w14:textId="77777777" w:rsidTr="00F90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768EAD" w14:textId="77777777" w:rsidR="00F909EE" w:rsidRDefault="00FE4A19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4C56D9" w14:textId="77777777" w:rsidR="00F909EE" w:rsidRDefault="00FE4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7.0.01218.707</w:t>
            </w:r>
          </w:p>
        </w:tc>
      </w:tr>
      <w:tr w:rsidR="00F909EE" w14:paraId="2AF52B9B" w14:textId="77777777" w:rsidTr="00F90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12FF97" w14:textId="77777777" w:rsidR="00F909EE" w:rsidRDefault="00FE4A19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E41B39" w14:textId="77777777" w:rsidR="00F909EE" w:rsidRDefault="00FE4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7.0.01219.1057</w:t>
            </w:r>
          </w:p>
        </w:tc>
      </w:tr>
    </w:tbl>
    <w:p w14:paraId="1A96A13E" w14:textId="77777777" w:rsidR="0087617C" w:rsidRPr="00D841F2" w:rsidRDefault="00FE4A19">
      <w:pPr>
        <w:pStyle w:val="Heading1"/>
      </w:pPr>
      <w:bookmarkStart w:id="0" w:name="scroll-bookmark-2"/>
      <w:r>
        <w:t>Overview</w:t>
      </w:r>
      <w:bookmarkEnd w:id="0"/>
    </w:p>
    <w:p w14:paraId="1FB48963" w14:textId="77777777" w:rsidR="00F909EE" w:rsidRDefault="00FE4A19">
      <w:r>
        <w:t>Today's code drop contains logic fixes for the Transaction Register and PAD job.  There is no VO API changes.</w:t>
      </w:r>
    </w:p>
    <w:p w14:paraId="6C0767D7" w14:textId="77777777" w:rsidR="00F909EE" w:rsidRDefault="00FE4A19">
      <w:pPr>
        <w:pStyle w:val="Heading1"/>
      </w:pPr>
      <w:bookmarkStart w:id="1" w:name="scroll-bookmark-3"/>
      <w:r>
        <w:t xml:space="preserve">Defects </w:t>
      </w:r>
      <w:r>
        <w:t>Addressed</w:t>
      </w:r>
      <w:bookmarkEnd w:id="1"/>
    </w:p>
    <w:tbl>
      <w:tblPr>
        <w:tblStyle w:val="ScrollTableNormal"/>
        <w:tblW w:w="9658" w:type="dxa"/>
        <w:tblLayout w:type="fixed"/>
        <w:tblLook w:val="0020" w:firstRow="1" w:lastRow="0" w:firstColumn="0" w:lastColumn="0" w:noHBand="0" w:noVBand="0"/>
      </w:tblPr>
      <w:tblGrid>
        <w:gridCol w:w="764"/>
        <w:gridCol w:w="669"/>
        <w:gridCol w:w="1250"/>
        <w:gridCol w:w="1815"/>
        <w:gridCol w:w="5160"/>
      </w:tblGrid>
      <w:tr w:rsidR="00F909EE" w14:paraId="7B621D36" w14:textId="77777777" w:rsidTr="00915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278AE1" w14:textId="77777777" w:rsidR="00F909EE" w:rsidRDefault="00FE4A19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F07C99B" w14:textId="77777777" w:rsidR="00F909EE" w:rsidRDefault="00FE4A19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CE207D" w14:textId="77777777" w:rsidR="00F909EE" w:rsidRDefault="00FE4A19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181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C14BCE" w14:textId="77777777" w:rsidR="00F909EE" w:rsidRDefault="00FE4A19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51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85E2FF" w14:textId="77777777" w:rsidR="00F909EE" w:rsidRDefault="00FE4A19">
            <w:r>
              <w:rPr>
                <w:rFonts w:ascii="Arial" w:hAnsi="Arial"/>
                <w:b/>
              </w:rPr>
              <w:t>Release Notes</w:t>
            </w:r>
          </w:p>
        </w:tc>
      </w:tr>
      <w:tr w:rsidR="00F909EE" w14:paraId="0A2F8F2E" w14:textId="77777777" w:rsidTr="00915534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0792E1" w14:textId="77777777" w:rsidR="00F909EE" w:rsidRDefault="00FE4A19">
            <w:r>
              <w:rPr>
                <w:rFonts w:ascii="Arial" w:hAnsi="Arial"/>
              </w:rPr>
              <w:t>MLU-722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9AC218" w14:textId="77777777" w:rsidR="00F909EE" w:rsidRDefault="00FE4A19">
            <w:r>
              <w:rPr>
                <w:rFonts w:ascii="Arial" w:hAnsi="Arial"/>
              </w:rPr>
              <w:t>2522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14CC09" w14:textId="77777777" w:rsidR="00F909EE" w:rsidRDefault="00FE4A19">
            <w:r>
              <w:rPr>
                <w:rFonts w:ascii="Arial" w:hAnsi="Arial"/>
              </w:rPr>
              <w:t>Accounting</w:t>
            </w:r>
          </w:p>
        </w:tc>
        <w:tc>
          <w:tcPr>
            <w:tcW w:w="181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E473C0" w14:textId="77777777" w:rsidR="00F909EE" w:rsidRDefault="00FE4A19">
            <w:r>
              <w:rPr>
                <w:rFonts w:ascii="Arial" w:hAnsi="Arial"/>
              </w:rPr>
              <w:t>[CDTASME-2522] “CONTRACT NO.” column under Transaction Register is not displaying values</w:t>
            </w:r>
          </w:p>
        </w:tc>
        <w:tc>
          <w:tcPr>
            <w:tcW w:w="51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39579A" w14:textId="77777777" w:rsidR="00F909EE" w:rsidRDefault="00FE4A19">
            <w:r>
              <w:rPr>
                <w:rFonts w:ascii="Arial" w:hAnsi="Arial"/>
              </w:rPr>
              <w:t>(2020-12-21)</w:t>
            </w:r>
          </w:p>
          <w:p w14:paraId="34E29A65" w14:textId="77777777" w:rsidR="00F909EE" w:rsidRDefault="00FE4A19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In TR where an ASO BAD billing line is displayed =&gt; added </w:t>
            </w:r>
            <w:r>
              <w:rPr>
                <w:rFonts w:ascii="Arial" w:hAnsi="Arial"/>
              </w:rPr>
              <w:t>constraint to pinpoint ASO Type 1 for the ASO BAD contract no.</w:t>
            </w:r>
          </w:p>
          <w:p w14:paraId="7449DA4C" w14:textId="77777777" w:rsidR="00F909EE" w:rsidRDefault="00FE4A19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In PAD where an EFT payment is made =&gt; added constraint to pinpoint ASO Type 1 for the ASO BAD contract no.</w:t>
            </w:r>
          </w:p>
          <w:p w14:paraId="50488BFF" w14:textId="77777777" w:rsidR="00F909EE" w:rsidRDefault="00FE4A19">
            <w:r>
              <w:rPr>
                <w:rFonts w:ascii="Arial" w:hAnsi="Arial"/>
              </w:rPr>
              <w:t>_____</w:t>
            </w:r>
            <w:r>
              <w:rPr>
                <w:rFonts w:ascii="Arial" w:hAnsi="Arial"/>
              </w:rPr>
              <w:br/>
              <w:t>(2020-11-16)</w:t>
            </w:r>
            <w:r>
              <w:rPr>
                <w:rFonts w:ascii="Arial" w:hAnsi="Arial"/>
              </w:rPr>
              <w:br/>
              <w:t>As per Chand's request on 2020-11-10 the Transaction Register will</w:t>
            </w:r>
            <w:r>
              <w:rPr>
                <w:rFonts w:ascii="Arial" w:hAnsi="Arial"/>
              </w:rPr>
              <w:t xml:space="preserve"> look up and display the contract number for any ASO BAD billing transaction.  This is because the logic in the Month-end program is to be left alone (which does not populate the contract number).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Note that there will be a performance hit because on every</w:t>
            </w:r>
            <w:r>
              <w:rPr>
                <w:rFonts w:ascii="Arial" w:hAnsi="Arial"/>
              </w:rPr>
              <w:t xml:space="preserve"> such billing line there will be an additional query to the database for the contract number.</w:t>
            </w:r>
          </w:p>
        </w:tc>
      </w:tr>
      <w:tr w:rsidR="00F909EE" w14:paraId="66762759" w14:textId="77777777" w:rsidTr="00915534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948D82" w14:textId="77777777" w:rsidR="00F909EE" w:rsidRDefault="00FE4A19">
            <w:r>
              <w:rPr>
                <w:rFonts w:ascii="Arial" w:hAnsi="Arial"/>
              </w:rPr>
              <w:t>MLU-859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059E1A" w14:textId="77777777" w:rsidR="00F909EE" w:rsidRDefault="00FE4A19">
            <w:r>
              <w:rPr>
                <w:rFonts w:ascii="Arial" w:hAnsi="Arial"/>
              </w:rPr>
              <w:t>2574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8F182D" w14:textId="77777777" w:rsidR="00F909EE" w:rsidRDefault="00FE4A19">
            <w:r>
              <w:rPr>
                <w:rFonts w:ascii="Arial" w:hAnsi="Arial"/>
              </w:rPr>
              <w:t>Accounting</w:t>
            </w:r>
          </w:p>
        </w:tc>
        <w:tc>
          <w:tcPr>
            <w:tcW w:w="181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9F29D4" w14:textId="77777777" w:rsidR="00F909EE" w:rsidRDefault="00FE4A19">
            <w:r>
              <w:rPr>
                <w:rFonts w:ascii="Arial" w:hAnsi="Arial"/>
              </w:rPr>
              <w:t>[CDTASME-2574] Transaction Register Search window to display one row per location</w:t>
            </w:r>
          </w:p>
        </w:tc>
        <w:tc>
          <w:tcPr>
            <w:tcW w:w="51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145554" w14:textId="77777777" w:rsidR="00F909EE" w:rsidRDefault="00FE4A19">
            <w:r>
              <w:rPr>
                <w:rFonts w:ascii="Arial" w:hAnsi="Arial"/>
              </w:rPr>
              <w:t>(2020-12-21)</w:t>
            </w:r>
            <w:r>
              <w:rPr>
                <w:rFonts w:ascii="Arial" w:hAnsi="Arial"/>
              </w:rPr>
              <w:br/>
              <w:t>Completed the following additional enhance</w:t>
            </w:r>
            <w:r>
              <w:rPr>
                <w:rFonts w:ascii="Arial" w:hAnsi="Arial"/>
              </w:rPr>
              <w:t>ments:</w:t>
            </w:r>
          </w:p>
          <w:p w14:paraId="251A2A8B" w14:textId="77777777" w:rsidR="00F909EE" w:rsidRDefault="00FE4A19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Account Types </w:t>
            </w:r>
            <w:proofErr w:type="spellStart"/>
            <w:r>
              <w:rPr>
                <w:rFonts w:ascii="Arial" w:hAnsi="Arial"/>
              </w:rPr>
              <w:t>droplist</w:t>
            </w:r>
            <w:proofErr w:type="spellEnd"/>
            <w:r>
              <w:rPr>
                <w:rFonts w:ascii="Arial" w:hAnsi="Arial"/>
              </w:rPr>
              <w:t xml:space="preserve"> will display all applicable balance types (same as displayed in search) for both history and transfer.</w:t>
            </w:r>
          </w:p>
          <w:p w14:paraId="77DEE4B8" w14:textId="77777777" w:rsidR="00F909EE" w:rsidRDefault="00FE4A19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If account type selected does not yet exist, </w:t>
            </w:r>
            <w:proofErr w:type="gramStart"/>
            <w:r>
              <w:rPr>
                <w:rFonts w:ascii="Arial" w:hAnsi="Arial"/>
              </w:rPr>
              <w:t>create</w:t>
            </w:r>
            <w:proofErr w:type="gramEnd"/>
            <w:r>
              <w:rPr>
                <w:rFonts w:ascii="Arial" w:hAnsi="Arial"/>
              </w:rPr>
              <w:t xml:space="preserve"> and commit for both history and transfer.</w:t>
            </w:r>
          </w:p>
          <w:p w14:paraId="3CF958F6" w14:textId="77777777" w:rsidR="00F909EE" w:rsidRDefault="00FE4A19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lastRenderedPageBreak/>
              <w:t xml:space="preserve">Account setup button will </w:t>
            </w:r>
            <w:r>
              <w:rPr>
                <w:rFonts w:ascii="Arial" w:hAnsi="Arial"/>
              </w:rPr>
              <w:t>only be enabled for the "MLI Billed" balance type.</w:t>
            </w:r>
          </w:p>
          <w:p w14:paraId="44D6A16B" w14:textId="77777777" w:rsidR="00F909EE" w:rsidRDefault="00FE4A19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>Account setup button will display the account setup popup directly (account list will no longer be accessible).</w:t>
            </w:r>
          </w:p>
          <w:p w14:paraId="78FB6DB8" w14:textId="77777777" w:rsidR="00F909EE" w:rsidRDefault="00FE4A19">
            <w:r>
              <w:rPr>
                <w:rFonts w:ascii="Arial" w:hAnsi="Arial"/>
              </w:rPr>
              <w:t>______</w:t>
            </w:r>
            <w:r>
              <w:rPr>
                <w:rFonts w:ascii="Arial" w:hAnsi="Arial"/>
              </w:rPr>
              <w:br/>
              <w:t>(2020-12-14)</w:t>
            </w:r>
            <w:r>
              <w:rPr>
                <w:rFonts w:ascii="Arial" w:hAnsi="Arial"/>
              </w:rPr>
              <w:br/>
              <w:t>The following changes have been made:</w:t>
            </w:r>
          </w:p>
          <w:p w14:paraId="60AD229A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When searching all accounts - a row</w:t>
            </w:r>
            <w:r>
              <w:rPr>
                <w:rFonts w:ascii="Arial" w:hAnsi="Arial"/>
              </w:rPr>
              <w:t xml:space="preserve"> will be displayed for each applicable balance type (even if the account is not created). The </w:t>
            </w:r>
            <w:proofErr w:type="spellStart"/>
            <w:r>
              <w:rPr>
                <w:rFonts w:ascii="Arial" w:hAnsi="Arial"/>
              </w:rPr>
              <w:t>ClientPlanBenefit</w:t>
            </w:r>
            <w:proofErr w:type="spellEnd"/>
            <w:r>
              <w:rPr>
                <w:rFonts w:ascii="Arial" w:hAnsi="Arial"/>
              </w:rPr>
              <w:t xml:space="preserve">(s) associated to </w:t>
            </w:r>
            <w:proofErr w:type="gramStart"/>
            <w:r>
              <w:rPr>
                <w:rFonts w:ascii="Arial" w:hAnsi="Arial"/>
              </w:rPr>
              <w:t>the  Location</w:t>
            </w:r>
            <w:proofErr w:type="gramEnd"/>
            <w:r>
              <w:rPr>
                <w:rFonts w:ascii="Arial" w:hAnsi="Arial"/>
              </w:rPr>
              <w:t xml:space="preserve"> will determine which balance types are applicable.</w:t>
            </w:r>
          </w:p>
          <w:p w14:paraId="6D156A66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When searching all accounts - ensure that when the row is sele</w:t>
            </w:r>
            <w:r>
              <w:rPr>
                <w:rFonts w:ascii="Arial" w:hAnsi="Arial"/>
              </w:rPr>
              <w:t>cted - if the balance type of the selected row does not exist - create and commit the account. And display the newly created account into the account types list as selected.</w:t>
            </w:r>
          </w:p>
          <w:p w14:paraId="699FBFF1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When searching by single location (all accounts unchecked), ensure that the lowest</w:t>
            </w:r>
            <w:r>
              <w:rPr>
                <w:rFonts w:ascii="Arial" w:hAnsi="Arial"/>
              </w:rPr>
              <w:t xml:space="preserve"> applicable balance type for the selected location is created and committed (if it does not exist). The </w:t>
            </w:r>
            <w:proofErr w:type="spellStart"/>
            <w:r>
              <w:rPr>
                <w:rFonts w:ascii="Arial" w:hAnsi="Arial"/>
              </w:rPr>
              <w:t>ClientPlanBenefit</w:t>
            </w:r>
            <w:proofErr w:type="spellEnd"/>
            <w:r>
              <w:rPr>
                <w:rFonts w:ascii="Arial" w:hAnsi="Arial"/>
              </w:rPr>
              <w:t>(s) associated to the Location will determine which balance types are applicable.</w:t>
            </w:r>
          </w:p>
          <w:p w14:paraId="3093682E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When transferring, the location search (both all acco</w:t>
            </w:r>
            <w:r>
              <w:rPr>
                <w:rFonts w:ascii="Arial" w:hAnsi="Arial"/>
              </w:rPr>
              <w:t>unt and single location search) should perform the same account creation as above (if necessary).</w:t>
            </w:r>
          </w:p>
          <w:p w14:paraId="22106835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When using global search, the same behavior will also apply to locations as above.</w:t>
            </w:r>
          </w:p>
          <w:p w14:paraId="6A7A7545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Fixed the client name column width on the location search (single row).</w:t>
            </w:r>
          </w:p>
          <w:p w14:paraId="76F1C4DC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Acc</w:t>
            </w:r>
            <w:r>
              <w:rPr>
                <w:rFonts w:ascii="Arial" w:hAnsi="Arial"/>
              </w:rPr>
              <w:t xml:space="preserve">ount Types </w:t>
            </w:r>
            <w:proofErr w:type="spellStart"/>
            <w:r>
              <w:rPr>
                <w:rFonts w:ascii="Arial" w:hAnsi="Arial"/>
              </w:rPr>
              <w:t>droplist</w:t>
            </w:r>
            <w:proofErr w:type="spellEnd"/>
            <w:r>
              <w:rPr>
                <w:rFonts w:ascii="Arial" w:hAnsi="Arial"/>
              </w:rPr>
              <w:t xml:space="preserve"> will display all applicable balance types (same as displayed in search) for both history and transfer pages.</w:t>
            </w:r>
          </w:p>
          <w:p w14:paraId="341A223C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 xml:space="preserve">If account type selected does not yet exist, </w:t>
            </w:r>
            <w:proofErr w:type="gramStart"/>
            <w:r>
              <w:rPr>
                <w:rFonts w:ascii="Arial" w:hAnsi="Arial"/>
              </w:rPr>
              <w:t>create</w:t>
            </w:r>
            <w:proofErr w:type="gramEnd"/>
            <w:r>
              <w:rPr>
                <w:rFonts w:ascii="Arial" w:hAnsi="Arial"/>
              </w:rPr>
              <w:t xml:space="preserve"> and commit for both history and transfer pages.</w:t>
            </w:r>
          </w:p>
          <w:p w14:paraId="69A02A71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Account setup button will o</w:t>
            </w:r>
            <w:r>
              <w:rPr>
                <w:rFonts w:ascii="Arial" w:hAnsi="Arial"/>
              </w:rPr>
              <w:t>nly be enabled for the "MLI Billed" balance type.</w:t>
            </w:r>
          </w:p>
          <w:p w14:paraId="4089184D" w14:textId="77777777" w:rsidR="00F909EE" w:rsidRDefault="00FE4A19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Account setup button will display the account setup popup directly (account list will no longer be accessible).</w:t>
            </w:r>
          </w:p>
        </w:tc>
      </w:tr>
      <w:tr w:rsidR="00F909EE" w14:paraId="08FBFF1B" w14:textId="77777777" w:rsidTr="00915534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D07851" w14:textId="77777777" w:rsidR="00F909EE" w:rsidRDefault="00FE4A19">
            <w:r>
              <w:rPr>
                <w:rFonts w:ascii="Arial" w:hAnsi="Arial"/>
              </w:rPr>
              <w:lastRenderedPageBreak/>
              <w:t>MLU-880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A4A65A" w14:textId="77777777" w:rsidR="00F909EE" w:rsidRDefault="00FE4A19">
            <w:r>
              <w:rPr>
                <w:rFonts w:ascii="Arial" w:hAnsi="Arial"/>
              </w:rPr>
              <w:t>2602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8E85E4" w14:textId="77777777" w:rsidR="00F909EE" w:rsidRDefault="00FE4A19">
            <w:r>
              <w:rPr>
                <w:rFonts w:ascii="Arial" w:hAnsi="Arial"/>
              </w:rPr>
              <w:t>Admin GUI</w:t>
            </w:r>
          </w:p>
        </w:tc>
        <w:tc>
          <w:tcPr>
            <w:tcW w:w="181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B34256" w14:textId="77777777" w:rsidR="00F909EE" w:rsidRDefault="00FE4A19">
            <w:r>
              <w:rPr>
                <w:rFonts w:ascii="Arial" w:hAnsi="Arial"/>
              </w:rPr>
              <w:t>[CDTASME-2602] Waiting Periods - New vs Current</w:t>
            </w:r>
          </w:p>
        </w:tc>
        <w:tc>
          <w:tcPr>
            <w:tcW w:w="51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04B429" w14:textId="77777777" w:rsidR="00F909EE" w:rsidRDefault="00FE4A19">
            <w:r>
              <w:rPr>
                <w:rFonts w:ascii="Arial" w:hAnsi="Arial"/>
              </w:rPr>
              <w:t xml:space="preserve">Aligned New Wait </w:t>
            </w:r>
            <w:r>
              <w:rPr>
                <w:rFonts w:ascii="Arial" w:hAnsi="Arial"/>
              </w:rPr>
              <w:t>Period labels and added back Current Wait Period fields. 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Notes:</w:t>
            </w:r>
          </w:p>
          <w:p w14:paraId="61805758" w14:textId="77777777" w:rsidR="00F909EE" w:rsidRDefault="00FE4A19">
            <w:pPr>
              <w:numPr>
                <w:ilvl w:val="0"/>
                <w:numId w:val="45"/>
              </w:numPr>
            </w:pPr>
            <w:r>
              <w:rPr>
                <w:rFonts w:ascii="Arial" w:hAnsi="Arial"/>
              </w:rPr>
              <w:t>The Current Wait Period fields are not linked to any business or calculation logic.  They are for information-only.</w:t>
            </w:r>
          </w:p>
          <w:p w14:paraId="13A3ABA1" w14:textId="77777777" w:rsidR="00F909EE" w:rsidRDefault="00FE4A19">
            <w:pPr>
              <w:numPr>
                <w:ilvl w:val="0"/>
                <w:numId w:val="45"/>
              </w:numPr>
            </w:pPr>
            <w:r>
              <w:rPr>
                <w:rFonts w:ascii="Arial" w:hAnsi="Arial"/>
              </w:rPr>
              <w:t>This behaviour is the same as in VO 4.0</w:t>
            </w:r>
          </w:p>
        </w:tc>
      </w:tr>
      <w:tr w:rsidR="00F909EE" w14:paraId="6100C235" w14:textId="77777777" w:rsidTr="00915534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766A74" w14:textId="77777777" w:rsidR="00F909EE" w:rsidRDefault="00FE4A19">
            <w:r>
              <w:rPr>
                <w:rFonts w:ascii="Arial" w:hAnsi="Arial"/>
              </w:rPr>
              <w:t>MLU-879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DEAE18" w14:textId="77777777" w:rsidR="00F909EE" w:rsidRDefault="00FE4A19">
            <w:r>
              <w:rPr>
                <w:rFonts w:ascii="Arial" w:hAnsi="Arial"/>
              </w:rPr>
              <w:t>2603</w:t>
            </w:r>
          </w:p>
        </w:tc>
        <w:tc>
          <w:tcPr>
            <w:tcW w:w="125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C9B346" w14:textId="77777777" w:rsidR="00F909EE" w:rsidRDefault="00FE4A19">
            <w:r>
              <w:rPr>
                <w:rFonts w:ascii="Arial" w:hAnsi="Arial"/>
              </w:rPr>
              <w:t>Batch Deposit</w:t>
            </w:r>
          </w:p>
        </w:tc>
        <w:tc>
          <w:tcPr>
            <w:tcW w:w="181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EF5522" w14:textId="77777777" w:rsidR="00F909EE" w:rsidRDefault="00FE4A19">
            <w:r>
              <w:rPr>
                <w:rFonts w:ascii="Arial" w:hAnsi="Arial"/>
              </w:rPr>
              <w:t>[CDTAS</w:t>
            </w:r>
            <w:r>
              <w:rPr>
                <w:rFonts w:ascii="Arial" w:hAnsi="Arial"/>
              </w:rPr>
              <w:t>ME-2603] ‘EDIT ITEM’ button is visible and clickable though the batch has been closed under Batch Deposit Application</w:t>
            </w:r>
          </w:p>
        </w:tc>
        <w:tc>
          <w:tcPr>
            <w:tcW w:w="51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A19E84" w14:textId="77777777" w:rsidR="00F909EE" w:rsidRDefault="00FE4A19">
            <w:pPr>
              <w:numPr>
                <w:ilvl w:val="0"/>
                <w:numId w:val="46"/>
              </w:numPr>
            </w:pPr>
            <w:r>
              <w:rPr>
                <w:rFonts w:ascii="Arial" w:hAnsi="Arial"/>
              </w:rPr>
              <w:t>Removed the edit icon for payment line and payment line items when the batch is closed (removed instead of disabled to keep consistent wit</w:t>
            </w:r>
            <w:r>
              <w:rPr>
                <w:rFonts w:ascii="Arial" w:hAnsi="Arial"/>
              </w:rPr>
              <w:t>h other action button behavior).</w:t>
            </w:r>
          </w:p>
          <w:p w14:paraId="334B0B64" w14:textId="77777777" w:rsidR="00F909EE" w:rsidRDefault="00FE4A19">
            <w:pPr>
              <w:numPr>
                <w:ilvl w:val="0"/>
                <w:numId w:val="46"/>
              </w:numPr>
            </w:pPr>
            <w:r>
              <w:rPr>
                <w:rFonts w:ascii="Arial" w:hAnsi="Arial"/>
              </w:rPr>
              <w:t>Prevented the double click action of the payment line item when the batch is closed.</w:t>
            </w:r>
          </w:p>
        </w:tc>
      </w:tr>
    </w:tbl>
    <w:p w14:paraId="75276502" w14:textId="77777777" w:rsidR="00F909EE" w:rsidRDefault="00F909EE"/>
    <w:sectPr w:rsidR="00F909EE" w:rsidSect="004D4C04">
      <w:headerReference w:type="default" r:id="rId8"/>
      <w:footerReference w:type="default" r:id="rId9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EFE25E" w14:textId="77777777" w:rsidR="00000000" w:rsidRDefault="00FE4A19">
      <w:pPr>
        <w:spacing w:after="0"/>
      </w:pPr>
      <w:r>
        <w:separator/>
      </w:r>
    </w:p>
  </w:endnote>
  <w:endnote w:type="continuationSeparator" w:id="0">
    <w:p w14:paraId="6091019D" w14:textId="77777777" w:rsidR="00000000" w:rsidRDefault="00FE4A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AEB09A" w14:textId="77777777" w:rsidR="00910A82" w:rsidRPr="00D8012A" w:rsidRDefault="00FE4A19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5B044D" w14:textId="77777777" w:rsidR="00000000" w:rsidRDefault="00FE4A19">
      <w:pPr>
        <w:spacing w:after="0"/>
      </w:pPr>
      <w:r>
        <w:separator/>
      </w:r>
    </w:p>
  </w:footnote>
  <w:footnote w:type="continuationSeparator" w:id="0">
    <w:p w14:paraId="5DB1CB72" w14:textId="77777777" w:rsidR="00000000" w:rsidRDefault="00FE4A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F909EE" w14:paraId="45A89C38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011B93EC" w14:textId="77777777" w:rsidR="00066F56" w:rsidRDefault="00FE4A19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44297C67" wp14:editId="06964EAB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87401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1A06864D" w14:textId="77777777" w:rsidR="00066F56" w:rsidRPr="00E61A6C" w:rsidRDefault="00FE4A19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075AE8FB" w14:textId="77777777" w:rsidR="00066F56" w:rsidRPr="00E61A6C" w:rsidRDefault="00FE4A19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707DE6EC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FF224086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A8DA5D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02CD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24A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E92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10BC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29A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EF9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B6CD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F7C6E836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E66EAC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D02A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ECE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E65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401E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0DA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46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E091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4EDA50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C8C0072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66610B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D5861B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C805B5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7408EA4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15EBB9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2EE4D7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5C2DDE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2D8CD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F86F84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172672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E4C424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E16E6E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F8E4EA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5627D7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22E24F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F60E65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3A9612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BD8AE09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C289F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07EFCE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4725EB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1FE05F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7B6AEC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52AB2A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EB0A20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BB1CD9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FD0607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D224A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C62F24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332C2F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7A86E95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5C8125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888620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10EDD2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FCC22C9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5C6A9E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8E882A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780C5B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0268D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050B24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482F9B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886E0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00C735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7974F3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7B4291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F52DC8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D0A3A6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0029DC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346018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6EA1F3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17B877B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632C08B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FA66192"/>
    <w:multiLevelType w:val="hybridMultilevel"/>
    <w:tmpl w:val="7FA66192"/>
    <w:lvl w:ilvl="0" w:tplc="702E2C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D86E3F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9C2921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50A904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17A8E1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770362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7F0286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D66FAE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8FCA2C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 w15:restartNumberingAfterBreak="0">
    <w:nsid w:val="7FA66193"/>
    <w:multiLevelType w:val="hybridMultilevel"/>
    <w:tmpl w:val="7FA66193"/>
    <w:lvl w:ilvl="0" w:tplc="C6AEAD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672B24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46690A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61A29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ED2F72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0BCFA1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D9896F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7049F6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6748928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 w15:restartNumberingAfterBreak="0">
    <w:nsid w:val="7FA66194"/>
    <w:multiLevelType w:val="hybridMultilevel"/>
    <w:tmpl w:val="7FA66194"/>
    <w:lvl w:ilvl="0" w:tplc="9CEA59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8D083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22EDB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840A96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234F0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6DAC4A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CB0EED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188522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9FC2EB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 w15:restartNumberingAfterBreak="0">
    <w:nsid w:val="7FA66195"/>
    <w:multiLevelType w:val="hybridMultilevel"/>
    <w:tmpl w:val="7FA66195"/>
    <w:lvl w:ilvl="0" w:tplc="22A8CF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E12C0B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118B74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CF86A4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ECE6D5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5CC544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6A492F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8B2491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320180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15534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909EE"/>
    <w:rsid w:val="00FA1D89"/>
    <w:rsid w:val="00FD109F"/>
    <w:rsid w:val="00FE4A1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D15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2</cp:revision>
  <dcterms:created xsi:type="dcterms:W3CDTF">2020-12-21T19:46:00Z</dcterms:created>
  <dcterms:modified xsi:type="dcterms:W3CDTF">2020-12-21T19:46:00Z</dcterms:modified>
</cp:coreProperties>
</file>