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9C4026" w14:textId="77777777" w:rsidR="006F56FD" w:rsidRDefault="00ED4EF3" w:rsidP="00066F56">
      <w:pPr>
        <w:pStyle w:val="Heading1"/>
      </w:pPr>
      <w:r>
        <w:t>ManuConnect Release - 2020.12.14</w:t>
      </w:r>
    </w:p>
    <w:tbl>
      <w:tblPr>
        <w:tblStyle w:val="ScrollTableNormal"/>
        <w:tblW w:w="0" w:type="auto"/>
        <w:tblLayout w:type="fixed"/>
        <w:tblLook w:val="0080" w:firstRow="0" w:lastRow="0" w:firstColumn="1" w:lastColumn="0" w:noHBand="0" w:noVBand="0"/>
      </w:tblPr>
      <w:tblGrid>
        <w:gridCol w:w="3344"/>
        <w:gridCol w:w="6020"/>
      </w:tblGrid>
      <w:tr w:rsidR="00E43E33" w14:paraId="0A4C4966" w14:textId="77777777" w:rsidTr="00E43E33">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2055CF18" w14:textId="77777777" w:rsidR="00E43E33" w:rsidRDefault="00ED4EF3">
            <w:r>
              <w:rPr>
                <w:rFonts w:ascii="Arial" w:hAnsi="Arial"/>
              </w:rPr>
              <w:t>Release Date</w:t>
            </w:r>
          </w:p>
        </w:tc>
        <w:tc>
          <w:tcPr>
            <w:tcW w:w="6020" w:type="dxa"/>
            <w:tcMar>
              <w:top w:w="30" w:type="dxa"/>
              <w:left w:w="30" w:type="dxa"/>
              <w:bottom w:w="20" w:type="dxa"/>
              <w:right w:w="30" w:type="dxa"/>
            </w:tcMar>
          </w:tcPr>
          <w:p w14:paraId="16F684AB" w14:textId="77777777" w:rsidR="00E43E33" w:rsidRDefault="00ED4EF3">
            <w:pPr>
              <w:cnfStyle w:val="000000000000" w:firstRow="0" w:lastRow="0" w:firstColumn="0" w:lastColumn="0" w:oddVBand="0" w:evenVBand="0" w:oddHBand="0" w:evenHBand="0" w:firstRowFirstColumn="0" w:firstRowLastColumn="0" w:lastRowFirstColumn="0" w:lastRowLastColumn="0"/>
            </w:pPr>
            <w:r>
              <w:rPr>
                <w:rFonts w:ascii="Arial" w:hAnsi="Arial"/>
              </w:rPr>
              <w:t>14 Dec 2020 </w:t>
            </w:r>
          </w:p>
        </w:tc>
      </w:tr>
      <w:tr w:rsidR="00E43E33" w14:paraId="1FDCAE75" w14:textId="77777777" w:rsidTr="00E43E33">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2BA88727" w14:textId="77777777" w:rsidR="00E43E33" w:rsidRDefault="00ED4EF3">
            <w:r>
              <w:rPr>
                <w:rFonts w:ascii="Arial" w:hAnsi="Arial"/>
              </w:rPr>
              <w:t>Core Installer</w:t>
            </w:r>
          </w:p>
        </w:tc>
        <w:tc>
          <w:tcPr>
            <w:tcW w:w="6020" w:type="dxa"/>
            <w:tcMar>
              <w:top w:w="30" w:type="dxa"/>
              <w:left w:w="30" w:type="dxa"/>
              <w:bottom w:w="20" w:type="dxa"/>
              <w:right w:w="30" w:type="dxa"/>
            </w:tcMar>
          </w:tcPr>
          <w:p w14:paraId="7B55A660" w14:textId="22BFCD46" w:rsidR="00E43E33" w:rsidRDefault="00ED4EF3">
            <w:pPr>
              <w:cnfStyle w:val="000000000000" w:firstRow="0" w:lastRow="0" w:firstColumn="0" w:lastColumn="0" w:oddVBand="0" w:evenVBand="0" w:oddHBand="0" w:evenHBand="0" w:firstRowFirstColumn="0" w:firstRowLastColumn="0" w:lastRowFirstColumn="0" w:lastRowLastColumn="0"/>
            </w:pPr>
            <w:r>
              <w:rPr>
                <w:rFonts w:ascii="Arial" w:hAnsi="Arial"/>
              </w:rPr>
              <w:t>7.0.01214.70</w:t>
            </w:r>
            <w:r w:rsidR="00020D67">
              <w:rPr>
                <w:rFonts w:ascii="Arial" w:hAnsi="Arial"/>
              </w:rPr>
              <w:t>1</w:t>
            </w:r>
          </w:p>
        </w:tc>
      </w:tr>
      <w:tr w:rsidR="00E43E33" w14:paraId="4FE15A0B" w14:textId="77777777" w:rsidTr="00E43E33">
        <w:tc>
          <w:tcPr>
            <w:cnfStyle w:val="001000000000" w:firstRow="0" w:lastRow="0" w:firstColumn="1" w:lastColumn="0" w:oddVBand="0" w:evenVBand="0" w:oddHBand="0" w:evenHBand="0" w:firstRowFirstColumn="0" w:firstRowLastColumn="0" w:lastRowFirstColumn="0" w:lastRowLastColumn="0"/>
            <w:tcW w:w="3344" w:type="dxa"/>
            <w:tcMar>
              <w:top w:w="30" w:type="dxa"/>
              <w:left w:w="30" w:type="dxa"/>
              <w:bottom w:w="20" w:type="dxa"/>
              <w:right w:w="30" w:type="dxa"/>
            </w:tcMar>
          </w:tcPr>
          <w:p w14:paraId="701D8276" w14:textId="77777777" w:rsidR="00E43E33" w:rsidRDefault="00ED4EF3">
            <w:r>
              <w:rPr>
                <w:rFonts w:ascii="Arial" w:hAnsi="Arial"/>
              </w:rPr>
              <w:t>Installer Suite</w:t>
            </w:r>
          </w:p>
        </w:tc>
        <w:tc>
          <w:tcPr>
            <w:tcW w:w="6020" w:type="dxa"/>
            <w:tcMar>
              <w:top w:w="30" w:type="dxa"/>
              <w:left w:w="30" w:type="dxa"/>
              <w:bottom w:w="20" w:type="dxa"/>
              <w:right w:w="30" w:type="dxa"/>
            </w:tcMar>
          </w:tcPr>
          <w:p w14:paraId="3722DF68" w14:textId="3C1F9EC3" w:rsidR="00E43E33" w:rsidRDefault="00ED4EF3">
            <w:pPr>
              <w:cnfStyle w:val="000000000000" w:firstRow="0" w:lastRow="0" w:firstColumn="0" w:lastColumn="0" w:oddVBand="0" w:evenVBand="0" w:oddHBand="0" w:evenHBand="0" w:firstRowFirstColumn="0" w:firstRowLastColumn="0" w:lastRowFirstColumn="0" w:lastRowLastColumn="0"/>
            </w:pPr>
            <w:r>
              <w:rPr>
                <w:rFonts w:ascii="Arial" w:hAnsi="Arial"/>
              </w:rPr>
              <w:t>7.0.01214.104</w:t>
            </w:r>
            <w:r w:rsidR="00020D67">
              <w:rPr>
                <w:rFonts w:ascii="Arial" w:hAnsi="Arial"/>
              </w:rPr>
              <w:t>9</w:t>
            </w:r>
          </w:p>
        </w:tc>
      </w:tr>
    </w:tbl>
    <w:p w14:paraId="134839DB" w14:textId="77777777" w:rsidR="0087617C" w:rsidRPr="00D841F2" w:rsidRDefault="00ED4EF3">
      <w:pPr>
        <w:pStyle w:val="Heading1"/>
      </w:pPr>
      <w:bookmarkStart w:id="0" w:name="scroll-bookmark-2"/>
      <w:r>
        <w:t>Overview</w:t>
      </w:r>
      <w:bookmarkEnd w:id="0"/>
    </w:p>
    <w:p w14:paraId="54E04293" w14:textId="77777777" w:rsidR="00E43E33" w:rsidRDefault="00ED4EF3">
      <w:r>
        <w:t>Today's release includes several PAD and Transaction Register changes.</w:t>
      </w:r>
    </w:p>
    <w:tbl>
      <w:tblPr>
        <w:tblStyle w:val="ScrollInfo"/>
        <w:tblW w:w="0" w:type="auto"/>
        <w:tblLayout w:type="fixed"/>
        <w:tblLook w:val="0180" w:firstRow="0" w:lastRow="0" w:firstColumn="1" w:lastColumn="1" w:noHBand="0" w:noVBand="0"/>
      </w:tblPr>
      <w:tblGrid>
        <w:gridCol w:w="9475"/>
      </w:tblGrid>
      <w:tr w:rsidR="00E43E33" w14:paraId="33FD371D" w14:textId="77777777">
        <w:tc>
          <w:tcPr>
            <w:tcW w:w="9475" w:type="dxa"/>
          </w:tcPr>
          <w:p w14:paraId="3A66EE33" w14:textId="77777777" w:rsidR="00E43E33" w:rsidRDefault="00ED4EF3">
            <w:r>
              <w:rPr>
                <w:b/>
                <w:sz w:val="24"/>
              </w:rPr>
              <w:t>IMPORTANT!</w:t>
            </w:r>
          </w:p>
          <w:p w14:paraId="19CCEA7A" w14:textId="77777777" w:rsidR="00E43E33" w:rsidRDefault="00ED4EF3">
            <w:r>
              <w:rPr>
                <w:sz w:val="24"/>
              </w:rPr>
              <w:t>CWI NuGet packages have been updated in today's code drop.  This update is intended to roll back the recent change that was delivered on 2020.12.07.   The rolling back enables Manulife's own applications to work until their build process is modified.</w:t>
            </w:r>
          </w:p>
          <w:p w14:paraId="654C1CE4" w14:textId="77777777" w:rsidR="00E43E33" w:rsidRDefault="00ED4EF3">
            <w:r>
              <w:rPr>
                <w:sz w:val="24"/>
              </w:rPr>
              <w:t xml:space="preserve">Change that is reverted: </w:t>
            </w:r>
            <w:r>
              <w:rPr>
                <w:b/>
                <w:i/>
                <w:color w:val="172B4D"/>
                <w:sz w:val="24"/>
              </w:rPr>
              <w:t>[CDTASMU-10532] The Addition of Client Maintenance Member Events Causes an Issue for Client Life Events</w:t>
            </w:r>
          </w:p>
        </w:tc>
      </w:tr>
    </w:tbl>
    <w:p w14:paraId="143816AD" w14:textId="77777777" w:rsidR="00E43E33" w:rsidRDefault="00E43E33"/>
    <w:p w14:paraId="46CA94BC" w14:textId="77777777" w:rsidR="00E43E33" w:rsidRDefault="00E43E33"/>
    <w:p w14:paraId="64B8B860" w14:textId="77777777" w:rsidR="00E43E33" w:rsidRDefault="00ED4EF3">
      <w:pPr>
        <w:pStyle w:val="Heading1"/>
      </w:pPr>
      <w:bookmarkStart w:id="1" w:name="scroll-bookmark-3"/>
      <w:r>
        <w:t>VO API Fixes</w:t>
      </w:r>
      <w:bookmarkEnd w:id="1"/>
    </w:p>
    <w:tbl>
      <w:tblPr>
        <w:tblStyle w:val="ScrollTableNormal"/>
        <w:tblW w:w="0" w:type="auto"/>
        <w:tblLayout w:type="fixed"/>
        <w:tblLook w:val="0020" w:firstRow="1" w:lastRow="0" w:firstColumn="0" w:lastColumn="0" w:noHBand="0" w:noVBand="0"/>
      </w:tblPr>
      <w:tblGrid>
        <w:gridCol w:w="478"/>
        <w:gridCol w:w="382"/>
        <w:gridCol w:w="669"/>
        <w:gridCol w:w="1911"/>
        <w:gridCol w:w="5924"/>
      </w:tblGrid>
      <w:tr w:rsidR="00E43E33" w14:paraId="1C14510F" w14:textId="77777777" w:rsidTr="00E43E33">
        <w:trPr>
          <w:cnfStyle w:val="100000000000" w:firstRow="1" w:lastRow="0" w:firstColumn="0" w:lastColumn="0" w:oddVBand="0" w:evenVBand="0" w:oddHBand="0" w:evenHBand="0" w:firstRowFirstColumn="0" w:firstRowLastColumn="0" w:lastRowFirstColumn="0" w:lastRowLastColumn="0"/>
        </w:trPr>
        <w:tc>
          <w:tcPr>
            <w:tcW w:w="478" w:type="dxa"/>
            <w:tcMar>
              <w:top w:w="30" w:type="dxa"/>
              <w:left w:w="30" w:type="dxa"/>
              <w:bottom w:w="20" w:type="dxa"/>
              <w:right w:w="30" w:type="dxa"/>
            </w:tcMar>
          </w:tcPr>
          <w:p w14:paraId="1D86310A" w14:textId="77777777" w:rsidR="00E43E33" w:rsidRDefault="00ED4EF3">
            <w:r>
              <w:rPr>
                <w:rFonts w:ascii="Arial" w:hAnsi="Arial"/>
                <w:b/>
              </w:rPr>
              <w:t>Feature</w:t>
            </w:r>
          </w:p>
        </w:tc>
        <w:tc>
          <w:tcPr>
            <w:tcW w:w="382" w:type="dxa"/>
            <w:tcMar>
              <w:top w:w="30" w:type="dxa"/>
              <w:left w:w="30" w:type="dxa"/>
              <w:bottom w:w="20" w:type="dxa"/>
              <w:right w:w="30" w:type="dxa"/>
            </w:tcMar>
          </w:tcPr>
          <w:p w14:paraId="40141144" w14:textId="77777777" w:rsidR="00E43E33" w:rsidRDefault="00ED4EF3">
            <w:r>
              <w:rPr>
                <w:rFonts w:ascii="Arial" w:hAnsi="Arial"/>
                <w:b/>
              </w:rPr>
              <w:t>Client No.</w:t>
            </w:r>
          </w:p>
        </w:tc>
        <w:tc>
          <w:tcPr>
            <w:tcW w:w="669" w:type="dxa"/>
            <w:tcMar>
              <w:top w:w="30" w:type="dxa"/>
              <w:left w:w="30" w:type="dxa"/>
              <w:bottom w:w="20" w:type="dxa"/>
              <w:right w:w="30" w:type="dxa"/>
            </w:tcMar>
          </w:tcPr>
          <w:p w14:paraId="5CE7463A" w14:textId="77777777" w:rsidR="00E43E33" w:rsidRDefault="00ED4EF3">
            <w:r>
              <w:rPr>
                <w:rFonts w:ascii="Arial" w:hAnsi="Arial"/>
                <w:b/>
              </w:rPr>
              <w:t>Category</w:t>
            </w:r>
          </w:p>
        </w:tc>
        <w:tc>
          <w:tcPr>
            <w:tcW w:w="1911" w:type="dxa"/>
            <w:tcMar>
              <w:top w:w="30" w:type="dxa"/>
              <w:left w:w="30" w:type="dxa"/>
              <w:bottom w:w="20" w:type="dxa"/>
              <w:right w:w="30" w:type="dxa"/>
            </w:tcMar>
          </w:tcPr>
          <w:p w14:paraId="2F7E07D2" w14:textId="77777777" w:rsidR="00E43E33" w:rsidRDefault="00ED4EF3">
            <w:r>
              <w:rPr>
                <w:rFonts w:ascii="Arial" w:hAnsi="Arial"/>
                <w:b/>
              </w:rPr>
              <w:t>Summary</w:t>
            </w:r>
          </w:p>
        </w:tc>
        <w:tc>
          <w:tcPr>
            <w:tcW w:w="5924" w:type="dxa"/>
            <w:tcMar>
              <w:top w:w="30" w:type="dxa"/>
              <w:left w:w="30" w:type="dxa"/>
              <w:bottom w:w="20" w:type="dxa"/>
              <w:right w:w="30" w:type="dxa"/>
            </w:tcMar>
          </w:tcPr>
          <w:p w14:paraId="10FEDA95" w14:textId="77777777" w:rsidR="00E43E33" w:rsidRDefault="00ED4EF3">
            <w:r>
              <w:rPr>
                <w:rFonts w:ascii="Arial" w:hAnsi="Arial"/>
                <w:b/>
              </w:rPr>
              <w:t>Release Notes</w:t>
            </w:r>
          </w:p>
        </w:tc>
      </w:tr>
      <w:tr w:rsidR="00E43E33" w14:paraId="468088BA" w14:textId="77777777" w:rsidTr="00E43E33">
        <w:tc>
          <w:tcPr>
            <w:tcW w:w="478" w:type="dxa"/>
            <w:tcMar>
              <w:top w:w="30" w:type="dxa"/>
              <w:left w:w="30" w:type="dxa"/>
              <w:bottom w:w="20" w:type="dxa"/>
              <w:right w:w="30" w:type="dxa"/>
            </w:tcMar>
          </w:tcPr>
          <w:p w14:paraId="52767880" w14:textId="77777777" w:rsidR="00E43E33" w:rsidRDefault="00020D67">
            <w:hyperlink r:id="rId8" w:history="1">
              <w:r w:rsidR="00ED4EF3">
                <w:rPr>
                  <w:rStyle w:val="Hyperlink"/>
                  <w:rFonts w:ascii="Arial" w:hAnsi="Arial"/>
                </w:rPr>
                <w:t>VO-2419</w:t>
              </w:r>
            </w:hyperlink>
          </w:p>
        </w:tc>
        <w:tc>
          <w:tcPr>
            <w:tcW w:w="382" w:type="dxa"/>
            <w:tcMar>
              <w:top w:w="30" w:type="dxa"/>
              <w:left w:w="30" w:type="dxa"/>
              <w:bottom w:w="20" w:type="dxa"/>
              <w:right w:w="30" w:type="dxa"/>
            </w:tcMar>
          </w:tcPr>
          <w:p w14:paraId="25F9AE5A" w14:textId="77777777" w:rsidR="00E43E33" w:rsidRDefault="00ED4EF3">
            <w:r>
              <w:rPr>
                <w:rFonts w:ascii="Arial" w:hAnsi="Arial"/>
              </w:rPr>
              <w:t> -</w:t>
            </w:r>
          </w:p>
        </w:tc>
        <w:tc>
          <w:tcPr>
            <w:tcW w:w="669" w:type="dxa"/>
            <w:tcMar>
              <w:top w:w="30" w:type="dxa"/>
              <w:left w:w="30" w:type="dxa"/>
              <w:bottom w:w="20" w:type="dxa"/>
              <w:right w:w="30" w:type="dxa"/>
            </w:tcMar>
          </w:tcPr>
          <w:p w14:paraId="76A28317" w14:textId="77777777" w:rsidR="00E43E33" w:rsidRDefault="00ED4EF3">
            <w:r>
              <w:rPr>
                <w:rFonts w:ascii="Arial" w:hAnsi="Arial"/>
              </w:rPr>
              <w:t>Services</w:t>
            </w:r>
          </w:p>
        </w:tc>
        <w:tc>
          <w:tcPr>
            <w:tcW w:w="1911" w:type="dxa"/>
            <w:tcMar>
              <w:top w:w="30" w:type="dxa"/>
              <w:left w:w="30" w:type="dxa"/>
              <w:bottom w:w="20" w:type="dxa"/>
              <w:right w:w="30" w:type="dxa"/>
            </w:tcMar>
          </w:tcPr>
          <w:p w14:paraId="538C05BC" w14:textId="77777777" w:rsidR="00E43E33" w:rsidRDefault="00ED4EF3">
            <w:r>
              <w:rPr>
                <w:rFonts w:ascii="Arial" w:hAnsi="Arial"/>
              </w:rPr>
              <w:t>UpdateBenefit endpoint throws exception</w:t>
            </w:r>
          </w:p>
        </w:tc>
        <w:tc>
          <w:tcPr>
            <w:tcW w:w="5924" w:type="dxa"/>
            <w:tcMar>
              <w:top w:w="30" w:type="dxa"/>
              <w:left w:w="30" w:type="dxa"/>
              <w:bottom w:w="20" w:type="dxa"/>
              <w:right w:w="30" w:type="dxa"/>
            </w:tcMar>
          </w:tcPr>
          <w:p w14:paraId="3DC4EB38" w14:textId="77777777" w:rsidR="00E43E33" w:rsidRDefault="00ED4EF3">
            <w:r>
              <w:rPr>
                <w:rFonts w:ascii="Arial" w:hAnsi="Arial"/>
              </w:rPr>
              <w:t>Fixed an issue in Member Benefits &gt; Update endpoint. It got accidentally broken on adding caching of PlanInformation</w:t>
            </w:r>
          </w:p>
        </w:tc>
      </w:tr>
    </w:tbl>
    <w:p w14:paraId="4C0A290D" w14:textId="77777777" w:rsidR="00E43E33" w:rsidRDefault="00ED4EF3">
      <w:pPr>
        <w:pStyle w:val="Heading1"/>
      </w:pPr>
      <w:bookmarkStart w:id="2" w:name="scroll-bookmark-4"/>
      <w:r>
        <w:lastRenderedPageBreak/>
        <w:t>Defects Addressed</w:t>
      </w:r>
      <w:bookmarkEnd w:id="2"/>
    </w:p>
    <w:tbl>
      <w:tblPr>
        <w:tblStyle w:val="ScrollTableNormal"/>
        <w:tblW w:w="10130" w:type="dxa"/>
        <w:tblLayout w:type="fixed"/>
        <w:tblLook w:val="0020" w:firstRow="1" w:lastRow="0" w:firstColumn="0" w:lastColumn="0" w:noHBand="0" w:noVBand="0"/>
      </w:tblPr>
      <w:tblGrid>
        <w:gridCol w:w="714"/>
        <w:gridCol w:w="772"/>
        <w:gridCol w:w="573"/>
        <w:gridCol w:w="1911"/>
        <w:gridCol w:w="6160"/>
      </w:tblGrid>
      <w:tr w:rsidR="00E43E33" w14:paraId="4254160A" w14:textId="77777777" w:rsidTr="00ED4EF3">
        <w:trPr>
          <w:cnfStyle w:val="100000000000" w:firstRow="1" w:lastRow="0" w:firstColumn="0" w:lastColumn="0" w:oddVBand="0" w:evenVBand="0" w:oddHBand="0" w:evenHBand="0" w:firstRowFirstColumn="0" w:firstRowLastColumn="0" w:lastRowFirstColumn="0" w:lastRowLastColumn="0"/>
        </w:trPr>
        <w:tc>
          <w:tcPr>
            <w:tcW w:w="714" w:type="dxa"/>
            <w:tcMar>
              <w:top w:w="30" w:type="dxa"/>
              <w:left w:w="30" w:type="dxa"/>
              <w:bottom w:w="20" w:type="dxa"/>
              <w:right w:w="30" w:type="dxa"/>
            </w:tcMar>
          </w:tcPr>
          <w:p w14:paraId="3CD5BDA0" w14:textId="77777777" w:rsidR="00E43E33" w:rsidRDefault="00ED4EF3">
            <w:r>
              <w:rPr>
                <w:rFonts w:ascii="Arial" w:hAnsi="Arial"/>
                <w:b/>
              </w:rPr>
              <w:t>Defect</w:t>
            </w:r>
          </w:p>
        </w:tc>
        <w:tc>
          <w:tcPr>
            <w:tcW w:w="772" w:type="dxa"/>
            <w:tcMar>
              <w:top w:w="30" w:type="dxa"/>
              <w:left w:w="30" w:type="dxa"/>
              <w:bottom w:w="20" w:type="dxa"/>
              <w:right w:w="30" w:type="dxa"/>
            </w:tcMar>
          </w:tcPr>
          <w:p w14:paraId="6ED87E29" w14:textId="77777777" w:rsidR="00E43E33" w:rsidRDefault="00ED4EF3">
            <w:r>
              <w:rPr>
                <w:rFonts w:ascii="Arial" w:hAnsi="Arial"/>
                <w:b/>
              </w:rPr>
              <w:t>Client No.</w:t>
            </w:r>
          </w:p>
        </w:tc>
        <w:tc>
          <w:tcPr>
            <w:tcW w:w="573" w:type="dxa"/>
            <w:tcMar>
              <w:top w:w="30" w:type="dxa"/>
              <w:left w:w="30" w:type="dxa"/>
              <w:bottom w:w="20" w:type="dxa"/>
              <w:right w:w="30" w:type="dxa"/>
            </w:tcMar>
          </w:tcPr>
          <w:p w14:paraId="026CDF56" w14:textId="77777777" w:rsidR="00E43E33" w:rsidRDefault="00ED4EF3">
            <w:r>
              <w:rPr>
                <w:rFonts w:ascii="Arial" w:hAnsi="Arial"/>
                <w:b/>
              </w:rPr>
              <w:t>Category</w:t>
            </w:r>
          </w:p>
        </w:tc>
        <w:tc>
          <w:tcPr>
            <w:tcW w:w="1911" w:type="dxa"/>
            <w:tcMar>
              <w:top w:w="30" w:type="dxa"/>
              <w:left w:w="30" w:type="dxa"/>
              <w:bottom w:w="20" w:type="dxa"/>
              <w:right w:w="30" w:type="dxa"/>
            </w:tcMar>
          </w:tcPr>
          <w:p w14:paraId="25C0A436" w14:textId="77777777" w:rsidR="00E43E33" w:rsidRDefault="00ED4EF3">
            <w:r>
              <w:rPr>
                <w:rFonts w:ascii="Arial" w:hAnsi="Arial"/>
                <w:b/>
              </w:rPr>
              <w:t>Summary</w:t>
            </w:r>
          </w:p>
        </w:tc>
        <w:tc>
          <w:tcPr>
            <w:tcW w:w="6160" w:type="dxa"/>
            <w:tcMar>
              <w:top w:w="30" w:type="dxa"/>
              <w:left w:w="30" w:type="dxa"/>
              <w:bottom w:w="20" w:type="dxa"/>
              <w:right w:w="30" w:type="dxa"/>
            </w:tcMar>
          </w:tcPr>
          <w:p w14:paraId="6A686769" w14:textId="77777777" w:rsidR="00E43E33" w:rsidRDefault="00ED4EF3">
            <w:r>
              <w:rPr>
                <w:rFonts w:ascii="Arial" w:hAnsi="Arial"/>
                <w:b/>
              </w:rPr>
              <w:t>Release Notes</w:t>
            </w:r>
          </w:p>
        </w:tc>
      </w:tr>
      <w:tr w:rsidR="00E43E33" w14:paraId="6C136885" w14:textId="77777777" w:rsidTr="00ED4EF3">
        <w:tc>
          <w:tcPr>
            <w:tcW w:w="714" w:type="dxa"/>
            <w:tcMar>
              <w:top w:w="30" w:type="dxa"/>
              <w:left w:w="30" w:type="dxa"/>
              <w:bottom w:w="20" w:type="dxa"/>
              <w:right w:w="30" w:type="dxa"/>
            </w:tcMar>
          </w:tcPr>
          <w:p w14:paraId="2EDE50E1" w14:textId="77777777" w:rsidR="00E43E33" w:rsidRDefault="00ED4EF3">
            <w:r>
              <w:rPr>
                <w:rFonts w:ascii="Arial" w:hAnsi="Arial"/>
              </w:rPr>
              <w:t>MLU-844</w:t>
            </w:r>
          </w:p>
        </w:tc>
        <w:tc>
          <w:tcPr>
            <w:tcW w:w="772" w:type="dxa"/>
            <w:tcMar>
              <w:top w:w="30" w:type="dxa"/>
              <w:left w:w="30" w:type="dxa"/>
              <w:bottom w:w="20" w:type="dxa"/>
              <w:right w:w="30" w:type="dxa"/>
            </w:tcMar>
          </w:tcPr>
          <w:p w14:paraId="21D19A03" w14:textId="77777777" w:rsidR="00E43E33" w:rsidRDefault="00ED4EF3">
            <w:r>
              <w:rPr>
                <w:rFonts w:ascii="Arial" w:hAnsi="Arial"/>
              </w:rPr>
              <w:t>2386</w:t>
            </w:r>
          </w:p>
        </w:tc>
        <w:tc>
          <w:tcPr>
            <w:tcW w:w="573" w:type="dxa"/>
            <w:tcMar>
              <w:top w:w="30" w:type="dxa"/>
              <w:left w:w="30" w:type="dxa"/>
              <w:bottom w:w="20" w:type="dxa"/>
              <w:right w:w="30" w:type="dxa"/>
            </w:tcMar>
          </w:tcPr>
          <w:p w14:paraId="010E2981" w14:textId="77777777" w:rsidR="00E43E33" w:rsidRDefault="00ED4EF3">
            <w:r>
              <w:rPr>
                <w:rFonts w:ascii="Arial" w:hAnsi="Arial"/>
              </w:rPr>
              <w:t>Admin GUI</w:t>
            </w:r>
          </w:p>
        </w:tc>
        <w:tc>
          <w:tcPr>
            <w:tcW w:w="1911" w:type="dxa"/>
            <w:tcMar>
              <w:top w:w="30" w:type="dxa"/>
              <w:left w:w="30" w:type="dxa"/>
              <w:bottom w:w="20" w:type="dxa"/>
              <w:right w:w="30" w:type="dxa"/>
            </w:tcMar>
          </w:tcPr>
          <w:p w14:paraId="175AE71F" w14:textId="77777777" w:rsidR="00E43E33" w:rsidRDefault="00ED4EF3">
            <w:r>
              <w:rPr>
                <w:rFonts w:ascii="Arial" w:hAnsi="Arial"/>
              </w:rPr>
              <w:t>[CDTASME-2386] PAD reports - Changes to PAD_ExclusionReport</w:t>
            </w:r>
          </w:p>
        </w:tc>
        <w:tc>
          <w:tcPr>
            <w:tcW w:w="6160" w:type="dxa"/>
            <w:tcMar>
              <w:top w:w="30" w:type="dxa"/>
              <w:left w:w="30" w:type="dxa"/>
              <w:bottom w:w="20" w:type="dxa"/>
              <w:right w:w="30" w:type="dxa"/>
            </w:tcMar>
          </w:tcPr>
          <w:p w14:paraId="15615F04" w14:textId="77777777" w:rsidR="00E43E33" w:rsidRDefault="00ED4EF3">
            <w:pPr>
              <w:numPr>
                <w:ilvl w:val="0"/>
                <w:numId w:val="42"/>
              </w:numPr>
            </w:pPr>
            <w:r>
              <w:rPr>
                <w:rFonts w:ascii="Arial" w:hAnsi="Arial"/>
              </w:rPr>
              <w:t>Default the Location Bank Account Usage drop list to "Automatic Withdrawal".</w:t>
            </w:r>
          </w:p>
          <w:p w14:paraId="5386D7C2" w14:textId="77777777" w:rsidR="00E43E33" w:rsidRDefault="00ED4EF3">
            <w:pPr>
              <w:numPr>
                <w:ilvl w:val="0"/>
                <w:numId w:val="42"/>
              </w:numPr>
            </w:pPr>
            <w:r>
              <w:rPr>
                <w:rFonts w:ascii="Arial" w:hAnsi="Arial"/>
              </w:rPr>
              <w:t>Default the Member Bank Account Usage drop list to "Health/Dental claims".</w:t>
            </w:r>
          </w:p>
          <w:p w14:paraId="7710119D" w14:textId="19577748" w:rsidR="00E43E33" w:rsidRDefault="00055134">
            <w:pPr>
              <w:numPr>
                <w:ilvl w:val="0"/>
                <w:numId w:val="42"/>
              </w:numPr>
            </w:pPr>
            <w:r w:rsidRPr="00055134">
              <w:t>The bill run day must be at least 5 days after the pad pull date.  The PAD withdraw date/day is compared against the Bill Run Day.  There should be a 5-day difference.  If Bill Run Day is NOT at least 5 days greater than PAD Withdraw Date/Day, then display an error message:</w:t>
            </w:r>
          </w:p>
          <w:p w14:paraId="3E80BE5A" w14:textId="77777777" w:rsidR="00E43E33" w:rsidRDefault="00ED4EF3">
            <w:r>
              <w:rPr>
                <w:rFonts w:ascii="Arial" w:hAnsi="Arial"/>
              </w:rPr>
              <w:t>"PAD Withdraw Day should be at least 5 days earlier than Bill Run Day"</w:t>
            </w:r>
          </w:p>
        </w:tc>
      </w:tr>
      <w:tr w:rsidR="00E43E33" w14:paraId="53A6017B" w14:textId="77777777" w:rsidTr="00ED4EF3">
        <w:tc>
          <w:tcPr>
            <w:tcW w:w="714" w:type="dxa"/>
            <w:tcMar>
              <w:top w:w="30" w:type="dxa"/>
              <w:left w:w="30" w:type="dxa"/>
              <w:bottom w:w="20" w:type="dxa"/>
              <w:right w:w="30" w:type="dxa"/>
            </w:tcMar>
          </w:tcPr>
          <w:p w14:paraId="3F9DB0C0" w14:textId="77777777" w:rsidR="00E43E33" w:rsidRDefault="00ED4EF3">
            <w:r>
              <w:rPr>
                <w:rFonts w:ascii="Arial" w:hAnsi="Arial"/>
              </w:rPr>
              <w:t>MLU-843</w:t>
            </w:r>
          </w:p>
        </w:tc>
        <w:tc>
          <w:tcPr>
            <w:tcW w:w="772" w:type="dxa"/>
            <w:tcMar>
              <w:top w:w="30" w:type="dxa"/>
              <w:left w:w="30" w:type="dxa"/>
              <w:bottom w:w="20" w:type="dxa"/>
              <w:right w:w="30" w:type="dxa"/>
            </w:tcMar>
          </w:tcPr>
          <w:p w14:paraId="1F928819" w14:textId="77777777" w:rsidR="00E43E33" w:rsidRDefault="00ED4EF3">
            <w:r>
              <w:rPr>
                <w:rFonts w:ascii="Arial" w:hAnsi="Arial"/>
              </w:rPr>
              <w:t>2568</w:t>
            </w:r>
          </w:p>
        </w:tc>
        <w:tc>
          <w:tcPr>
            <w:tcW w:w="573" w:type="dxa"/>
            <w:tcMar>
              <w:top w:w="30" w:type="dxa"/>
              <w:left w:w="30" w:type="dxa"/>
              <w:bottom w:w="20" w:type="dxa"/>
              <w:right w:w="30" w:type="dxa"/>
            </w:tcMar>
          </w:tcPr>
          <w:p w14:paraId="537BF276" w14:textId="77777777" w:rsidR="00E43E33" w:rsidRDefault="00ED4EF3">
            <w:r>
              <w:rPr>
                <w:rFonts w:ascii="Arial" w:hAnsi="Arial"/>
              </w:rPr>
              <w:t>Accounting</w:t>
            </w:r>
          </w:p>
        </w:tc>
        <w:tc>
          <w:tcPr>
            <w:tcW w:w="1911" w:type="dxa"/>
            <w:tcMar>
              <w:top w:w="30" w:type="dxa"/>
              <w:left w:w="30" w:type="dxa"/>
              <w:bottom w:w="20" w:type="dxa"/>
              <w:right w:w="30" w:type="dxa"/>
            </w:tcMar>
          </w:tcPr>
          <w:p w14:paraId="5511685D" w14:textId="77777777" w:rsidR="00E43E33" w:rsidRDefault="00ED4EF3">
            <w:r>
              <w:rPr>
                <w:rFonts w:ascii="Arial" w:hAnsi="Arial"/>
              </w:rPr>
              <w:t>[CDTASME-2568] PAD Payment Batch item details not matching with VO4 current behavior</w:t>
            </w:r>
          </w:p>
        </w:tc>
        <w:tc>
          <w:tcPr>
            <w:tcW w:w="6160" w:type="dxa"/>
            <w:tcMar>
              <w:top w:w="30" w:type="dxa"/>
              <w:left w:w="30" w:type="dxa"/>
              <w:bottom w:w="20" w:type="dxa"/>
              <w:right w:w="30" w:type="dxa"/>
            </w:tcMar>
          </w:tcPr>
          <w:p w14:paraId="17DDAD47" w14:textId="77777777" w:rsidR="00E43E33" w:rsidRDefault="00ED4EF3">
            <w:r>
              <w:rPr>
                <w:rFonts w:ascii="Arial" w:hAnsi="Arial"/>
              </w:rPr>
              <w:t>In cases where the insured and ASO balances are in opposite sign, the PAD job is required to produce additional transactions in order to bring those balances down to zero. </w:t>
            </w:r>
            <w:r>
              <w:rPr>
                <w:rFonts w:ascii="Arial" w:hAnsi="Arial"/>
              </w:rPr>
              <w:br/>
            </w:r>
            <w:r>
              <w:rPr>
                <w:rFonts w:ascii="Arial" w:hAnsi="Arial"/>
              </w:rPr>
              <w:br/>
              <w:t>For details please refer to the Change Request document.</w:t>
            </w:r>
            <w:r>
              <w:rPr>
                <w:rFonts w:ascii="Arial" w:hAnsi="Arial"/>
              </w:rPr>
              <w:br/>
            </w:r>
            <w:r>
              <w:rPr>
                <w:rFonts w:ascii="Arial" w:hAnsi="Arial"/>
              </w:rPr>
              <w:br/>
              <w:t>Notes:</w:t>
            </w:r>
          </w:p>
          <w:p w14:paraId="2E4D2914" w14:textId="77777777" w:rsidR="00E43E33" w:rsidRDefault="00ED4EF3">
            <w:pPr>
              <w:numPr>
                <w:ilvl w:val="0"/>
                <w:numId w:val="43"/>
              </w:numPr>
            </w:pPr>
            <w:r>
              <w:rPr>
                <w:rFonts w:ascii="Arial" w:hAnsi="Arial"/>
              </w:rPr>
              <w:t>The transaction that is used to reduce a debit balance is a  "Negative Deposit", which is SubCategoryId 10002</w:t>
            </w:r>
          </w:p>
          <w:p w14:paraId="612DA527" w14:textId="77777777" w:rsidR="00E43E33" w:rsidRDefault="00ED4EF3">
            <w:pPr>
              <w:numPr>
                <w:ilvl w:val="0"/>
                <w:numId w:val="43"/>
              </w:numPr>
            </w:pPr>
            <w:r>
              <w:rPr>
                <w:rFonts w:ascii="Arial" w:hAnsi="Arial"/>
              </w:rPr>
              <w:t>The transaction that is used to reduce a credit balance is a  "Credit Adjustment", which is SubCategoryId 5</w:t>
            </w:r>
          </w:p>
          <w:p w14:paraId="2F25AE8C" w14:textId="77777777" w:rsidR="00E43E33" w:rsidRDefault="00ED4EF3">
            <w:r>
              <w:rPr>
                <w:rFonts w:ascii="Arial" w:hAnsi="Arial"/>
              </w:rPr>
              <w:t>Please advise us if these transaction types (SubCateogryId) need to be changed.</w:t>
            </w:r>
          </w:p>
        </w:tc>
      </w:tr>
      <w:tr w:rsidR="00E43E33" w14:paraId="1F7DEC8F" w14:textId="77777777" w:rsidTr="00ED4EF3">
        <w:tc>
          <w:tcPr>
            <w:tcW w:w="714" w:type="dxa"/>
            <w:tcMar>
              <w:top w:w="30" w:type="dxa"/>
              <w:left w:w="30" w:type="dxa"/>
              <w:bottom w:w="20" w:type="dxa"/>
              <w:right w:w="30" w:type="dxa"/>
            </w:tcMar>
          </w:tcPr>
          <w:p w14:paraId="2293B69C" w14:textId="77777777" w:rsidR="00E43E33" w:rsidRDefault="00ED4EF3">
            <w:r>
              <w:rPr>
                <w:rFonts w:ascii="Arial" w:hAnsi="Arial"/>
              </w:rPr>
              <w:t>MLU-803</w:t>
            </w:r>
          </w:p>
        </w:tc>
        <w:tc>
          <w:tcPr>
            <w:tcW w:w="772" w:type="dxa"/>
            <w:tcMar>
              <w:top w:w="30" w:type="dxa"/>
              <w:left w:w="30" w:type="dxa"/>
              <w:bottom w:w="20" w:type="dxa"/>
              <w:right w:w="30" w:type="dxa"/>
            </w:tcMar>
          </w:tcPr>
          <w:p w14:paraId="17D139DE" w14:textId="77777777" w:rsidR="00E43E33" w:rsidRDefault="00ED4EF3">
            <w:r>
              <w:rPr>
                <w:rFonts w:ascii="Arial" w:hAnsi="Arial"/>
              </w:rPr>
              <w:t>2574</w:t>
            </w:r>
          </w:p>
        </w:tc>
        <w:tc>
          <w:tcPr>
            <w:tcW w:w="573" w:type="dxa"/>
            <w:tcMar>
              <w:top w:w="30" w:type="dxa"/>
              <w:left w:w="30" w:type="dxa"/>
              <w:bottom w:w="20" w:type="dxa"/>
              <w:right w:w="30" w:type="dxa"/>
            </w:tcMar>
          </w:tcPr>
          <w:p w14:paraId="50A5C028" w14:textId="77777777" w:rsidR="00E43E33" w:rsidRDefault="00ED4EF3">
            <w:r>
              <w:rPr>
                <w:rFonts w:ascii="Arial" w:hAnsi="Arial"/>
              </w:rPr>
              <w:t>Accounting</w:t>
            </w:r>
          </w:p>
        </w:tc>
        <w:tc>
          <w:tcPr>
            <w:tcW w:w="1911" w:type="dxa"/>
            <w:tcMar>
              <w:top w:w="30" w:type="dxa"/>
              <w:left w:w="30" w:type="dxa"/>
              <w:bottom w:w="20" w:type="dxa"/>
              <w:right w:w="30" w:type="dxa"/>
            </w:tcMar>
          </w:tcPr>
          <w:p w14:paraId="01C99574" w14:textId="77777777" w:rsidR="00E43E33" w:rsidRDefault="00ED4EF3">
            <w:r>
              <w:rPr>
                <w:rFonts w:ascii="Arial" w:hAnsi="Arial"/>
              </w:rPr>
              <w:t>[CDTASME-2574] Activating new locations in Transaction Register</w:t>
            </w:r>
          </w:p>
        </w:tc>
        <w:tc>
          <w:tcPr>
            <w:tcW w:w="6160" w:type="dxa"/>
            <w:tcMar>
              <w:top w:w="30" w:type="dxa"/>
              <w:left w:w="30" w:type="dxa"/>
              <w:bottom w:w="20" w:type="dxa"/>
              <w:right w:w="30" w:type="dxa"/>
            </w:tcMar>
          </w:tcPr>
          <w:p w14:paraId="2D772B3B" w14:textId="77777777" w:rsidR="00E43E33" w:rsidRDefault="00ED4EF3">
            <w:r>
              <w:rPr>
                <w:rFonts w:ascii="Arial" w:hAnsi="Arial"/>
              </w:rPr>
              <w:t>In the Search window, there are two ways to display the search result.  Use the DISPLAY ALL ACCOUNTS checkbox, as followed:</w:t>
            </w:r>
          </w:p>
          <w:p w14:paraId="4FC230BB" w14:textId="77777777" w:rsidR="00E43E33" w:rsidRDefault="00ED4EF3">
            <w:pPr>
              <w:numPr>
                <w:ilvl w:val="0"/>
                <w:numId w:val="44"/>
              </w:numPr>
            </w:pPr>
            <w:r>
              <w:rPr>
                <w:rFonts w:ascii="Arial" w:hAnsi="Arial"/>
              </w:rPr>
              <w:t>When searching all accounts - a row will be displayed for each applicable account type (even if that account type is not yet activated).  The ClientPlanBenefit records that are associated to the location will determine which account types are applicable.  Selecting a row from the search result will automatically activate the account if it is not already so.</w:t>
            </w:r>
          </w:p>
          <w:p w14:paraId="67D44C8C" w14:textId="77777777" w:rsidR="00E43E33" w:rsidRDefault="00ED4EF3">
            <w:pPr>
              <w:numPr>
                <w:ilvl w:val="0"/>
                <w:numId w:val="44"/>
              </w:numPr>
            </w:pPr>
            <w:r>
              <w:rPr>
                <w:rFonts w:ascii="Arial" w:hAnsi="Arial"/>
              </w:rPr>
              <w:t>When searching by single account (all accounts unchecked), the lowest applicable account type (MLI-billed, client-billed, ASOBAR) for the selected location is displayed.  The ClientPlanBenefit records that are associated to the location will determine which account types are applicable.  Selecting a row from the search result will automatically activate the account if it is not already so.</w:t>
            </w:r>
          </w:p>
          <w:p w14:paraId="56899629" w14:textId="77777777" w:rsidR="00E43E33" w:rsidRDefault="00ED4EF3">
            <w:pPr>
              <w:numPr>
                <w:ilvl w:val="0"/>
                <w:numId w:val="44"/>
              </w:numPr>
            </w:pPr>
            <w:r>
              <w:rPr>
                <w:rFonts w:ascii="Arial" w:hAnsi="Arial"/>
              </w:rPr>
              <w:t>When transferring, the location search (both all account and single location search) should perform the same account selection as above (if necessary).</w:t>
            </w:r>
          </w:p>
          <w:p w14:paraId="77529408" w14:textId="77777777" w:rsidR="00E43E33" w:rsidRDefault="00ED4EF3">
            <w:pPr>
              <w:numPr>
                <w:ilvl w:val="0"/>
                <w:numId w:val="44"/>
              </w:numPr>
            </w:pPr>
            <w:r>
              <w:rPr>
                <w:rFonts w:ascii="Arial" w:hAnsi="Arial"/>
              </w:rPr>
              <w:lastRenderedPageBreak/>
              <w:t>When using global search, the same behavior will also apply to locations as above.</w:t>
            </w:r>
          </w:p>
          <w:p w14:paraId="360601C0" w14:textId="77777777" w:rsidR="00E43E33" w:rsidRDefault="00ED4EF3">
            <w:r>
              <w:rPr>
                <w:rFonts w:ascii="Arial" w:hAnsi="Arial"/>
                <w:noProof/>
              </w:rPr>
              <w:drawing>
                <wp:inline distT="0" distB="0" distL="0" distR="0" wp14:anchorId="640F97A3" wp14:editId="453944D2">
                  <wp:extent cx="3761740" cy="1184904"/>
                  <wp:effectExtent l="0" t="0" r="0" b="0"/>
                  <wp:docPr id="100002" name="Picture 100002" descr="_scroll_external/attachments/image1607443112615-387b05a435e0209e33d45a1dbe4dff3dff056213cf9f04e111655982b02423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42871" name=""/>
                          <pic:cNvPicPr>
                            <a:picLocks noChangeAspect="1"/>
                          </pic:cNvPicPr>
                        </pic:nvPicPr>
                        <pic:blipFill>
                          <a:blip r:embed="rId9"/>
                          <a:stretch>
                            <a:fillRect/>
                          </a:stretch>
                        </pic:blipFill>
                        <pic:spPr>
                          <a:xfrm>
                            <a:off x="0" y="0"/>
                            <a:ext cx="3761740" cy="1184904"/>
                          </a:xfrm>
                          <a:prstGeom prst="rect">
                            <a:avLst/>
                          </a:prstGeom>
                        </pic:spPr>
                      </pic:pic>
                    </a:graphicData>
                  </a:graphic>
                </wp:inline>
              </w:drawing>
            </w:r>
          </w:p>
        </w:tc>
      </w:tr>
      <w:tr w:rsidR="00E43E33" w14:paraId="4775C1F1" w14:textId="77777777" w:rsidTr="00ED4EF3">
        <w:tc>
          <w:tcPr>
            <w:tcW w:w="714" w:type="dxa"/>
            <w:tcMar>
              <w:top w:w="30" w:type="dxa"/>
              <w:left w:w="30" w:type="dxa"/>
              <w:bottom w:w="20" w:type="dxa"/>
              <w:right w:w="30" w:type="dxa"/>
            </w:tcMar>
          </w:tcPr>
          <w:p w14:paraId="3CE8DA34" w14:textId="77777777" w:rsidR="00E43E33" w:rsidRDefault="00ED4EF3">
            <w:r>
              <w:rPr>
                <w:rFonts w:ascii="Arial" w:hAnsi="Arial"/>
              </w:rPr>
              <w:lastRenderedPageBreak/>
              <w:t>MLU-845</w:t>
            </w:r>
          </w:p>
        </w:tc>
        <w:tc>
          <w:tcPr>
            <w:tcW w:w="772" w:type="dxa"/>
            <w:tcMar>
              <w:top w:w="30" w:type="dxa"/>
              <w:left w:w="30" w:type="dxa"/>
              <w:bottom w:w="20" w:type="dxa"/>
              <w:right w:w="30" w:type="dxa"/>
            </w:tcMar>
          </w:tcPr>
          <w:p w14:paraId="4C07D5D5" w14:textId="77777777" w:rsidR="00E43E33" w:rsidRDefault="00ED4EF3">
            <w:r>
              <w:rPr>
                <w:rFonts w:ascii="Arial" w:hAnsi="Arial"/>
              </w:rPr>
              <w:t>2593</w:t>
            </w:r>
          </w:p>
        </w:tc>
        <w:tc>
          <w:tcPr>
            <w:tcW w:w="573" w:type="dxa"/>
            <w:tcMar>
              <w:top w:w="30" w:type="dxa"/>
              <w:left w:w="30" w:type="dxa"/>
              <w:bottom w:w="20" w:type="dxa"/>
              <w:right w:w="30" w:type="dxa"/>
            </w:tcMar>
          </w:tcPr>
          <w:p w14:paraId="63A31728" w14:textId="77777777" w:rsidR="00E43E33" w:rsidRDefault="00ED4EF3">
            <w:r>
              <w:rPr>
                <w:rFonts w:ascii="Arial" w:hAnsi="Arial"/>
              </w:rPr>
              <w:t>Admin GUI</w:t>
            </w:r>
          </w:p>
        </w:tc>
        <w:tc>
          <w:tcPr>
            <w:tcW w:w="1911" w:type="dxa"/>
            <w:tcMar>
              <w:top w:w="30" w:type="dxa"/>
              <w:left w:w="30" w:type="dxa"/>
              <w:bottom w:w="20" w:type="dxa"/>
              <w:right w:w="30" w:type="dxa"/>
            </w:tcMar>
          </w:tcPr>
          <w:p w14:paraId="02BC3E04" w14:textId="77777777" w:rsidR="00E43E33" w:rsidRDefault="00ED4EF3">
            <w:r>
              <w:rPr>
                <w:rFonts w:ascii="Arial" w:hAnsi="Arial"/>
              </w:rPr>
              <w:t>[CDTASME-2593] Fixes required to the TR and the PAD screens</w:t>
            </w:r>
          </w:p>
        </w:tc>
        <w:tc>
          <w:tcPr>
            <w:tcW w:w="6160" w:type="dxa"/>
            <w:tcMar>
              <w:top w:w="30" w:type="dxa"/>
              <w:left w:w="30" w:type="dxa"/>
              <w:bottom w:w="20" w:type="dxa"/>
              <w:right w:w="30" w:type="dxa"/>
            </w:tcMar>
          </w:tcPr>
          <w:p w14:paraId="0AA3C2D3" w14:textId="77777777" w:rsidR="00E43E33" w:rsidRDefault="00ED4EF3">
            <w:r>
              <w:rPr>
                <w:rFonts w:ascii="Arial" w:hAnsi="Arial"/>
              </w:rPr>
              <w:t>(2020-12-14)</w:t>
            </w:r>
            <w:r>
              <w:rPr>
                <w:rFonts w:ascii="Arial" w:hAnsi="Arial"/>
              </w:rPr>
              <w:br/>
              <w:t>The PACFlg in the audit trail is due to missing metadata to support the display.  In this release we have added new metadata (ControlConcept) in DB upgrade to associate PACFlg to the yes/no drop-list.</w:t>
            </w:r>
            <w:r>
              <w:rPr>
                <w:rFonts w:ascii="Arial" w:hAnsi="Arial"/>
              </w:rPr>
              <w:br/>
              <w:t>_____</w:t>
            </w:r>
            <w:r>
              <w:rPr>
                <w:rFonts w:ascii="Arial" w:hAnsi="Arial"/>
              </w:rPr>
              <w:br/>
              <w:t>(2020-11-30) Resolved droplist lookups for Transaction Register audit trail.</w:t>
            </w:r>
          </w:p>
        </w:tc>
      </w:tr>
      <w:tr w:rsidR="00E43E33" w14:paraId="35AD6F88" w14:textId="77777777" w:rsidTr="00ED4EF3">
        <w:tc>
          <w:tcPr>
            <w:tcW w:w="714" w:type="dxa"/>
            <w:tcMar>
              <w:top w:w="30" w:type="dxa"/>
              <w:left w:w="30" w:type="dxa"/>
              <w:bottom w:w="20" w:type="dxa"/>
              <w:right w:w="30" w:type="dxa"/>
            </w:tcMar>
          </w:tcPr>
          <w:p w14:paraId="0B9E083F" w14:textId="77777777" w:rsidR="00E43E33" w:rsidRDefault="00ED4EF3">
            <w:r>
              <w:rPr>
                <w:rFonts w:ascii="Arial" w:hAnsi="Arial"/>
              </w:rPr>
              <w:t>MLU-867</w:t>
            </w:r>
          </w:p>
        </w:tc>
        <w:tc>
          <w:tcPr>
            <w:tcW w:w="772" w:type="dxa"/>
            <w:tcMar>
              <w:top w:w="30" w:type="dxa"/>
              <w:left w:w="30" w:type="dxa"/>
              <w:bottom w:w="20" w:type="dxa"/>
              <w:right w:w="30" w:type="dxa"/>
            </w:tcMar>
          </w:tcPr>
          <w:p w14:paraId="48AF0AF0" w14:textId="77777777" w:rsidR="00E43E33" w:rsidRDefault="00ED4EF3">
            <w:r>
              <w:rPr>
                <w:rFonts w:ascii="Arial" w:hAnsi="Arial"/>
              </w:rPr>
              <w:t>2597</w:t>
            </w:r>
          </w:p>
        </w:tc>
        <w:tc>
          <w:tcPr>
            <w:tcW w:w="573" w:type="dxa"/>
            <w:tcMar>
              <w:top w:w="30" w:type="dxa"/>
              <w:left w:w="30" w:type="dxa"/>
              <w:bottom w:w="20" w:type="dxa"/>
              <w:right w:w="30" w:type="dxa"/>
            </w:tcMar>
          </w:tcPr>
          <w:p w14:paraId="7E437FE9" w14:textId="77777777" w:rsidR="00E43E33" w:rsidRDefault="00ED4EF3">
            <w:r>
              <w:rPr>
                <w:rFonts w:ascii="Arial" w:hAnsi="Arial"/>
              </w:rPr>
              <w:t>Accounting</w:t>
            </w:r>
          </w:p>
        </w:tc>
        <w:tc>
          <w:tcPr>
            <w:tcW w:w="1911" w:type="dxa"/>
            <w:tcMar>
              <w:top w:w="30" w:type="dxa"/>
              <w:left w:w="30" w:type="dxa"/>
              <w:bottom w:w="20" w:type="dxa"/>
              <w:right w:w="30" w:type="dxa"/>
            </w:tcMar>
          </w:tcPr>
          <w:p w14:paraId="7E8F0EF8" w14:textId="77777777" w:rsidR="00E43E33" w:rsidRDefault="00ED4EF3">
            <w:r>
              <w:rPr>
                <w:rFonts w:ascii="Arial" w:hAnsi="Arial"/>
              </w:rPr>
              <w:t>[CDTASME-2597] ASO BAR and client billed is showing in the TC under account setup and should only show MLI billed</w:t>
            </w:r>
          </w:p>
        </w:tc>
        <w:tc>
          <w:tcPr>
            <w:tcW w:w="6160" w:type="dxa"/>
            <w:tcMar>
              <w:top w:w="30" w:type="dxa"/>
              <w:left w:w="30" w:type="dxa"/>
              <w:bottom w:w="20" w:type="dxa"/>
              <w:right w:w="30" w:type="dxa"/>
            </w:tcMar>
          </w:tcPr>
          <w:p w14:paraId="513E2DB7" w14:textId="77777777" w:rsidR="00E43E33" w:rsidRDefault="00ED4EF3">
            <w:r>
              <w:rPr>
                <w:rFonts w:ascii="Arial" w:hAnsi="Arial"/>
              </w:rPr>
              <w:t>- Updated the UI to hide the selection icon for accounts that are not "MLI Billed".</w:t>
            </w:r>
            <w:r>
              <w:rPr>
                <w:rFonts w:ascii="Arial" w:hAnsi="Arial"/>
              </w:rPr>
              <w:br/>
              <w:t>- Removed the add account button (since MLU-859 automatically creates accounts from the search screens).</w:t>
            </w:r>
            <w:r>
              <w:rPr>
                <w:rFonts w:ascii="Arial" w:hAnsi="Arial"/>
              </w:rPr>
              <w:br/>
            </w:r>
          </w:p>
          <w:p w14:paraId="596C956D" w14:textId="77777777" w:rsidR="00E43E33" w:rsidRDefault="00ED4EF3">
            <w:r>
              <w:rPr>
                <w:rFonts w:ascii="Arial" w:hAnsi="Arial"/>
                <w:noProof/>
              </w:rPr>
              <w:drawing>
                <wp:inline distT="0" distB="0" distL="0" distR="0" wp14:anchorId="411208C0" wp14:editId="6BE68D22">
                  <wp:extent cx="3761740" cy="1282656"/>
                  <wp:effectExtent l="0" t="0" r="0" b="0"/>
                  <wp:docPr id="100003" name="Picture 100003" descr="_scroll_external/attachments/mlu-867_image-8a040032519a50f9ee1916bb07f7e29c7b0cd1bc52923bb666d722f83c2e0b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6955" name=""/>
                          <pic:cNvPicPr>
                            <a:picLocks noChangeAspect="1"/>
                          </pic:cNvPicPr>
                        </pic:nvPicPr>
                        <pic:blipFill>
                          <a:blip r:embed="rId10"/>
                          <a:stretch>
                            <a:fillRect/>
                          </a:stretch>
                        </pic:blipFill>
                        <pic:spPr>
                          <a:xfrm>
                            <a:off x="0" y="0"/>
                            <a:ext cx="3761740" cy="1282656"/>
                          </a:xfrm>
                          <a:prstGeom prst="rect">
                            <a:avLst/>
                          </a:prstGeom>
                        </pic:spPr>
                      </pic:pic>
                    </a:graphicData>
                  </a:graphic>
                </wp:inline>
              </w:drawing>
            </w:r>
          </w:p>
        </w:tc>
      </w:tr>
      <w:tr w:rsidR="00E43E33" w14:paraId="4BEE6348" w14:textId="77777777" w:rsidTr="00ED4EF3">
        <w:tc>
          <w:tcPr>
            <w:tcW w:w="714" w:type="dxa"/>
            <w:tcMar>
              <w:top w:w="30" w:type="dxa"/>
              <w:left w:w="30" w:type="dxa"/>
              <w:bottom w:w="20" w:type="dxa"/>
              <w:right w:w="30" w:type="dxa"/>
            </w:tcMar>
          </w:tcPr>
          <w:p w14:paraId="599C94B0" w14:textId="77777777" w:rsidR="00E43E33" w:rsidRDefault="00ED4EF3">
            <w:r>
              <w:rPr>
                <w:rFonts w:ascii="Arial" w:hAnsi="Arial"/>
              </w:rPr>
              <w:t>MLU-858</w:t>
            </w:r>
          </w:p>
        </w:tc>
        <w:tc>
          <w:tcPr>
            <w:tcW w:w="772" w:type="dxa"/>
            <w:tcMar>
              <w:top w:w="30" w:type="dxa"/>
              <w:left w:w="30" w:type="dxa"/>
              <w:bottom w:w="20" w:type="dxa"/>
              <w:right w:w="30" w:type="dxa"/>
            </w:tcMar>
          </w:tcPr>
          <w:p w14:paraId="67010D6F" w14:textId="77777777" w:rsidR="00E43E33" w:rsidRDefault="00ED4EF3">
            <w:r>
              <w:rPr>
                <w:rFonts w:ascii="Arial" w:hAnsi="Arial"/>
              </w:rPr>
              <w:t>2598</w:t>
            </w:r>
          </w:p>
        </w:tc>
        <w:tc>
          <w:tcPr>
            <w:tcW w:w="573" w:type="dxa"/>
            <w:tcMar>
              <w:top w:w="30" w:type="dxa"/>
              <w:left w:w="30" w:type="dxa"/>
              <w:bottom w:w="20" w:type="dxa"/>
              <w:right w:w="30" w:type="dxa"/>
            </w:tcMar>
          </w:tcPr>
          <w:p w14:paraId="2E6D51F0" w14:textId="77777777" w:rsidR="00E43E33" w:rsidRDefault="00ED4EF3">
            <w:r>
              <w:rPr>
                <w:rFonts w:ascii="Arial" w:hAnsi="Arial"/>
              </w:rPr>
              <w:t>Accounting</w:t>
            </w:r>
          </w:p>
        </w:tc>
        <w:tc>
          <w:tcPr>
            <w:tcW w:w="1911" w:type="dxa"/>
            <w:tcMar>
              <w:top w:w="30" w:type="dxa"/>
              <w:left w:w="30" w:type="dxa"/>
              <w:bottom w:w="20" w:type="dxa"/>
              <w:right w:w="30" w:type="dxa"/>
            </w:tcMar>
          </w:tcPr>
          <w:p w14:paraId="32ED2C45" w14:textId="77777777" w:rsidR="00E43E33" w:rsidRDefault="00ED4EF3">
            <w:r>
              <w:rPr>
                <w:rFonts w:ascii="Arial" w:hAnsi="Arial"/>
              </w:rPr>
              <w:t>[CDTASME-2598] ‘Withdraw Date’ not advances after PAD job run when One-Time payment amount coded for only Insured or ASO</w:t>
            </w:r>
          </w:p>
        </w:tc>
        <w:tc>
          <w:tcPr>
            <w:tcW w:w="6160" w:type="dxa"/>
            <w:tcMar>
              <w:top w:w="30" w:type="dxa"/>
              <w:left w:w="30" w:type="dxa"/>
              <w:bottom w:w="20" w:type="dxa"/>
              <w:right w:w="30" w:type="dxa"/>
            </w:tcMar>
          </w:tcPr>
          <w:p w14:paraId="4FC822DD" w14:textId="77777777" w:rsidR="00E43E33" w:rsidRDefault="00ED4EF3">
            <w:r>
              <w:rPr>
                <w:rFonts w:ascii="Arial" w:hAnsi="Arial"/>
              </w:rPr>
              <w:t>A change is made such that the Withdraw Date is advanced even though there is no skip-next when one-time payment is used, as long as the Withdraw Date matches (or less than) the job date.  The behaviour should be the same whether or not the one-time draw amount is insured or ASO or both.</w:t>
            </w:r>
          </w:p>
        </w:tc>
      </w:tr>
      <w:tr w:rsidR="00E43E33" w14:paraId="6B495AA1" w14:textId="77777777" w:rsidTr="00ED4EF3">
        <w:tc>
          <w:tcPr>
            <w:tcW w:w="714" w:type="dxa"/>
            <w:tcMar>
              <w:top w:w="30" w:type="dxa"/>
              <w:left w:w="30" w:type="dxa"/>
              <w:bottom w:w="20" w:type="dxa"/>
              <w:right w:w="30" w:type="dxa"/>
            </w:tcMar>
          </w:tcPr>
          <w:p w14:paraId="1363A9AF" w14:textId="77777777" w:rsidR="00E43E33" w:rsidRDefault="00ED4EF3">
            <w:r>
              <w:rPr>
                <w:rFonts w:ascii="Arial" w:hAnsi="Arial"/>
              </w:rPr>
              <w:t>MLU-857</w:t>
            </w:r>
          </w:p>
        </w:tc>
        <w:tc>
          <w:tcPr>
            <w:tcW w:w="772" w:type="dxa"/>
            <w:tcMar>
              <w:top w:w="30" w:type="dxa"/>
              <w:left w:w="30" w:type="dxa"/>
              <w:bottom w:w="20" w:type="dxa"/>
              <w:right w:w="30" w:type="dxa"/>
            </w:tcMar>
          </w:tcPr>
          <w:p w14:paraId="717160F5" w14:textId="77777777" w:rsidR="00E43E33" w:rsidRDefault="00ED4EF3">
            <w:r>
              <w:rPr>
                <w:rFonts w:ascii="Arial" w:hAnsi="Arial"/>
              </w:rPr>
              <w:t>2599</w:t>
            </w:r>
          </w:p>
        </w:tc>
        <w:tc>
          <w:tcPr>
            <w:tcW w:w="573" w:type="dxa"/>
            <w:tcMar>
              <w:top w:w="30" w:type="dxa"/>
              <w:left w:w="30" w:type="dxa"/>
              <w:bottom w:w="20" w:type="dxa"/>
              <w:right w:w="30" w:type="dxa"/>
            </w:tcMar>
          </w:tcPr>
          <w:p w14:paraId="25A194A9" w14:textId="77777777" w:rsidR="00E43E33" w:rsidRDefault="00ED4EF3">
            <w:r>
              <w:rPr>
                <w:rFonts w:ascii="Arial" w:hAnsi="Arial"/>
              </w:rPr>
              <w:t>Admin GUI</w:t>
            </w:r>
          </w:p>
        </w:tc>
        <w:tc>
          <w:tcPr>
            <w:tcW w:w="1911" w:type="dxa"/>
            <w:tcMar>
              <w:top w:w="30" w:type="dxa"/>
              <w:left w:w="30" w:type="dxa"/>
              <w:bottom w:w="20" w:type="dxa"/>
              <w:right w:w="30" w:type="dxa"/>
            </w:tcMar>
          </w:tcPr>
          <w:p w14:paraId="42D0E266" w14:textId="77777777" w:rsidR="00E43E33" w:rsidRDefault="00ED4EF3">
            <w:r>
              <w:rPr>
                <w:rFonts w:ascii="Arial" w:hAnsi="Arial"/>
              </w:rPr>
              <w:t>[CDTASME-2599] Contract number is not displaying when mouse hover the ‘Contract No’ field for HO ASOBAD billing line</w:t>
            </w:r>
          </w:p>
        </w:tc>
        <w:tc>
          <w:tcPr>
            <w:tcW w:w="6160" w:type="dxa"/>
            <w:tcMar>
              <w:top w:w="30" w:type="dxa"/>
              <w:left w:w="30" w:type="dxa"/>
              <w:bottom w:w="20" w:type="dxa"/>
              <w:right w:w="30" w:type="dxa"/>
            </w:tcMar>
          </w:tcPr>
          <w:p w14:paraId="628A3613" w14:textId="77777777" w:rsidR="00E43E33" w:rsidRDefault="00ED4EF3">
            <w:r>
              <w:rPr>
                <w:rFonts w:ascii="Arial" w:hAnsi="Arial"/>
              </w:rPr>
              <w:t>Fixed the Contract No. tool-tip to be included for ASO BAD billing transactions.</w:t>
            </w:r>
          </w:p>
        </w:tc>
      </w:tr>
      <w:tr w:rsidR="00E43E33" w14:paraId="1CFFD66E" w14:textId="77777777" w:rsidTr="00ED4EF3">
        <w:tc>
          <w:tcPr>
            <w:tcW w:w="714" w:type="dxa"/>
            <w:tcMar>
              <w:top w:w="30" w:type="dxa"/>
              <w:left w:w="30" w:type="dxa"/>
              <w:bottom w:w="20" w:type="dxa"/>
              <w:right w:w="30" w:type="dxa"/>
            </w:tcMar>
          </w:tcPr>
          <w:p w14:paraId="7826C99F" w14:textId="77777777" w:rsidR="00E43E33" w:rsidRDefault="00ED4EF3">
            <w:r>
              <w:rPr>
                <w:rFonts w:ascii="Arial" w:hAnsi="Arial"/>
              </w:rPr>
              <w:lastRenderedPageBreak/>
              <w:t>MLU-862</w:t>
            </w:r>
          </w:p>
        </w:tc>
        <w:tc>
          <w:tcPr>
            <w:tcW w:w="772" w:type="dxa"/>
            <w:tcMar>
              <w:top w:w="30" w:type="dxa"/>
              <w:left w:w="30" w:type="dxa"/>
              <w:bottom w:w="20" w:type="dxa"/>
              <w:right w:w="30" w:type="dxa"/>
            </w:tcMar>
          </w:tcPr>
          <w:p w14:paraId="0311D1C6" w14:textId="77777777" w:rsidR="00E43E33" w:rsidRDefault="00ED4EF3">
            <w:r>
              <w:rPr>
                <w:rFonts w:ascii="Arial" w:hAnsi="Arial"/>
              </w:rPr>
              <w:t>2600</w:t>
            </w:r>
          </w:p>
        </w:tc>
        <w:tc>
          <w:tcPr>
            <w:tcW w:w="573" w:type="dxa"/>
            <w:tcMar>
              <w:top w:w="30" w:type="dxa"/>
              <w:left w:w="30" w:type="dxa"/>
              <w:bottom w:w="20" w:type="dxa"/>
              <w:right w:w="30" w:type="dxa"/>
            </w:tcMar>
          </w:tcPr>
          <w:p w14:paraId="5DA959E4" w14:textId="77777777" w:rsidR="00E43E33" w:rsidRDefault="00ED4EF3">
            <w:r>
              <w:rPr>
                <w:rFonts w:ascii="Arial" w:hAnsi="Arial"/>
              </w:rPr>
              <w:t>Self-admin Billing</w:t>
            </w:r>
          </w:p>
        </w:tc>
        <w:tc>
          <w:tcPr>
            <w:tcW w:w="1911" w:type="dxa"/>
            <w:tcMar>
              <w:top w:w="30" w:type="dxa"/>
              <w:left w:w="30" w:type="dxa"/>
              <w:bottom w:w="20" w:type="dxa"/>
              <w:right w:w="30" w:type="dxa"/>
            </w:tcMar>
          </w:tcPr>
          <w:p w14:paraId="44EA6C2D" w14:textId="77777777" w:rsidR="00E43E33" w:rsidRDefault="00ED4EF3">
            <w:r>
              <w:rPr>
                <w:rFonts w:ascii="Arial" w:hAnsi="Arial"/>
              </w:rPr>
              <w:t>[CDTASME-2600] lock isn't being removed when jobs fail in job control Created</w:t>
            </w:r>
          </w:p>
        </w:tc>
        <w:tc>
          <w:tcPr>
            <w:tcW w:w="6160" w:type="dxa"/>
            <w:tcMar>
              <w:top w:w="30" w:type="dxa"/>
              <w:left w:w="30" w:type="dxa"/>
              <w:bottom w:w="20" w:type="dxa"/>
              <w:right w:w="30" w:type="dxa"/>
            </w:tcMar>
          </w:tcPr>
          <w:p w14:paraId="7044DDDA" w14:textId="77777777" w:rsidR="00E43E33" w:rsidRDefault="00ED4EF3">
            <w:r>
              <w:rPr>
                <w:rFonts w:ascii="Arial" w:hAnsi="Arial"/>
              </w:rPr>
              <w:t>Currently if a failure occurs in process it is possible that the BillingGroup or ClientLocks will remain. Changes have been made to try and ensure that locks are removed. There are still occasions when a lock would remain for instance if the failure occurs because of a loss of connection to the database.</w:t>
            </w:r>
          </w:p>
        </w:tc>
      </w:tr>
      <w:tr w:rsidR="00E43E33" w14:paraId="2C98265E" w14:textId="77777777" w:rsidTr="00ED4EF3">
        <w:tc>
          <w:tcPr>
            <w:tcW w:w="714" w:type="dxa"/>
            <w:tcMar>
              <w:top w:w="30" w:type="dxa"/>
              <w:left w:w="30" w:type="dxa"/>
              <w:bottom w:w="20" w:type="dxa"/>
              <w:right w:w="30" w:type="dxa"/>
            </w:tcMar>
          </w:tcPr>
          <w:p w14:paraId="1DD1F289" w14:textId="77777777" w:rsidR="00E43E33" w:rsidRDefault="00ED4EF3">
            <w:r>
              <w:rPr>
                <w:rFonts w:ascii="Arial" w:hAnsi="Arial"/>
              </w:rPr>
              <w:t>MLU-868</w:t>
            </w:r>
          </w:p>
        </w:tc>
        <w:tc>
          <w:tcPr>
            <w:tcW w:w="772" w:type="dxa"/>
            <w:tcMar>
              <w:top w:w="30" w:type="dxa"/>
              <w:left w:w="30" w:type="dxa"/>
              <w:bottom w:w="20" w:type="dxa"/>
              <w:right w:w="30" w:type="dxa"/>
            </w:tcMar>
          </w:tcPr>
          <w:p w14:paraId="1A522A91" w14:textId="77777777" w:rsidR="00E43E33" w:rsidRDefault="00ED4EF3">
            <w:r>
              <w:rPr>
                <w:rFonts w:ascii="Arial" w:hAnsi="Arial"/>
              </w:rPr>
              <w:t>8727</w:t>
            </w:r>
          </w:p>
        </w:tc>
        <w:tc>
          <w:tcPr>
            <w:tcW w:w="573" w:type="dxa"/>
            <w:tcMar>
              <w:top w:w="30" w:type="dxa"/>
              <w:left w:w="30" w:type="dxa"/>
              <w:bottom w:w="20" w:type="dxa"/>
              <w:right w:w="30" w:type="dxa"/>
            </w:tcMar>
          </w:tcPr>
          <w:p w14:paraId="5D37CA60" w14:textId="77777777" w:rsidR="00E43E33" w:rsidRDefault="00ED4EF3">
            <w:r>
              <w:rPr>
                <w:rFonts w:ascii="Arial" w:hAnsi="Arial"/>
              </w:rPr>
              <w:t>DB Upgrade</w:t>
            </w:r>
          </w:p>
        </w:tc>
        <w:tc>
          <w:tcPr>
            <w:tcW w:w="1911" w:type="dxa"/>
            <w:tcMar>
              <w:top w:w="30" w:type="dxa"/>
              <w:left w:w="30" w:type="dxa"/>
              <w:bottom w:w="20" w:type="dxa"/>
              <w:right w:w="30" w:type="dxa"/>
            </w:tcMar>
          </w:tcPr>
          <w:p w14:paraId="405BAC93" w14:textId="77777777" w:rsidR="00E43E33" w:rsidRDefault="00ED4EF3">
            <w:r>
              <w:rPr>
                <w:rFonts w:ascii="Arial" w:hAnsi="Arial"/>
              </w:rPr>
              <w:t>[170,1990] Use different batch sizes to back fill TransStatusCd</w:t>
            </w:r>
          </w:p>
        </w:tc>
        <w:tc>
          <w:tcPr>
            <w:tcW w:w="6160" w:type="dxa"/>
            <w:tcMar>
              <w:top w:w="30" w:type="dxa"/>
              <w:left w:w="30" w:type="dxa"/>
              <w:bottom w:w="20" w:type="dxa"/>
              <w:right w:w="30" w:type="dxa"/>
            </w:tcMar>
          </w:tcPr>
          <w:p w14:paraId="17F86C3B" w14:textId="77777777" w:rsidR="00E43E33" w:rsidRDefault="00ED4EF3">
            <w:r>
              <w:rPr>
                <w:rFonts w:ascii="Arial" w:hAnsi="Arial"/>
              </w:rPr>
              <w:t>Version: 5.0</w:t>
            </w:r>
            <w:r>
              <w:rPr>
                <w:rFonts w:ascii="Arial" w:hAnsi="Arial"/>
              </w:rPr>
              <w:br/>
              <w:t>Scripts: 170, 1990</w:t>
            </w:r>
          </w:p>
          <w:p w14:paraId="305CCB55" w14:textId="77777777" w:rsidR="00E43E33" w:rsidRDefault="00ED4EF3">
            <w:r>
              <w:rPr>
                <w:rFonts w:ascii="Arial" w:hAnsi="Arial"/>
              </w:rPr>
              <w:t>Issue:</w:t>
            </w:r>
            <w:r>
              <w:rPr>
                <w:rFonts w:ascii="Arial" w:hAnsi="Arial"/>
              </w:rPr>
              <w:br/>
              <w:t>The original script ran for 66 hours on Manulife's production database (copy). In running the script manually, they found that a batch size of 500000 was appropriate. With that batch size, each update statement ran in just under 10 seconds.</w:t>
            </w:r>
          </w:p>
          <w:p w14:paraId="72F142AF" w14:textId="77777777" w:rsidR="00E43E33" w:rsidRDefault="00ED4EF3">
            <w:r>
              <w:rPr>
                <w:rFonts w:ascii="Arial" w:hAnsi="Arial"/>
              </w:rPr>
              <w:t>Change:</w:t>
            </w:r>
            <w:r>
              <w:rPr>
                <w:rFonts w:ascii="Arial" w:hAnsi="Arial"/>
              </w:rPr>
              <w:br/>
              <w:t>Use different batch sizes based on the number of rows in the table, in order to improve performance.</w:t>
            </w:r>
          </w:p>
        </w:tc>
      </w:tr>
      <w:tr w:rsidR="00E43E33" w14:paraId="75AD8EC3" w14:textId="77777777" w:rsidTr="00ED4EF3">
        <w:tc>
          <w:tcPr>
            <w:tcW w:w="714" w:type="dxa"/>
            <w:tcMar>
              <w:top w:w="30" w:type="dxa"/>
              <w:left w:w="30" w:type="dxa"/>
              <w:bottom w:w="20" w:type="dxa"/>
              <w:right w:w="30" w:type="dxa"/>
            </w:tcMar>
          </w:tcPr>
          <w:p w14:paraId="6404A21D" w14:textId="77777777" w:rsidR="00E43E33" w:rsidRDefault="00ED4EF3">
            <w:r>
              <w:rPr>
                <w:rFonts w:ascii="Arial" w:hAnsi="Arial"/>
              </w:rPr>
              <w:t>MLU-869</w:t>
            </w:r>
          </w:p>
        </w:tc>
        <w:tc>
          <w:tcPr>
            <w:tcW w:w="772" w:type="dxa"/>
            <w:tcMar>
              <w:top w:w="30" w:type="dxa"/>
              <w:left w:w="30" w:type="dxa"/>
              <w:bottom w:w="20" w:type="dxa"/>
              <w:right w:w="30" w:type="dxa"/>
            </w:tcMar>
          </w:tcPr>
          <w:p w14:paraId="20CC14B2" w14:textId="77777777" w:rsidR="00E43E33" w:rsidRDefault="00ED4EF3">
            <w:r>
              <w:rPr>
                <w:rFonts w:ascii="Arial" w:hAnsi="Arial"/>
              </w:rPr>
              <w:t>8727</w:t>
            </w:r>
          </w:p>
        </w:tc>
        <w:tc>
          <w:tcPr>
            <w:tcW w:w="573" w:type="dxa"/>
            <w:tcMar>
              <w:top w:w="30" w:type="dxa"/>
              <w:left w:w="30" w:type="dxa"/>
              <w:bottom w:w="20" w:type="dxa"/>
              <w:right w:w="30" w:type="dxa"/>
            </w:tcMar>
          </w:tcPr>
          <w:p w14:paraId="5042A231" w14:textId="77777777" w:rsidR="00E43E33" w:rsidRDefault="00ED4EF3">
            <w:r>
              <w:rPr>
                <w:rFonts w:ascii="Arial" w:hAnsi="Arial"/>
              </w:rPr>
              <w:t>DB Upgrade</w:t>
            </w:r>
          </w:p>
        </w:tc>
        <w:tc>
          <w:tcPr>
            <w:tcW w:w="1911" w:type="dxa"/>
            <w:tcMar>
              <w:top w:w="30" w:type="dxa"/>
              <w:left w:w="30" w:type="dxa"/>
              <w:bottom w:w="20" w:type="dxa"/>
              <w:right w:w="30" w:type="dxa"/>
            </w:tcMar>
          </w:tcPr>
          <w:p w14:paraId="27550E1D" w14:textId="77777777" w:rsidR="00E43E33" w:rsidRDefault="00ED4EF3">
            <w:r>
              <w:rPr>
                <w:rFonts w:ascii="Arial" w:hAnsi="Arial"/>
              </w:rPr>
              <w:t>[270,280] Check the presence of constraint before dropping an index</w:t>
            </w:r>
          </w:p>
        </w:tc>
        <w:tc>
          <w:tcPr>
            <w:tcW w:w="6160" w:type="dxa"/>
            <w:tcMar>
              <w:top w:w="30" w:type="dxa"/>
              <w:left w:w="30" w:type="dxa"/>
              <w:bottom w:w="20" w:type="dxa"/>
              <w:right w:w="30" w:type="dxa"/>
            </w:tcMar>
          </w:tcPr>
          <w:p w14:paraId="050B3FFC" w14:textId="77777777" w:rsidR="00E43E33" w:rsidRDefault="00ED4EF3">
            <w:r>
              <w:rPr>
                <w:rFonts w:ascii="Arial" w:hAnsi="Arial"/>
              </w:rPr>
              <w:t>Version: 5.0</w:t>
            </w:r>
            <w:r>
              <w:rPr>
                <w:rFonts w:ascii="Arial" w:hAnsi="Arial"/>
              </w:rPr>
              <w:br/>
              <w:t>Scripts: 270, 280</w:t>
            </w:r>
          </w:p>
          <w:p w14:paraId="1BA26B09" w14:textId="77777777" w:rsidR="00E43E33" w:rsidRDefault="00ED4EF3">
            <w:r>
              <w:rPr>
                <w:rFonts w:ascii="Arial" w:hAnsi="Arial"/>
              </w:rPr>
              <w:t>Problem:</w:t>
            </w:r>
            <w:r>
              <w:rPr>
                <w:rFonts w:ascii="Arial" w:hAnsi="Arial"/>
              </w:rPr>
              <w:br/>
              <w:t>The index files under BMAdminFeeAmt and BMBAdminFeeAmt were defined as PRIMARY KEY in Manulife's production database. So a simple DROP INDEX will not work.</w:t>
            </w:r>
          </w:p>
          <w:p w14:paraId="40F0EC7F" w14:textId="77777777" w:rsidR="00E43E33" w:rsidRDefault="00ED4EF3">
            <w:r>
              <w:rPr>
                <w:rFonts w:ascii="Arial" w:hAnsi="Arial"/>
              </w:rPr>
              <w:t>Change:</w:t>
            </w:r>
            <w:r>
              <w:rPr>
                <w:rFonts w:ascii="Arial" w:hAnsi="Arial"/>
              </w:rPr>
              <w:br/>
              <w:t>Detect and drop the unique constraint before dropping the index.</w:t>
            </w:r>
          </w:p>
        </w:tc>
      </w:tr>
      <w:tr w:rsidR="00E43E33" w14:paraId="48DA95FF" w14:textId="77777777" w:rsidTr="00ED4EF3">
        <w:tc>
          <w:tcPr>
            <w:tcW w:w="714" w:type="dxa"/>
            <w:tcMar>
              <w:top w:w="30" w:type="dxa"/>
              <w:left w:w="30" w:type="dxa"/>
              <w:bottom w:w="20" w:type="dxa"/>
              <w:right w:w="30" w:type="dxa"/>
            </w:tcMar>
          </w:tcPr>
          <w:p w14:paraId="1E4ACBBF" w14:textId="77777777" w:rsidR="00E43E33" w:rsidRDefault="00ED4EF3">
            <w:r>
              <w:rPr>
                <w:rFonts w:ascii="Arial" w:hAnsi="Arial"/>
              </w:rPr>
              <w:t>MLU-870</w:t>
            </w:r>
          </w:p>
        </w:tc>
        <w:tc>
          <w:tcPr>
            <w:tcW w:w="772" w:type="dxa"/>
            <w:tcMar>
              <w:top w:w="30" w:type="dxa"/>
              <w:left w:w="30" w:type="dxa"/>
              <w:bottom w:w="20" w:type="dxa"/>
              <w:right w:w="30" w:type="dxa"/>
            </w:tcMar>
          </w:tcPr>
          <w:p w14:paraId="3677306F" w14:textId="77777777" w:rsidR="00E43E33" w:rsidRDefault="00ED4EF3">
            <w:r>
              <w:rPr>
                <w:rFonts w:ascii="Arial" w:hAnsi="Arial"/>
              </w:rPr>
              <w:t>8727</w:t>
            </w:r>
          </w:p>
        </w:tc>
        <w:tc>
          <w:tcPr>
            <w:tcW w:w="573" w:type="dxa"/>
            <w:tcMar>
              <w:top w:w="30" w:type="dxa"/>
              <w:left w:w="30" w:type="dxa"/>
              <w:bottom w:w="20" w:type="dxa"/>
              <w:right w:w="30" w:type="dxa"/>
            </w:tcMar>
          </w:tcPr>
          <w:p w14:paraId="1589E832" w14:textId="77777777" w:rsidR="00E43E33" w:rsidRDefault="00ED4EF3">
            <w:r>
              <w:rPr>
                <w:rFonts w:ascii="Arial" w:hAnsi="Arial"/>
              </w:rPr>
              <w:t>DB Upgrade</w:t>
            </w:r>
          </w:p>
        </w:tc>
        <w:tc>
          <w:tcPr>
            <w:tcW w:w="1911" w:type="dxa"/>
            <w:tcMar>
              <w:top w:w="30" w:type="dxa"/>
              <w:left w:w="30" w:type="dxa"/>
              <w:bottom w:w="20" w:type="dxa"/>
              <w:right w:w="30" w:type="dxa"/>
            </w:tcMar>
          </w:tcPr>
          <w:p w14:paraId="669D7FC8" w14:textId="77777777" w:rsidR="00E43E33" w:rsidRDefault="00ED4EF3">
            <w:r>
              <w:rPr>
                <w:rFonts w:ascii="Arial" w:hAnsi="Arial"/>
              </w:rPr>
              <w:t>[10840] Disable TransactnField data conversion</w:t>
            </w:r>
          </w:p>
        </w:tc>
        <w:tc>
          <w:tcPr>
            <w:tcW w:w="6160" w:type="dxa"/>
            <w:tcMar>
              <w:top w:w="30" w:type="dxa"/>
              <w:left w:w="30" w:type="dxa"/>
              <w:bottom w:w="20" w:type="dxa"/>
              <w:right w:w="30" w:type="dxa"/>
            </w:tcMar>
          </w:tcPr>
          <w:p w14:paraId="433C0FA5" w14:textId="77777777" w:rsidR="00E43E33" w:rsidRDefault="00ED4EF3">
            <w:r>
              <w:rPr>
                <w:rFonts w:ascii="Arial" w:hAnsi="Arial"/>
              </w:rPr>
              <w:t>Version: 6.0</w:t>
            </w:r>
            <w:r>
              <w:rPr>
                <w:rFonts w:ascii="Arial" w:hAnsi="Arial"/>
              </w:rPr>
              <w:br/>
              <w:t>Script Id: 10840</w:t>
            </w:r>
          </w:p>
          <w:p w14:paraId="72310DAC" w14:textId="77777777" w:rsidR="00E43E33" w:rsidRDefault="00ED4EF3">
            <w:r>
              <w:rPr>
                <w:rFonts w:ascii="Arial" w:hAnsi="Arial"/>
              </w:rPr>
              <w:t>Issue:</w:t>
            </w:r>
            <w:r>
              <w:rPr>
                <w:rFonts w:ascii="Arial" w:hAnsi="Arial"/>
              </w:rPr>
              <w:br/>
              <w:t>Manulife's TranactnField table has 1,624,637,897 rows. The first ALTER TABLE ALTER COLUMN command ran for 2 hours before it was killed.</w:t>
            </w:r>
          </w:p>
          <w:p w14:paraId="5EE66C6E" w14:textId="77777777" w:rsidR="00E43E33" w:rsidRDefault="00ED4EF3">
            <w:r>
              <w:rPr>
                <w:rFonts w:ascii="Arial" w:hAnsi="Arial"/>
              </w:rPr>
              <w:t>Change:</w:t>
            </w:r>
            <w:r>
              <w:rPr>
                <w:rFonts w:ascii="Arial" w:hAnsi="Arial"/>
              </w:rPr>
              <w:br/>
              <w:t>Disable this script. The script will be run manually outside of the DB Upgrade.</w:t>
            </w:r>
          </w:p>
        </w:tc>
      </w:tr>
      <w:tr w:rsidR="00E43E33" w14:paraId="220CF879" w14:textId="77777777" w:rsidTr="00ED4EF3">
        <w:tc>
          <w:tcPr>
            <w:tcW w:w="714" w:type="dxa"/>
            <w:tcMar>
              <w:top w:w="30" w:type="dxa"/>
              <w:left w:w="30" w:type="dxa"/>
              <w:bottom w:w="20" w:type="dxa"/>
              <w:right w:w="30" w:type="dxa"/>
            </w:tcMar>
          </w:tcPr>
          <w:p w14:paraId="04B92FE8" w14:textId="77777777" w:rsidR="00E43E33" w:rsidRDefault="00ED4EF3">
            <w:r>
              <w:rPr>
                <w:rFonts w:ascii="Arial" w:hAnsi="Arial"/>
              </w:rPr>
              <w:t>MLU-871</w:t>
            </w:r>
          </w:p>
        </w:tc>
        <w:tc>
          <w:tcPr>
            <w:tcW w:w="772" w:type="dxa"/>
            <w:tcMar>
              <w:top w:w="30" w:type="dxa"/>
              <w:left w:w="30" w:type="dxa"/>
              <w:bottom w:w="20" w:type="dxa"/>
              <w:right w:w="30" w:type="dxa"/>
            </w:tcMar>
          </w:tcPr>
          <w:p w14:paraId="4F6F89B5" w14:textId="77777777" w:rsidR="00E43E33" w:rsidRDefault="00ED4EF3">
            <w:r>
              <w:rPr>
                <w:rFonts w:ascii="Arial" w:hAnsi="Arial"/>
              </w:rPr>
              <w:t>8727</w:t>
            </w:r>
          </w:p>
        </w:tc>
        <w:tc>
          <w:tcPr>
            <w:tcW w:w="573" w:type="dxa"/>
            <w:tcMar>
              <w:top w:w="30" w:type="dxa"/>
              <w:left w:w="30" w:type="dxa"/>
              <w:bottom w:w="20" w:type="dxa"/>
              <w:right w:w="30" w:type="dxa"/>
            </w:tcMar>
          </w:tcPr>
          <w:p w14:paraId="0502C7F6" w14:textId="77777777" w:rsidR="00E43E33" w:rsidRDefault="00ED4EF3">
            <w:r>
              <w:rPr>
                <w:rFonts w:ascii="Arial" w:hAnsi="Arial"/>
              </w:rPr>
              <w:t>DB Upgrade</w:t>
            </w:r>
          </w:p>
        </w:tc>
        <w:tc>
          <w:tcPr>
            <w:tcW w:w="1911" w:type="dxa"/>
            <w:tcMar>
              <w:top w:w="30" w:type="dxa"/>
              <w:left w:w="30" w:type="dxa"/>
              <w:bottom w:w="20" w:type="dxa"/>
              <w:right w:w="30" w:type="dxa"/>
            </w:tcMar>
          </w:tcPr>
          <w:p w14:paraId="56BDEEB9" w14:textId="77777777" w:rsidR="00E43E33" w:rsidRDefault="00ED4EF3">
            <w:r>
              <w:rPr>
                <w:rFonts w:ascii="Arial" w:hAnsi="Arial"/>
              </w:rPr>
              <w:t>[13413] Rename the new index to avoid collision with an existing index</w:t>
            </w:r>
          </w:p>
        </w:tc>
        <w:tc>
          <w:tcPr>
            <w:tcW w:w="6160" w:type="dxa"/>
            <w:tcMar>
              <w:top w:w="30" w:type="dxa"/>
              <w:left w:w="30" w:type="dxa"/>
              <w:bottom w:w="20" w:type="dxa"/>
              <w:right w:w="30" w:type="dxa"/>
            </w:tcMar>
          </w:tcPr>
          <w:p w14:paraId="4F7C1E8D" w14:textId="77777777" w:rsidR="00E43E33" w:rsidRDefault="00ED4EF3">
            <w:r>
              <w:rPr>
                <w:rFonts w:ascii="Arial" w:hAnsi="Arial"/>
              </w:rPr>
              <w:t>Version: 6.3</w:t>
            </w:r>
            <w:r>
              <w:rPr>
                <w:rFonts w:ascii="Arial" w:hAnsi="Arial"/>
              </w:rPr>
              <w:br/>
              <w:t>Script Id: 13413</w:t>
            </w:r>
          </w:p>
          <w:p w14:paraId="67ACDDEA" w14:textId="77777777" w:rsidR="00E43E33" w:rsidRDefault="00ED4EF3">
            <w:r>
              <w:rPr>
                <w:rFonts w:ascii="Arial" w:hAnsi="Arial"/>
              </w:rPr>
              <w:t>Problem:</w:t>
            </w:r>
            <w:r>
              <w:rPr>
                <w:rFonts w:ascii="Arial" w:hAnsi="Arial"/>
              </w:rPr>
              <w:br/>
              <w:t>This script adds a new index called XIF3ClassPlanLinkSet. Manulife already added an index (with different columns) with this name, causing the error in upgrade.</w:t>
            </w:r>
          </w:p>
          <w:p w14:paraId="6DCA39EA" w14:textId="77777777" w:rsidR="00E43E33" w:rsidRDefault="00ED4EF3">
            <w:r>
              <w:rPr>
                <w:rFonts w:ascii="Arial" w:hAnsi="Arial"/>
              </w:rPr>
              <w:t>Change:</w:t>
            </w:r>
            <w:r>
              <w:rPr>
                <w:rFonts w:ascii="Arial" w:hAnsi="Arial"/>
              </w:rPr>
              <w:br/>
              <w:t>Manulife will rename index with a different naming convention before upgrade.</w:t>
            </w:r>
          </w:p>
          <w:p w14:paraId="021CB308" w14:textId="77777777" w:rsidR="00E43E33" w:rsidRDefault="00ED4EF3">
            <w:r>
              <w:rPr>
                <w:rFonts w:ascii="Arial" w:hAnsi="Arial"/>
              </w:rPr>
              <w:t xml:space="preserve">The index is generated from the data model tool that CWI uses (ERWIN). And it won't know that the name of the index has been modified manually in one instance. So in the future if it is modified </w:t>
            </w:r>
            <w:r>
              <w:rPr>
                <w:rFonts w:ascii="Arial" w:hAnsi="Arial"/>
              </w:rPr>
              <w:lastRenderedPageBreak/>
              <w:t>again such as adding another column, for example, the change won't reach Manulife's database properly. Therefore, any custom indexes should not be named using the CWI naming convention.</w:t>
            </w:r>
          </w:p>
        </w:tc>
      </w:tr>
    </w:tbl>
    <w:p w14:paraId="66A50722" w14:textId="77777777" w:rsidR="00E43E33" w:rsidRDefault="00E43E33"/>
    <w:sectPr w:rsidR="00E43E33" w:rsidSect="004D4C04">
      <w:headerReference w:type="default" r:id="rId11"/>
      <w:footerReference w:type="default" r:id="rId12"/>
      <w:pgSz w:w="12240" w:h="15840" w:code="1"/>
      <w:pgMar w:top="1440" w:right="1409"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8BB6DF" w14:textId="77777777" w:rsidR="001E3A8E" w:rsidRDefault="00ED4EF3">
      <w:pPr>
        <w:spacing w:after="0"/>
      </w:pPr>
      <w:r>
        <w:separator/>
      </w:r>
    </w:p>
  </w:endnote>
  <w:endnote w:type="continuationSeparator" w:id="0">
    <w:p w14:paraId="04B8E22E" w14:textId="77777777" w:rsidR="001E3A8E" w:rsidRDefault="00ED4E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2FD0E3" w14:textId="77777777" w:rsidR="00910A82" w:rsidRPr="00D8012A" w:rsidRDefault="00ED4EF3" w:rsidP="00EF235F">
    <w:pPr>
      <w:pStyle w:val="Footer"/>
    </w:pPr>
    <w:r w:rsidRPr="00D8012A">
      <w:fldChar w:fldCharType="begin"/>
    </w:r>
    <w:r w:rsidRPr="00D8012A">
      <w:instrText xml:space="preserve"> PAGE  \* MERGEFORMAT </w:instrText>
    </w:r>
    <w:r w:rsidRPr="00D8012A">
      <w:fldChar w:fldCharType="separate"/>
    </w:r>
    <w:r w:rsidR="00334B53">
      <w:rPr>
        <w:noProof/>
      </w:rPr>
      <w:t>5</w:t>
    </w:r>
    <w:r w:rsidRPr="00D801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C133F6" w14:textId="77777777" w:rsidR="001E3A8E" w:rsidRDefault="00ED4EF3">
      <w:pPr>
        <w:spacing w:after="0"/>
      </w:pPr>
      <w:r>
        <w:separator/>
      </w:r>
    </w:p>
  </w:footnote>
  <w:footnote w:type="continuationSeparator" w:id="0">
    <w:p w14:paraId="5520088E" w14:textId="77777777" w:rsidR="001E3A8E" w:rsidRDefault="00ED4E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349" w:type="dxa"/>
      <w:tblInd w:w="-284" w:type="dxa"/>
      <w:tblLook w:val="0480" w:firstRow="0" w:lastRow="0" w:firstColumn="1" w:lastColumn="0" w:noHBand="0" w:noVBand="1"/>
    </w:tblPr>
    <w:tblGrid>
      <w:gridCol w:w="5529"/>
      <w:gridCol w:w="4820"/>
    </w:tblGrid>
    <w:tr w:rsidR="00E43E33" w14:paraId="04A35177" w14:textId="77777777" w:rsidTr="007879BB">
      <w:tc>
        <w:tcPr>
          <w:tcW w:w="5529" w:type="dxa"/>
          <w:tcBorders>
            <w:top w:val="nil"/>
            <w:left w:val="nil"/>
            <w:bottom w:val="nil"/>
            <w:right w:val="nil"/>
          </w:tcBorders>
        </w:tcPr>
        <w:p w14:paraId="2DBCB67B" w14:textId="77777777" w:rsidR="00066F56" w:rsidRDefault="00ED4EF3" w:rsidP="00066F56">
          <w:pPr>
            <w:pStyle w:val="Header"/>
            <w:tabs>
              <w:tab w:val="clear" w:pos="9072"/>
              <w:tab w:val="left" w:pos="0"/>
              <w:tab w:val="right" w:pos="9356"/>
            </w:tabs>
            <w:jc w:val="both"/>
            <w:rPr>
              <w:sz w:val="18"/>
              <w:szCs w:val="18"/>
            </w:rPr>
          </w:pPr>
          <w:r>
            <w:rPr>
              <w:noProof/>
              <w:sz w:val="18"/>
              <w:szCs w:val="18"/>
            </w:rPr>
            <w:drawing>
              <wp:inline distT="0" distB="0" distL="0" distR="0" wp14:anchorId="071AC89A" wp14:editId="298E7AD0">
                <wp:extent cx="2023200" cy="47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21024"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478800"/>
                        </a:xfrm>
                        <a:prstGeom prst="rect">
                          <a:avLst/>
                        </a:prstGeom>
                        <a:noFill/>
                        <a:ln>
                          <a:noFill/>
                        </a:ln>
                      </pic:spPr>
                    </pic:pic>
                  </a:graphicData>
                </a:graphic>
              </wp:inline>
            </w:drawing>
          </w:r>
        </w:p>
      </w:tc>
      <w:tc>
        <w:tcPr>
          <w:tcW w:w="4820" w:type="dxa"/>
          <w:tcBorders>
            <w:top w:val="nil"/>
            <w:left w:val="nil"/>
            <w:bottom w:val="nil"/>
            <w:right w:val="nil"/>
          </w:tcBorders>
        </w:tcPr>
        <w:p w14:paraId="3BB1476E" w14:textId="77777777" w:rsidR="00066F56" w:rsidRPr="00E61A6C" w:rsidRDefault="00ED4EF3" w:rsidP="00066F56">
          <w:pPr>
            <w:pStyle w:val="Header"/>
            <w:tabs>
              <w:tab w:val="clear" w:pos="9072"/>
              <w:tab w:val="left" w:pos="0"/>
              <w:tab w:val="right" w:pos="9356"/>
            </w:tabs>
            <w:jc w:val="right"/>
            <w:rPr>
              <w:color w:val="808080" w:themeColor="background1" w:themeShade="80"/>
              <w:szCs w:val="22"/>
            </w:rPr>
          </w:pPr>
          <w:r w:rsidRPr="00E61A6C">
            <w:rPr>
              <w:color w:val="808080" w:themeColor="background1" w:themeShade="80"/>
              <w:szCs w:val="22"/>
            </w:rPr>
            <w:t>126-2550 Matheson Blvd E</w:t>
          </w:r>
        </w:p>
        <w:p w14:paraId="1B0E0A06" w14:textId="77777777" w:rsidR="00066F56" w:rsidRPr="00E61A6C" w:rsidRDefault="00ED4EF3" w:rsidP="00066F56">
          <w:pPr>
            <w:pStyle w:val="Header"/>
            <w:tabs>
              <w:tab w:val="clear" w:pos="4536"/>
              <w:tab w:val="clear" w:pos="9072"/>
              <w:tab w:val="left" w:pos="0"/>
              <w:tab w:val="right" w:pos="9356"/>
            </w:tabs>
            <w:jc w:val="right"/>
            <w:rPr>
              <w:color w:val="808080" w:themeColor="background1" w:themeShade="80"/>
              <w:szCs w:val="22"/>
            </w:rPr>
          </w:pPr>
          <w:r w:rsidRPr="00E61A6C">
            <w:rPr>
              <w:color w:val="808080" w:themeColor="background1" w:themeShade="80"/>
              <w:szCs w:val="22"/>
            </w:rPr>
            <w:t>Mississauga, ON  L4W 4Z1</w:t>
          </w:r>
        </w:p>
      </w:tc>
    </w:tr>
  </w:tbl>
  <w:p w14:paraId="0878E813" w14:textId="77777777" w:rsidR="00CB201D" w:rsidRPr="00066F56" w:rsidRDefault="00CB201D" w:rsidP="00066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2612DC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516660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4F2E27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74E0194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EBD4C5C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0AB295C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88A5E1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132F5C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0C40712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F0CFC0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38270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474A8"/>
    <w:multiLevelType w:val="multilevel"/>
    <w:tmpl w:val="7E76F97A"/>
    <w:numStyleLink w:val="111111"/>
  </w:abstractNum>
  <w:abstractNum w:abstractNumId="12" w15:restartNumberingAfterBreak="0">
    <w:nsid w:val="06C147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D1C16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0071A5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CE6AE3"/>
    <w:multiLevelType w:val="hybridMultilevel"/>
    <w:tmpl w:val="47A60034"/>
    <w:lvl w:ilvl="0" w:tplc="3A1257F6">
      <w:numFmt w:val="bullet"/>
      <w:lvlText w:val="–"/>
      <w:lvlJc w:val="left"/>
      <w:pPr>
        <w:ind w:left="720" w:hanging="360"/>
      </w:pPr>
      <w:rPr>
        <w:rFonts w:ascii="Source Sans Pro" w:eastAsia="Times New Roman" w:hAnsi="Source Sans Pro" w:cs="Times New Roman" w:hint="default"/>
      </w:rPr>
    </w:lvl>
    <w:lvl w:ilvl="1" w:tplc="059C8F2A" w:tentative="1">
      <w:start w:val="1"/>
      <w:numFmt w:val="bullet"/>
      <w:lvlText w:val="o"/>
      <w:lvlJc w:val="left"/>
      <w:pPr>
        <w:ind w:left="1440" w:hanging="360"/>
      </w:pPr>
      <w:rPr>
        <w:rFonts w:ascii="Courier New" w:hAnsi="Courier New" w:cs="Courier New" w:hint="default"/>
      </w:rPr>
    </w:lvl>
    <w:lvl w:ilvl="2" w:tplc="BF269E4C" w:tentative="1">
      <w:start w:val="1"/>
      <w:numFmt w:val="bullet"/>
      <w:lvlText w:val=""/>
      <w:lvlJc w:val="left"/>
      <w:pPr>
        <w:ind w:left="2160" w:hanging="360"/>
      </w:pPr>
      <w:rPr>
        <w:rFonts w:ascii="Wingdings" w:hAnsi="Wingdings" w:hint="default"/>
      </w:rPr>
    </w:lvl>
    <w:lvl w:ilvl="3" w:tplc="2F8EA4D4" w:tentative="1">
      <w:start w:val="1"/>
      <w:numFmt w:val="bullet"/>
      <w:lvlText w:val=""/>
      <w:lvlJc w:val="left"/>
      <w:pPr>
        <w:ind w:left="2880" w:hanging="360"/>
      </w:pPr>
      <w:rPr>
        <w:rFonts w:ascii="Symbol" w:hAnsi="Symbol" w:hint="default"/>
      </w:rPr>
    </w:lvl>
    <w:lvl w:ilvl="4" w:tplc="CBAC25D0" w:tentative="1">
      <w:start w:val="1"/>
      <w:numFmt w:val="bullet"/>
      <w:lvlText w:val="o"/>
      <w:lvlJc w:val="left"/>
      <w:pPr>
        <w:ind w:left="3600" w:hanging="360"/>
      </w:pPr>
      <w:rPr>
        <w:rFonts w:ascii="Courier New" w:hAnsi="Courier New" w:cs="Courier New" w:hint="default"/>
      </w:rPr>
    </w:lvl>
    <w:lvl w:ilvl="5" w:tplc="F200709E" w:tentative="1">
      <w:start w:val="1"/>
      <w:numFmt w:val="bullet"/>
      <w:lvlText w:val=""/>
      <w:lvlJc w:val="left"/>
      <w:pPr>
        <w:ind w:left="4320" w:hanging="360"/>
      </w:pPr>
      <w:rPr>
        <w:rFonts w:ascii="Wingdings" w:hAnsi="Wingdings" w:hint="default"/>
      </w:rPr>
    </w:lvl>
    <w:lvl w:ilvl="6" w:tplc="DD186C32" w:tentative="1">
      <w:start w:val="1"/>
      <w:numFmt w:val="bullet"/>
      <w:lvlText w:val=""/>
      <w:lvlJc w:val="left"/>
      <w:pPr>
        <w:ind w:left="5040" w:hanging="360"/>
      </w:pPr>
      <w:rPr>
        <w:rFonts w:ascii="Symbol" w:hAnsi="Symbol" w:hint="default"/>
      </w:rPr>
    </w:lvl>
    <w:lvl w:ilvl="7" w:tplc="1D72E58C" w:tentative="1">
      <w:start w:val="1"/>
      <w:numFmt w:val="bullet"/>
      <w:lvlText w:val="o"/>
      <w:lvlJc w:val="left"/>
      <w:pPr>
        <w:ind w:left="5760" w:hanging="360"/>
      </w:pPr>
      <w:rPr>
        <w:rFonts w:ascii="Courier New" w:hAnsi="Courier New" w:cs="Courier New" w:hint="default"/>
      </w:rPr>
    </w:lvl>
    <w:lvl w:ilvl="8" w:tplc="C598CDBE" w:tentative="1">
      <w:start w:val="1"/>
      <w:numFmt w:val="bullet"/>
      <w:lvlText w:val=""/>
      <w:lvlJc w:val="left"/>
      <w:pPr>
        <w:ind w:left="6480" w:hanging="360"/>
      </w:pPr>
      <w:rPr>
        <w:rFonts w:ascii="Wingdings" w:hAnsi="Wingdings" w:hint="default"/>
      </w:rPr>
    </w:lvl>
  </w:abstractNum>
  <w:abstractNum w:abstractNumId="16" w15:restartNumberingAfterBreak="0">
    <w:nsid w:val="2E62272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47152DC"/>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BA53E42"/>
    <w:multiLevelType w:val="hybridMultilevel"/>
    <w:tmpl w:val="FBFA5712"/>
    <w:lvl w:ilvl="0" w:tplc="C0D2AAD6">
      <w:numFmt w:val="bullet"/>
      <w:lvlText w:val="–"/>
      <w:lvlJc w:val="left"/>
      <w:pPr>
        <w:ind w:left="720" w:hanging="360"/>
      </w:pPr>
      <w:rPr>
        <w:rFonts w:ascii="Source Sans Pro" w:eastAsia="Times New Roman" w:hAnsi="Source Sans Pro" w:cs="Times New Roman" w:hint="default"/>
      </w:rPr>
    </w:lvl>
    <w:lvl w:ilvl="1" w:tplc="50C057F4" w:tentative="1">
      <w:start w:val="1"/>
      <w:numFmt w:val="bullet"/>
      <w:lvlText w:val="o"/>
      <w:lvlJc w:val="left"/>
      <w:pPr>
        <w:ind w:left="1440" w:hanging="360"/>
      </w:pPr>
      <w:rPr>
        <w:rFonts w:ascii="Courier New" w:hAnsi="Courier New" w:cs="Courier New" w:hint="default"/>
      </w:rPr>
    </w:lvl>
    <w:lvl w:ilvl="2" w:tplc="7FD8F246" w:tentative="1">
      <w:start w:val="1"/>
      <w:numFmt w:val="bullet"/>
      <w:lvlText w:val=""/>
      <w:lvlJc w:val="left"/>
      <w:pPr>
        <w:ind w:left="2160" w:hanging="360"/>
      </w:pPr>
      <w:rPr>
        <w:rFonts w:ascii="Wingdings" w:hAnsi="Wingdings" w:hint="default"/>
      </w:rPr>
    </w:lvl>
    <w:lvl w:ilvl="3" w:tplc="097E877A" w:tentative="1">
      <w:start w:val="1"/>
      <w:numFmt w:val="bullet"/>
      <w:lvlText w:val=""/>
      <w:lvlJc w:val="left"/>
      <w:pPr>
        <w:ind w:left="2880" w:hanging="360"/>
      </w:pPr>
      <w:rPr>
        <w:rFonts w:ascii="Symbol" w:hAnsi="Symbol" w:hint="default"/>
      </w:rPr>
    </w:lvl>
    <w:lvl w:ilvl="4" w:tplc="E95E6C26" w:tentative="1">
      <w:start w:val="1"/>
      <w:numFmt w:val="bullet"/>
      <w:lvlText w:val="o"/>
      <w:lvlJc w:val="left"/>
      <w:pPr>
        <w:ind w:left="3600" w:hanging="360"/>
      </w:pPr>
      <w:rPr>
        <w:rFonts w:ascii="Courier New" w:hAnsi="Courier New" w:cs="Courier New" w:hint="default"/>
      </w:rPr>
    </w:lvl>
    <w:lvl w:ilvl="5" w:tplc="4C280FF4" w:tentative="1">
      <w:start w:val="1"/>
      <w:numFmt w:val="bullet"/>
      <w:lvlText w:val=""/>
      <w:lvlJc w:val="left"/>
      <w:pPr>
        <w:ind w:left="4320" w:hanging="360"/>
      </w:pPr>
      <w:rPr>
        <w:rFonts w:ascii="Wingdings" w:hAnsi="Wingdings" w:hint="default"/>
      </w:rPr>
    </w:lvl>
    <w:lvl w:ilvl="6" w:tplc="4238E938" w:tentative="1">
      <w:start w:val="1"/>
      <w:numFmt w:val="bullet"/>
      <w:lvlText w:val=""/>
      <w:lvlJc w:val="left"/>
      <w:pPr>
        <w:ind w:left="5040" w:hanging="360"/>
      </w:pPr>
      <w:rPr>
        <w:rFonts w:ascii="Symbol" w:hAnsi="Symbol" w:hint="default"/>
      </w:rPr>
    </w:lvl>
    <w:lvl w:ilvl="7" w:tplc="8C3AFB96" w:tentative="1">
      <w:start w:val="1"/>
      <w:numFmt w:val="bullet"/>
      <w:lvlText w:val="o"/>
      <w:lvlJc w:val="left"/>
      <w:pPr>
        <w:ind w:left="5760" w:hanging="360"/>
      </w:pPr>
      <w:rPr>
        <w:rFonts w:ascii="Courier New" w:hAnsi="Courier New" w:cs="Courier New" w:hint="default"/>
      </w:rPr>
    </w:lvl>
    <w:lvl w:ilvl="8" w:tplc="2D3CC2E8" w:tentative="1">
      <w:start w:val="1"/>
      <w:numFmt w:val="bullet"/>
      <w:lvlText w:val=""/>
      <w:lvlJc w:val="left"/>
      <w:pPr>
        <w:ind w:left="6480" w:hanging="360"/>
      </w:pPr>
      <w:rPr>
        <w:rFonts w:ascii="Wingdings" w:hAnsi="Wingdings" w:hint="default"/>
      </w:rPr>
    </w:lvl>
  </w:abstractNum>
  <w:abstractNum w:abstractNumId="19" w15:restartNumberingAfterBreak="0">
    <w:nsid w:val="559D29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9A421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B2D68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93128CF"/>
    <w:multiLevelType w:val="multilevel"/>
    <w:tmpl w:val="5604585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15:restartNumberingAfterBreak="0">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15:restartNumberingAfterBreak="0">
    <w:nsid w:val="7DF627B5"/>
    <w:multiLevelType w:val="hybridMultilevel"/>
    <w:tmpl w:val="7DF627B5"/>
    <w:lvl w:ilvl="0" w:tplc="012E9320">
      <w:start w:val="1"/>
      <w:numFmt w:val="bullet"/>
      <w:lvlText w:val=""/>
      <w:lvlJc w:val="left"/>
      <w:pPr>
        <w:tabs>
          <w:tab w:val="num" w:pos="360"/>
        </w:tabs>
        <w:ind w:left="360" w:hanging="360"/>
      </w:pPr>
      <w:rPr>
        <w:rFonts w:ascii="Symbol" w:hAnsi="Symbol"/>
      </w:rPr>
    </w:lvl>
    <w:lvl w:ilvl="1" w:tplc="B3401FAA">
      <w:start w:val="1"/>
      <w:numFmt w:val="bullet"/>
      <w:lvlText w:val="o"/>
      <w:lvlJc w:val="left"/>
      <w:pPr>
        <w:tabs>
          <w:tab w:val="num" w:pos="1080"/>
        </w:tabs>
        <w:ind w:left="1080" w:hanging="360"/>
      </w:pPr>
      <w:rPr>
        <w:rFonts w:ascii="Courier New" w:hAnsi="Courier New"/>
      </w:rPr>
    </w:lvl>
    <w:lvl w:ilvl="2" w:tplc="3B48C69E">
      <w:start w:val="1"/>
      <w:numFmt w:val="bullet"/>
      <w:lvlText w:val=""/>
      <w:lvlJc w:val="left"/>
      <w:pPr>
        <w:tabs>
          <w:tab w:val="num" w:pos="1800"/>
        </w:tabs>
        <w:ind w:left="1800" w:hanging="360"/>
      </w:pPr>
      <w:rPr>
        <w:rFonts w:ascii="Wingdings" w:hAnsi="Wingdings"/>
      </w:rPr>
    </w:lvl>
    <w:lvl w:ilvl="3" w:tplc="21C00A56">
      <w:start w:val="1"/>
      <w:numFmt w:val="bullet"/>
      <w:lvlText w:val=""/>
      <w:lvlJc w:val="left"/>
      <w:pPr>
        <w:tabs>
          <w:tab w:val="num" w:pos="2520"/>
        </w:tabs>
        <w:ind w:left="2520" w:hanging="360"/>
      </w:pPr>
      <w:rPr>
        <w:rFonts w:ascii="Symbol" w:hAnsi="Symbol"/>
      </w:rPr>
    </w:lvl>
    <w:lvl w:ilvl="4" w:tplc="01F8E348">
      <w:start w:val="1"/>
      <w:numFmt w:val="bullet"/>
      <w:lvlText w:val="o"/>
      <w:lvlJc w:val="left"/>
      <w:pPr>
        <w:tabs>
          <w:tab w:val="num" w:pos="3240"/>
        </w:tabs>
        <w:ind w:left="3240" w:hanging="360"/>
      </w:pPr>
      <w:rPr>
        <w:rFonts w:ascii="Courier New" w:hAnsi="Courier New"/>
      </w:rPr>
    </w:lvl>
    <w:lvl w:ilvl="5" w:tplc="F48E99E6">
      <w:start w:val="1"/>
      <w:numFmt w:val="bullet"/>
      <w:lvlText w:val=""/>
      <w:lvlJc w:val="left"/>
      <w:pPr>
        <w:tabs>
          <w:tab w:val="num" w:pos="3960"/>
        </w:tabs>
        <w:ind w:left="3960" w:hanging="360"/>
      </w:pPr>
      <w:rPr>
        <w:rFonts w:ascii="Wingdings" w:hAnsi="Wingdings"/>
      </w:rPr>
    </w:lvl>
    <w:lvl w:ilvl="6" w:tplc="946A46C8">
      <w:start w:val="1"/>
      <w:numFmt w:val="bullet"/>
      <w:lvlText w:val=""/>
      <w:lvlJc w:val="left"/>
      <w:pPr>
        <w:tabs>
          <w:tab w:val="num" w:pos="4680"/>
        </w:tabs>
        <w:ind w:left="4680" w:hanging="360"/>
      </w:pPr>
      <w:rPr>
        <w:rFonts w:ascii="Symbol" w:hAnsi="Symbol"/>
      </w:rPr>
    </w:lvl>
    <w:lvl w:ilvl="7" w:tplc="D12E9088">
      <w:start w:val="1"/>
      <w:numFmt w:val="bullet"/>
      <w:lvlText w:val="o"/>
      <w:lvlJc w:val="left"/>
      <w:pPr>
        <w:tabs>
          <w:tab w:val="num" w:pos="5400"/>
        </w:tabs>
        <w:ind w:left="5400" w:hanging="360"/>
      </w:pPr>
      <w:rPr>
        <w:rFonts w:ascii="Courier New" w:hAnsi="Courier New"/>
      </w:rPr>
    </w:lvl>
    <w:lvl w:ilvl="8" w:tplc="2962F7CC">
      <w:start w:val="1"/>
      <w:numFmt w:val="bullet"/>
      <w:lvlText w:val=""/>
      <w:lvlJc w:val="left"/>
      <w:pPr>
        <w:tabs>
          <w:tab w:val="num" w:pos="6120"/>
        </w:tabs>
        <w:ind w:left="6120" w:hanging="360"/>
      </w:pPr>
      <w:rPr>
        <w:rFonts w:ascii="Wingdings" w:hAnsi="Wingdings"/>
      </w:rPr>
    </w:lvl>
  </w:abstractNum>
  <w:abstractNum w:abstractNumId="27" w15:restartNumberingAfterBreak="0">
    <w:nsid w:val="7DF627B6"/>
    <w:multiLevelType w:val="hybridMultilevel"/>
    <w:tmpl w:val="7DF627B6"/>
    <w:lvl w:ilvl="0" w:tplc="33FC9A6E">
      <w:start w:val="1"/>
      <w:numFmt w:val="bullet"/>
      <w:lvlText w:val=""/>
      <w:lvlJc w:val="left"/>
      <w:pPr>
        <w:tabs>
          <w:tab w:val="num" w:pos="360"/>
        </w:tabs>
        <w:ind w:left="360" w:hanging="360"/>
      </w:pPr>
      <w:rPr>
        <w:rFonts w:ascii="Symbol" w:hAnsi="Symbol"/>
      </w:rPr>
    </w:lvl>
    <w:lvl w:ilvl="1" w:tplc="1E36736E">
      <w:start w:val="1"/>
      <w:numFmt w:val="bullet"/>
      <w:lvlText w:val="o"/>
      <w:lvlJc w:val="left"/>
      <w:pPr>
        <w:tabs>
          <w:tab w:val="num" w:pos="1080"/>
        </w:tabs>
        <w:ind w:left="1080" w:hanging="360"/>
      </w:pPr>
      <w:rPr>
        <w:rFonts w:ascii="Courier New" w:hAnsi="Courier New"/>
      </w:rPr>
    </w:lvl>
    <w:lvl w:ilvl="2" w:tplc="A8741788">
      <w:start w:val="1"/>
      <w:numFmt w:val="bullet"/>
      <w:lvlText w:val=""/>
      <w:lvlJc w:val="left"/>
      <w:pPr>
        <w:tabs>
          <w:tab w:val="num" w:pos="1800"/>
        </w:tabs>
        <w:ind w:left="1800" w:hanging="360"/>
      </w:pPr>
      <w:rPr>
        <w:rFonts w:ascii="Wingdings" w:hAnsi="Wingdings"/>
      </w:rPr>
    </w:lvl>
    <w:lvl w:ilvl="3" w:tplc="FF4CA47A">
      <w:start w:val="1"/>
      <w:numFmt w:val="bullet"/>
      <w:lvlText w:val=""/>
      <w:lvlJc w:val="left"/>
      <w:pPr>
        <w:tabs>
          <w:tab w:val="num" w:pos="2520"/>
        </w:tabs>
        <w:ind w:left="2520" w:hanging="360"/>
      </w:pPr>
      <w:rPr>
        <w:rFonts w:ascii="Symbol" w:hAnsi="Symbol"/>
      </w:rPr>
    </w:lvl>
    <w:lvl w:ilvl="4" w:tplc="4810FC6C">
      <w:start w:val="1"/>
      <w:numFmt w:val="bullet"/>
      <w:lvlText w:val="o"/>
      <w:lvlJc w:val="left"/>
      <w:pPr>
        <w:tabs>
          <w:tab w:val="num" w:pos="3240"/>
        </w:tabs>
        <w:ind w:left="3240" w:hanging="360"/>
      </w:pPr>
      <w:rPr>
        <w:rFonts w:ascii="Courier New" w:hAnsi="Courier New"/>
      </w:rPr>
    </w:lvl>
    <w:lvl w:ilvl="5" w:tplc="4A2845DC">
      <w:start w:val="1"/>
      <w:numFmt w:val="bullet"/>
      <w:lvlText w:val=""/>
      <w:lvlJc w:val="left"/>
      <w:pPr>
        <w:tabs>
          <w:tab w:val="num" w:pos="3960"/>
        </w:tabs>
        <w:ind w:left="3960" w:hanging="360"/>
      </w:pPr>
      <w:rPr>
        <w:rFonts w:ascii="Wingdings" w:hAnsi="Wingdings"/>
      </w:rPr>
    </w:lvl>
    <w:lvl w:ilvl="6" w:tplc="88AA6986">
      <w:start w:val="1"/>
      <w:numFmt w:val="bullet"/>
      <w:lvlText w:val=""/>
      <w:lvlJc w:val="left"/>
      <w:pPr>
        <w:tabs>
          <w:tab w:val="num" w:pos="4680"/>
        </w:tabs>
        <w:ind w:left="4680" w:hanging="360"/>
      </w:pPr>
      <w:rPr>
        <w:rFonts w:ascii="Symbol" w:hAnsi="Symbol"/>
      </w:rPr>
    </w:lvl>
    <w:lvl w:ilvl="7" w:tplc="B6440714">
      <w:start w:val="1"/>
      <w:numFmt w:val="bullet"/>
      <w:lvlText w:val="o"/>
      <w:lvlJc w:val="left"/>
      <w:pPr>
        <w:tabs>
          <w:tab w:val="num" w:pos="5400"/>
        </w:tabs>
        <w:ind w:left="5400" w:hanging="360"/>
      </w:pPr>
      <w:rPr>
        <w:rFonts w:ascii="Courier New" w:hAnsi="Courier New"/>
      </w:rPr>
    </w:lvl>
    <w:lvl w:ilvl="8" w:tplc="03B0C9EC">
      <w:start w:val="1"/>
      <w:numFmt w:val="bullet"/>
      <w:lvlText w:val=""/>
      <w:lvlJc w:val="left"/>
      <w:pPr>
        <w:tabs>
          <w:tab w:val="num" w:pos="6120"/>
        </w:tabs>
        <w:ind w:left="6120" w:hanging="360"/>
      </w:pPr>
      <w:rPr>
        <w:rFonts w:ascii="Wingdings" w:hAnsi="Wingdings"/>
      </w:rPr>
    </w:lvl>
  </w:abstractNum>
  <w:abstractNum w:abstractNumId="28" w15:restartNumberingAfterBreak="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15:restartNumberingAfterBreak="0">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1" w15:restartNumberingAfterBreak="0">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2" w15:restartNumberingAfterBreak="0">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15:restartNumberingAfterBreak="0">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4" w15:restartNumberingAfterBreak="0">
    <w:nsid w:val="7DF627C8"/>
    <w:multiLevelType w:val="hybridMultilevel"/>
    <w:tmpl w:val="7DF627C8"/>
    <w:lvl w:ilvl="0" w:tplc="30F800EA">
      <w:start w:val="1"/>
      <w:numFmt w:val="bullet"/>
      <w:lvlText w:val=""/>
      <w:lvlJc w:val="left"/>
      <w:pPr>
        <w:tabs>
          <w:tab w:val="num" w:pos="360"/>
        </w:tabs>
        <w:ind w:left="360" w:hanging="360"/>
      </w:pPr>
      <w:rPr>
        <w:rFonts w:ascii="Symbol" w:hAnsi="Symbol"/>
      </w:rPr>
    </w:lvl>
    <w:lvl w:ilvl="1" w:tplc="81A03C62">
      <w:start w:val="1"/>
      <w:numFmt w:val="bullet"/>
      <w:lvlText w:val="o"/>
      <w:lvlJc w:val="left"/>
      <w:pPr>
        <w:tabs>
          <w:tab w:val="num" w:pos="1080"/>
        </w:tabs>
        <w:ind w:left="1080" w:hanging="360"/>
      </w:pPr>
      <w:rPr>
        <w:rFonts w:ascii="Courier New" w:hAnsi="Courier New"/>
      </w:rPr>
    </w:lvl>
    <w:lvl w:ilvl="2" w:tplc="DF82F8F0">
      <w:start w:val="1"/>
      <w:numFmt w:val="bullet"/>
      <w:lvlText w:val=""/>
      <w:lvlJc w:val="left"/>
      <w:pPr>
        <w:tabs>
          <w:tab w:val="num" w:pos="1800"/>
        </w:tabs>
        <w:ind w:left="1800" w:hanging="360"/>
      </w:pPr>
      <w:rPr>
        <w:rFonts w:ascii="Wingdings" w:hAnsi="Wingdings"/>
      </w:rPr>
    </w:lvl>
    <w:lvl w:ilvl="3" w:tplc="D9A4F1E8">
      <w:start w:val="1"/>
      <w:numFmt w:val="bullet"/>
      <w:lvlText w:val=""/>
      <w:lvlJc w:val="left"/>
      <w:pPr>
        <w:tabs>
          <w:tab w:val="num" w:pos="2520"/>
        </w:tabs>
        <w:ind w:left="2520" w:hanging="360"/>
      </w:pPr>
      <w:rPr>
        <w:rFonts w:ascii="Symbol" w:hAnsi="Symbol"/>
      </w:rPr>
    </w:lvl>
    <w:lvl w:ilvl="4" w:tplc="12AE1C4E">
      <w:start w:val="1"/>
      <w:numFmt w:val="bullet"/>
      <w:lvlText w:val="o"/>
      <w:lvlJc w:val="left"/>
      <w:pPr>
        <w:tabs>
          <w:tab w:val="num" w:pos="3240"/>
        </w:tabs>
        <w:ind w:left="3240" w:hanging="360"/>
      </w:pPr>
      <w:rPr>
        <w:rFonts w:ascii="Courier New" w:hAnsi="Courier New"/>
      </w:rPr>
    </w:lvl>
    <w:lvl w:ilvl="5" w:tplc="36DA97CC">
      <w:start w:val="1"/>
      <w:numFmt w:val="bullet"/>
      <w:lvlText w:val=""/>
      <w:lvlJc w:val="left"/>
      <w:pPr>
        <w:tabs>
          <w:tab w:val="num" w:pos="3960"/>
        </w:tabs>
        <w:ind w:left="3960" w:hanging="360"/>
      </w:pPr>
      <w:rPr>
        <w:rFonts w:ascii="Wingdings" w:hAnsi="Wingdings"/>
      </w:rPr>
    </w:lvl>
    <w:lvl w:ilvl="6" w:tplc="08AAD9C6">
      <w:start w:val="1"/>
      <w:numFmt w:val="bullet"/>
      <w:lvlText w:val=""/>
      <w:lvlJc w:val="left"/>
      <w:pPr>
        <w:tabs>
          <w:tab w:val="num" w:pos="4680"/>
        </w:tabs>
        <w:ind w:left="4680" w:hanging="360"/>
      </w:pPr>
      <w:rPr>
        <w:rFonts w:ascii="Symbol" w:hAnsi="Symbol"/>
      </w:rPr>
    </w:lvl>
    <w:lvl w:ilvl="7" w:tplc="15629B40">
      <w:start w:val="1"/>
      <w:numFmt w:val="bullet"/>
      <w:lvlText w:val="o"/>
      <w:lvlJc w:val="left"/>
      <w:pPr>
        <w:tabs>
          <w:tab w:val="num" w:pos="5400"/>
        </w:tabs>
        <w:ind w:left="5400" w:hanging="360"/>
      </w:pPr>
      <w:rPr>
        <w:rFonts w:ascii="Courier New" w:hAnsi="Courier New"/>
      </w:rPr>
    </w:lvl>
    <w:lvl w:ilvl="8" w:tplc="63C04A3A">
      <w:start w:val="1"/>
      <w:numFmt w:val="bullet"/>
      <w:lvlText w:val=""/>
      <w:lvlJc w:val="left"/>
      <w:pPr>
        <w:tabs>
          <w:tab w:val="num" w:pos="6120"/>
        </w:tabs>
        <w:ind w:left="6120" w:hanging="360"/>
      </w:pPr>
      <w:rPr>
        <w:rFonts w:ascii="Wingdings" w:hAnsi="Wingdings"/>
      </w:rPr>
    </w:lvl>
  </w:abstractNum>
  <w:abstractNum w:abstractNumId="35" w15:restartNumberingAfterBreak="0">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6" w15:restartNumberingAfterBreak="0">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7" w15:restartNumberingAfterBreak="0">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8" w15:restartNumberingAfterBreak="0">
    <w:nsid w:val="7DF627CC"/>
    <w:multiLevelType w:val="hybridMultilevel"/>
    <w:tmpl w:val="7DF627CC"/>
    <w:lvl w:ilvl="0" w:tplc="2F1CC89A">
      <w:start w:val="1"/>
      <w:numFmt w:val="bullet"/>
      <w:lvlText w:val=""/>
      <w:lvlJc w:val="left"/>
      <w:pPr>
        <w:tabs>
          <w:tab w:val="num" w:pos="360"/>
        </w:tabs>
        <w:ind w:left="360" w:hanging="360"/>
      </w:pPr>
      <w:rPr>
        <w:rFonts w:ascii="Symbol" w:hAnsi="Symbol"/>
      </w:rPr>
    </w:lvl>
    <w:lvl w:ilvl="1" w:tplc="4C42EB94">
      <w:start w:val="1"/>
      <w:numFmt w:val="bullet"/>
      <w:lvlText w:val="o"/>
      <w:lvlJc w:val="left"/>
      <w:pPr>
        <w:tabs>
          <w:tab w:val="num" w:pos="1080"/>
        </w:tabs>
        <w:ind w:left="1080" w:hanging="360"/>
      </w:pPr>
      <w:rPr>
        <w:rFonts w:ascii="Courier New" w:hAnsi="Courier New"/>
      </w:rPr>
    </w:lvl>
    <w:lvl w:ilvl="2" w:tplc="4B52FC70">
      <w:start w:val="1"/>
      <w:numFmt w:val="bullet"/>
      <w:lvlText w:val=""/>
      <w:lvlJc w:val="left"/>
      <w:pPr>
        <w:tabs>
          <w:tab w:val="num" w:pos="1800"/>
        </w:tabs>
        <w:ind w:left="1800" w:hanging="360"/>
      </w:pPr>
      <w:rPr>
        <w:rFonts w:ascii="Wingdings" w:hAnsi="Wingdings"/>
      </w:rPr>
    </w:lvl>
    <w:lvl w:ilvl="3" w:tplc="D71250CC">
      <w:start w:val="1"/>
      <w:numFmt w:val="bullet"/>
      <w:lvlText w:val=""/>
      <w:lvlJc w:val="left"/>
      <w:pPr>
        <w:tabs>
          <w:tab w:val="num" w:pos="2520"/>
        </w:tabs>
        <w:ind w:left="2520" w:hanging="360"/>
      </w:pPr>
      <w:rPr>
        <w:rFonts w:ascii="Symbol" w:hAnsi="Symbol"/>
      </w:rPr>
    </w:lvl>
    <w:lvl w:ilvl="4" w:tplc="F5B47EBC">
      <w:start w:val="1"/>
      <w:numFmt w:val="bullet"/>
      <w:lvlText w:val="o"/>
      <w:lvlJc w:val="left"/>
      <w:pPr>
        <w:tabs>
          <w:tab w:val="num" w:pos="3240"/>
        </w:tabs>
        <w:ind w:left="3240" w:hanging="360"/>
      </w:pPr>
      <w:rPr>
        <w:rFonts w:ascii="Courier New" w:hAnsi="Courier New"/>
      </w:rPr>
    </w:lvl>
    <w:lvl w:ilvl="5" w:tplc="5FAA64E2">
      <w:start w:val="1"/>
      <w:numFmt w:val="bullet"/>
      <w:lvlText w:val=""/>
      <w:lvlJc w:val="left"/>
      <w:pPr>
        <w:tabs>
          <w:tab w:val="num" w:pos="3960"/>
        </w:tabs>
        <w:ind w:left="3960" w:hanging="360"/>
      </w:pPr>
      <w:rPr>
        <w:rFonts w:ascii="Wingdings" w:hAnsi="Wingdings"/>
      </w:rPr>
    </w:lvl>
    <w:lvl w:ilvl="6" w:tplc="A550890C">
      <w:start w:val="1"/>
      <w:numFmt w:val="bullet"/>
      <w:lvlText w:val=""/>
      <w:lvlJc w:val="left"/>
      <w:pPr>
        <w:tabs>
          <w:tab w:val="num" w:pos="4680"/>
        </w:tabs>
        <w:ind w:left="4680" w:hanging="360"/>
      </w:pPr>
      <w:rPr>
        <w:rFonts w:ascii="Symbol" w:hAnsi="Symbol"/>
      </w:rPr>
    </w:lvl>
    <w:lvl w:ilvl="7" w:tplc="2FA41F2C">
      <w:start w:val="1"/>
      <w:numFmt w:val="bullet"/>
      <w:lvlText w:val="o"/>
      <w:lvlJc w:val="left"/>
      <w:pPr>
        <w:tabs>
          <w:tab w:val="num" w:pos="5400"/>
        </w:tabs>
        <w:ind w:left="5400" w:hanging="360"/>
      </w:pPr>
      <w:rPr>
        <w:rFonts w:ascii="Courier New" w:hAnsi="Courier New"/>
      </w:rPr>
    </w:lvl>
    <w:lvl w:ilvl="8" w:tplc="351AA7D6">
      <w:start w:val="1"/>
      <w:numFmt w:val="bullet"/>
      <w:lvlText w:val=""/>
      <w:lvlJc w:val="left"/>
      <w:pPr>
        <w:tabs>
          <w:tab w:val="num" w:pos="6120"/>
        </w:tabs>
        <w:ind w:left="6120" w:hanging="360"/>
      </w:pPr>
      <w:rPr>
        <w:rFonts w:ascii="Wingdings" w:hAnsi="Wingdings"/>
      </w:rPr>
    </w:lvl>
  </w:abstractNum>
  <w:abstractNum w:abstractNumId="39" w15:restartNumberingAfterBreak="0">
    <w:nsid w:val="7DF627CD"/>
    <w:multiLevelType w:val="hybridMultilevel"/>
    <w:tmpl w:val="7DF627CD"/>
    <w:lvl w:ilvl="0" w:tplc="C946F938">
      <w:start w:val="1"/>
      <w:numFmt w:val="bullet"/>
      <w:lvlText w:val=""/>
      <w:lvlJc w:val="left"/>
      <w:pPr>
        <w:tabs>
          <w:tab w:val="num" w:pos="360"/>
        </w:tabs>
        <w:ind w:left="360" w:hanging="360"/>
      </w:pPr>
      <w:rPr>
        <w:rFonts w:ascii="Symbol" w:hAnsi="Symbol"/>
      </w:rPr>
    </w:lvl>
    <w:lvl w:ilvl="1" w:tplc="62BAF2A6">
      <w:start w:val="1"/>
      <w:numFmt w:val="bullet"/>
      <w:lvlText w:val="o"/>
      <w:lvlJc w:val="left"/>
      <w:pPr>
        <w:tabs>
          <w:tab w:val="num" w:pos="1080"/>
        </w:tabs>
        <w:ind w:left="1080" w:hanging="360"/>
      </w:pPr>
      <w:rPr>
        <w:rFonts w:ascii="Courier New" w:hAnsi="Courier New"/>
      </w:rPr>
    </w:lvl>
    <w:lvl w:ilvl="2" w:tplc="7332CD8E">
      <w:start w:val="1"/>
      <w:numFmt w:val="bullet"/>
      <w:lvlText w:val=""/>
      <w:lvlJc w:val="left"/>
      <w:pPr>
        <w:tabs>
          <w:tab w:val="num" w:pos="1800"/>
        </w:tabs>
        <w:ind w:left="1800" w:hanging="360"/>
      </w:pPr>
      <w:rPr>
        <w:rFonts w:ascii="Wingdings" w:hAnsi="Wingdings"/>
      </w:rPr>
    </w:lvl>
    <w:lvl w:ilvl="3" w:tplc="5D562702">
      <w:start w:val="1"/>
      <w:numFmt w:val="bullet"/>
      <w:lvlText w:val=""/>
      <w:lvlJc w:val="left"/>
      <w:pPr>
        <w:tabs>
          <w:tab w:val="num" w:pos="2520"/>
        </w:tabs>
        <w:ind w:left="2520" w:hanging="360"/>
      </w:pPr>
      <w:rPr>
        <w:rFonts w:ascii="Symbol" w:hAnsi="Symbol"/>
      </w:rPr>
    </w:lvl>
    <w:lvl w:ilvl="4" w:tplc="C7F6D1B2">
      <w:start w:val="1"/>
      <w:numFmt w:val="bullet"/>
      <w:lvlText w:val="o"/>
      <w:lvlJc w:val="left"/>
      <w:pPr>
        <w:tabs>
          <w:tab w:val="num" w:pos="3240"/>
        </w:tabs>
        <w:ind w:left="3240" w:hanging="360"/>
      </w:pPr>
      <w:rPr>
        <w:rFonts w:ascii="Courier New" w:hAnsi="Courier New"/>
      </w:rPr>
    </w:lvl>
    <w:lvl w:ilvl="5" w:tplc="3E580C52">
      <w:start w:val="1"/>
      <w:numFmt w:val="bullet"/>
      <w:lvlText w:val=""/>
      <w:lvlJc w:val="left"/>
      <w:pPr>
        <w:tabs>
          <w:tab w:val="num" w:pos="3960"/>
        </w:tabs>
        <w:ind w:left="3960" w:hanging="360"/>
      </w:pPr>
      <w:rPr>
        <w:rFonts w:ascii="Wingdings" w:hAnsi="Wingdings"/>
      </w:rPr>
    </w:lvl>
    <w:lvl w:ilvl="6" w:tplc="1752E3E2">
      <w:start w:val="1"/>
      <w:numFmt w:val="bullet"/>
      <w:lvlText w:val=""/>
      <w:lvlJc w:val="left"/>
      <w:pPr>
        <w:tabs>
          <w:tab w:val="num" w:pos="4680"/>
        </w:tabs>
        <w:ind w:left="4680" w:hanging="360"/>
      </w:pPr>
      <w:rPr>
        <w:rFonts w:ascii="Symbol" w:hAnsi="Symbol"/>
      </w:rPr>
    </w:lvl>
    <w:lvl w:ilvl="7" w:tplc="E2963FB2">
      <w:start w:val="1"/>
      <w:numFmt w:val="bullet"/>
      <w:lvlText w:val="o"/>
      <w:lvlJc w:val="left"/>
      <w:pPr>
        <w:tabs>
          <w:tab w:val="num" w:pos="5400"/>
        </w:tabs>
        <w:ind w:left="5400" w:hanging="360"/>
      </w:pPr>
      <w:rPr>
        <w:rFonts w:ascii="Courier New" w:hAnsi="Courier New"/>
      </w:rPr>
    </w:lvl>
    <w:lvl w:ilvl="8" w:tplc="06B6BA32">
      <w:start w:val="1"/>
      <w:numFmt w:val="bullet"/>
      <w:lvlText w:val=""/>
      <w:lvlJc w:val="left"/>
      <w:pPr>
        <w:tabs>
          <w:tab w:val="num" w:pos="6120"/>
        </w:tabs>
        <w:ind w:left="6120" w:hanging="360"/>
      </w:pPr>
      <w:rPr>
        <w:rFonts w:ascii="Wingdings" w:hAnsi="Wingdings"/>
      </w:rPr>
    </w:lvl>
  </w:abstractNum>
  <w:abstractNum w:abstractNumId="40" w15:restartNumberingAfterBreak="0">
    <w:nsid w:val="7FA6619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FA66191"/>
    <w:multiLevelType w:val="hybridMultilevel"/>
    <w:tmpl w:val="7FA66191"/>
    <w:lvl w:ilvl="0" w:tplc="2D16192A">
      <w:start w:val="1"/>
      <w:numFmt w:val="bullet"/>
      <w:lvlText w:val=""/>
      <w:lvlJc w:val="left"/>
      <w:pPr>
        <w:tabs>
          <w:tab w:val="num" w:pos="360"/>
        </w:tabs>
        <w:ind w:left="360" w:hanging="360"/>
      </w:pPr>
      <w:rPr>
        <w:rFonts w:ascii="Symbol" w:hAnsi="Symbol"/>
      </w:rPr>
    </w:lvl>
    <w:lvl w:ilvl="1" w:tplc="C5B07E84">
      <w:start w:val="1"/>
      <w:numFmt w:val="bullet"/>
      <w:lvlText w:val="o"/>
      <w:lvlJc w:val="left"/>
      <w:pPr>
        <w:tabs>
          <w:tab w:val="num" w:pos="1080"/>
        </w:tabs>
        <w:ind w:left="1080" w:hanging="360"/>
      </w:pPr>
      <w:rPr>
        <w:rFonts w:ascii="Courier New" w:hAnsi="Courier New"/>
      </w:rPr>
    </w:lvl>
    <w:lvl w:ilvl="2" w:tplc="28F6D4E0">
      <w:start w:val="1"/>
      <w:numFmt w:val="bullet"/>
      <w:lvlText w:val=""/>
      <w:lvlJc w:val="left"/>
      <w:pPr>
        <w:tabs>
          <w:tab w:val="num" w:pos="1800"/>
        </w:tabs>
        <w:ind w:left="1800" w:hanging="360"/>
      </w:pPr>
      <w:rPr>
        <w:rFonts w:ascii="Wingdings" w:hAnsi="Wingdings"/>
      </w:rPr>
    </w:lvl>
    <w:lvl w:ilvl="3" w:tplc="0DE8E3B2">
      <w:start w:val="1"/>
      <w:numFmt w:val="bullet"/>
      <w:lvlText w:val=""/>
      <w:lvlJc w:val="left"/>
      <w:pPr>
        <w:tabs>
          <w:tab w:val="num" w:pos="2520"/>
        </w:tabs>
        <w:ind w:left="2520" w:hanging="360"/>
      </w:pPr>
      <w:rPr>
        <w:rFonts w:ascii="Symbol" w:hAnsi="Symbol"/>
      </w:rPr>
    </w:lvl>
    <w:lvl w:ilvl="4" w:tplc="D7683BC4">
      <w:start w:val="1"/>
      <w:numFmt w:val="bullet"/>
      <w:lvlText w:val="o"/>
      <w:lvlJc w:val="left"/>
      <w:pPr>
        <w:tabs>
          <w:tab w:val="num" w:pos="3240"/>
        </w:tabs>
        <w:ind w:left="3240" w:hanging="360"/>
      </w:pPr>
      <w:rPr>
        <w:rFonts w:ascii="Courier New" w:hAnsi="Courier New"/>
      </w:rPr>
    </w:lvl>
    <w:lvl w:ilvl="5" w:tplc="174061B8">
      <w:start w:val="1"/>
      <w:numFmt w:val="bullet"/>
      <w:lvlText w:val=""/>
      <w:lvlJc w:val="left"/>
      <w:pPr>
        <w:tabs>
          <w:tab w:val="num" w:pos="3960"/>
        </w:tabs>
        <w:ind w:left="3960" w:hanging="360"/>
      </w:pPr>
      <w:rPr>
        <w:rFonts w:ascii="Wingdings" w:hAnsi="Wingdings"/>
      </w:rPr>
    </w:lvl>
    <w:lvl w:ilvl="6" w:tplc="4210DB18">
      <w:start w:val="1"/>
      <w:numFmt w:val="bullet"/>
      <w:lvlText w:val=""/>
      <w:lvlJc w:val="left"/>
      <w:pPr>
        <w:tabs>
          <w:tab w:val="num" w:pos="4680"/>
        </w:tabs>
        <w:ind w:left="4680" w:hanging="360"/>
      </w:pPr>
      <w:rPr>
        <w:rFonts w:ascii="Symbol" w:hAnsi="Symbol"/>
      </w:rPr>
    </w:lvl>
    <w:lvl w:ilvl="7" w:tplc="BF720326">
      <w:start w:val="1"/>
      <w:numFmt w:val="bullet"/>
      <w:lvlText w:val="o"/>
      <w:lvlJc w:val="left"/>
      <w:pPr>
        <w:tabs>
          <w:tab w:val="num" w:pos="5400"/>
        </w:tabs>
        <w:ind w:left="5400" w:hanging="360"/>
      </w:pPr>
      <w:rPr>
        <w:rFonts w:ascii="Courier New" w:hAnsi="Courier New"/>
      </w:rPr>
    </w:lvl>
    <w:lvl w:ilvl="8" w:tplc="0C160CD2">
      <w:start w:val="1"/>
      <w:numFmt w:val="bullet"/>
      <w:lvlText w:val=""/>
      <w:lvlJc w:val="left"/>
      <w:pPr>
        <w:tabs>
          <w:tab w:val="num" w:pos="6120"/>
        </w:tabs>
        <w:ind w:left="6120" w:hanging="360"/>
      </w:pPr>
      <w:rPr>
        <w:rFonts w:ascii="Wingdings" w:hAnsi="Wingdings"/>
      </w:rPr>
    </w:lvl>
  </w:abstractNum>
  <w:abstractNum w:abstractNumId="42" w15:restartNumberingAfterBreak="0">
    <w:nsid w:val="7FA66192"/>
    <w:multiLevelType w:val="hybridMultilevel"/>
    <w:tmpl w:val="7FA66192"/>
    <w:lvl w:ilvl="0" w:tplc="6C209782">
      <w:start w:val="1"/>
      <w:numFmt w:val="bullet"/>
      <w:lvlText w:val=""/>
      <w:lvlJc w:val="left"/>
      <w:pPr>
        <w:tabs>
          <w:tab w:val="num" w:pos="360"/>
        </w:tabs>
        <w:ind w:left="360" w:hanging="360"/>
      </w:pPr>
      <w:rPr>
        <w:rFonts w:ascii="Symbol" w:hAnsi="Symbol"/>
      </w:rPr>
    </w:lvl>
    <w:lvl w:ilvl="1" w:tplc="EF5C6220">
      <w:start w:val="1"/>
      <w:numFmt w:val="bullet"/>
      <w:lvlText w:val="o"/>
      <w:lvlJc w:val="left"/>
      <w:pPr>
        <w:tabs>
          <w:tab w:val="num" w:pos="1080"/>
        </w:tabs>
        <w:ind w:left="1080" w:hanging="360"/>
      </w:pPr>
      <w:rPr>
        <w:rFonts w:ascii="Courier New" w:hAnsi="Courier New"/>
      </w:rPr>
    </w:lvl>
    <w:lvl w:ilvl="2" w:tplc="BBA058CA">
      <w:start w:val="1"/>
      <w:numFmt w:val="bullet"/>
      <w:lvlText w:val=""/>
      <w:lvlJc w:val="left"/>
      <w:pPr>
        <w:tabs>
          <w:tab w:val="num" w:pos="1800"/>
        </w:tabs>
        <w:ind w:left="1800" w:hanging="360"/>
      </w:pPr>
      <w:rPr>
        <w:rFonts w:ascii="Wingdings" w:hAnsi="Wingdings"/>
      </w:rPr>
    </w:lvl>
    <w:lvl w:ilvl="3" w:tplc="9FE6EBCA">
      <w:start w:val="1"/>
      <w:numFmt w:val="bullet"/>
      <w:lvlText w:val=""/>
      <w:lvlJc w:val="left"/>
      <w:pPr>
        <w:tabs>
          <w:tab w:val="num" w:pos="2520"/>
        </w:tabs>
        <w:ind w:left="2520" w:hanging="360"/>
      </w:pPr>
      <w:rPr>
        <w:rFonts w:ascii="Symbol" w:hAnsi="Symbol"/>
      </w:rPr>
    </w:lvl>
    <w:lvl w:ilvl="4" w:tplc="654C93D0">
      <w:start w:val="1"/>
      <w:numFmt w:val="bullet"/>
      <w:lvlText w:val="o"/>
      <w:lvlJc w:val="left"/>
      <w:pPr>
        <w:tabs>
          <w:tab w:val="num" w:pos="3240"/>
        </w:tabs>
        <w:ind w:left="3240" w:hanging="360"/>
      </w:pPr>
      <w:rPr>
        <w:rFonts w:ascii="Courier New" w:hAnsi="Courier New"/>
      </w:rPr>
    </w:lvl>
    <w:lvl w:ilvl="5" w:tplc="3A809658">
      <w:start w:val="1"/>
      <w:numFmt w:val="bullet"/>
      <w:lvlText w:val=""/>
      <w:lvlJc w:val="left"/>
      <w:pPr>
        <w:tabs>
          <w:tab w:val="num" w:pos="3960"/>
        </w:tabs>
        <w:ind w:left="3960" w:hanging="360"/>
      </w:pPr>
      <w:rPr>
        <w:rFonts w:ascii="Wingdings" w:hAnsi="Wingdings"/>
      </w:rPr>
    </w:lvl>
    <w:lvl w:ilvl="6" w:tplc="5AACD316">
      <w:start w:val="1"/>
      <w:numFmt w:val="bullet"/>
      <w:lvlText w:val=""/>
      <w:lvlJc w:val="left"/>
      <w:pPr>
        <w:tabs>
          <w:tab w:val="num" w:pos="4680"/>
        </w:tabs>
        <w:ind w:left="4680" w:hanging="360"/>
      </w:pPr>
      <w:rPr>
        <w:rFonts w:ascii="Symbol" w:hAnsi="Symbol"/>
      </w:rPr>
    </w:lvl>
    <w:lvl w:ilvl="7" w:tplc="8F427D6C">
      <w:start w:val="1"/>
      <w:numFmt w:val="bullet"/>
      <w:lvlText w:val="o"/>
      <w:lvlJc w:val="left"/>
      <w:pPr>
        <w:tabs>
          <w:tab w:val="num" w:pos="5400"/>
        </w:tabs>
        <w:ind w:left="5400" w:hanging="360"/>
      </w:pPr>
      <w:rPr>
        <w:rFonts w:ascii="Courier New" w:hAnsi="Courier New"/>
      </w:rPr>
    </w:lvl>
    <w:lvl w:ilvl="8" w:tplc="11101966">
      <w:start w:val="1"/>
      <w:numFmt w:val="bullet"/>
      <w:lvlText w:val=""/>
      <w:lvlJc w:val="left"/>
      <w:pPr>
        <w:tabs>
          <w:tab w:val="num" w:pos="6120"/>
        </w:tabs>
        <w:ind w:left="6120" w:hanging="360"/>
      </w:pPr>
      <w:rPr>
        <w:rFonts w:ascii="Wingdings" w:hAnsi="Wingdings"/>
      </w:rPr>
    </w:lvl>
  </w:abstractNum>
  <w:abstractNum w:abstractNumId="43" w15:restartNumberingAfterBreak="0">
    <w:nsid w:val="7FA66193"/>
    <w:multiLevelType w:val="hybridMultilevel"/>
    <w:tmpl w:val="7FA66193"/>
    <w:lvl w:ilvl="0" w:tplc="3252CF08">
      <w:start w:val="1"/>
      <w:numFmt w:val="bullet"/>
      <w:lvlText w:val=""/>
      <w:lvlJc w:val="left"/>
      <w:pPr>
        <w:tabs>
          <w:tab w:val="num" w:pos="360"/>
        </w:tabs>
        <w:ind w:left="360" w:hanging="360"/>
      </w:pPr>
      <w:rPr>
        <w:rFonts w:ascii="Symbol" w:hAnsi="Symbol"/>
      </w:rPr>
    </w:lvl>
    <w:lvl w:ilvl="1" w:tplc="0FFC9C60">
      <w:start w:val="1"/>
      <w:numFmt w:val="bullet"/>
      <w:lvlText w:val="o"/>
      <w:lvlJc w:val="left"/>
      <w:pPr>
        <w:tabs>
          <w:tab w:val="num" w:pos="1080"/>
        </w:tabs>
        <w:ind w:left="1080" w:hanging="360"/>
      </w:pPr>
      <w:rPr>
        <w:rFonts w:ascii="Courier New" w:hAnsi="Courier New"/>
      </w:rPr>
    </w:lvl>
    <w:lvl w:ilvl="2" w:tplc="7F90357C">
      <w:start w:val="1"/>
      <w:numFmt w:val="bullet"/>
      <w:lvlText w:val=""/>
      <w:lvlJc w:val="left"/>
      <w:pPr>
        <w:tabs>
          <w:tab w:val="num" w:pos="1800"/>
        </w:tabs>
        <w:ind w:left="1800" w:hanging="360"/>
      </w:pPr>
      <w:rPr>
        <w:rFonts w:ascii="Wingdings" w:hAnsi="Wingdings"/>
      </w:rPr>
    </w:lvl>
    <w:lvl w:ilvl="3" w:tplc="62A83F1C">
      <w:start w:val="1"/>
      <w:numFmt w:val="bullet"/>
      <w:lvlText w:val=""/>
      <w:lvlJc w:val="left"/>
      <w:pPr>
        <w:tabs>
          <w:tab w:val="num" w:pos="2520"/>
        </w:tabs>
        <w:ind w:left="2520" w:hanging="360"/>
      </w:pPr>
      <w:rPr>
        <w:rFonts w:ascii="Symbol" w:hAnsi="Symbol"/>
      </w:rPr>
    </w:lvl>
    <w:lvl w:ilvl="4" w:tplc="62DC2BE4">
      <w:start w:val="1"/>
      <w:numFmt w:val="bullet"/>
      <w:lvlText w:val="o"/>
      <w:lvlJc w:val="left"/>
      <w:pPr>
        <w:tabs>
          <w:tab w:val="num" w:pos="3240"/>
        </w:tabs>
        <w:ind w:left="3240" w:hanging="360"/>
      </w:pPr>
      <w:rPr>
        <w:rFonts w:ascii="Courier New" w:hAnsi="Courier New"/>
      </w:rPr>
    </w:lvl>
    <w:lvl w:ilvl="5" w:tplc="2354A3B6">
      <w:start w:val="1"/>
      <w:numFmt w:val="bullet"/>
      <w:lvlText w:val=""/>
      <w:lvlJc w:val="left"/>
      <w:pPr>
        <w:tabs>
          <w:tab w:val="num" w:pos="3960"/>
        </w:tabs>
        <w:ind w:left="3960" w:hanging="360"/>
      </w:pPr>
      <w:rPr>
        <w:rFonts w:ascii="Wingdings" w:hAnsi="Wingdings"/>
      </w:rPr>
    </w:lvl>
    <w:lvl w:ilvl="6" w:tplc="025248D2">
      <w:start w:val="1"/>
      <w:numFmt w:val="bullet"/>
      <w:lvlText w:val=""/>
      <w:lvlJc w:val="left"/>
      <w:pPr>
        <w:tabs>
          <w:tab w:val="num" w:pos="4680"/>
        </w:tabs>
        <w:ind w:left="4680" w:hanging="360"/>
      </w:pPr>
      <w:rPr>
        <w:rFonts w:ascii="Symbol" w:hAnsi="Symbol"/>
      </w:rPr>
    </w:lvl>
    <w:lvl w:ilvl="7" w:tplc="1F3831A2">
      <w:start w:val="1"/>
      <w:numFmt w:val="bullet"/>
      <w:lvlText w:val="o"/>
      <w:lvlJc w:val="left"/>
      <w:pPr>
        <w:tabs>
          <w:tab w:val="num" w:pos="5400"/>
        </w:tabs>
        <w:ind w:left="5400" w:hanging="360"/>
      </w:pPr>
      <w:rPr>
        <w:rFonts w:ascii="Courier New" w:hAnsi="Courier New"/>
      </w:rPr>
    </w:lvl>
    <w:lvl w:ilvl="8" w:tplc="A2FC14A0">
      <w:start w:val="1"/>
      <w:numFmt w:val="bullet"/>
      <w:lvlText w:val=""/>
      <w:lvlJc w:val="left"/>
      <w:pPr>
        <w:tabs>
          <w:tab w:val="num" w:pos="6120"/>
        </w:tabs>
        <w:ind w:left="6120" w:hanging="360"/>
      </w:pPr>
      <w:rPr>
        <w:rFonts w:ascii="Wingdings" w:hAnsi="Wingdings"/>
      </w:rPr>
    </w:lvl>
  </w:abstractNum>
  <w:num w:numId="1">
    <w:abstractNumId w:val="21"/>
  </w:num>
  <w:num w:numId="2">
    <w:abstractNumId w:val="17"/>
  </w:num>
  <w:num w:numId="3">
    <w:abstractNumId w:val="11"/>
  </w:num>
  <w:num w:numId="4">
    <w:abstractNumId w:val="24"/>
  </w:num>
  <w:num w:numId="5">
    <w:abstractNumId w:val="25"/>
  </w:num>
  <w:num w:numId="6">
    <w:abstractNumId w:val="26"/>
  </w:num>
  <w:num w:numId="7">
    <w:abstractNumId w:val="27"/>
  </w:num>
  <w:num w:numId="8">
    <w:abstractNumId w:val="28"/>
  </w:num>
  <w:num w:numId="9">
    <w:abstractNumId w:val="29"/>
  </w:num>
  <w:num w:numId="10">
    <w:abstractNumId w:val="30"/>
  </w:num>
  <w:num w:numId="11">
    <w:abstractNumId w:val="31"/>
  </w:num>
  <w:num w:numId="12">
    <w:abstractNumId w:val="32"/>
  </w:num>
  <w:num w:numId="13">
    <w:abstractNumId w:val="33"/>
  </w:num>
  <w:num w:numId="14">
    <w:abstractNumId w:val="34"/>
  </w:num>
  <w:num w:numId="15">
    <w:abstractNumId w:val="35"/>
  </w:num>
  <w:num w:numId="16">
    <w:abstractNumId w:val="0"/>
  </w:num>
  <w:num w:numId="17">
    <w:abstractNumId w:val="1"/>
  </w:num>
  <w:num w:numId="18">
    <w:abstractNumId w:val="2"/>
  </w:num>
  <w:num w:numId="19">
    <w:abstractNumId w:val="3"/>
  </w:num>
  <w:num w:numId="20">
    <w:abstractNumId w:val="4"/>
  </w:num>
  <w:num w:numId="21">
    <w:abstractNumId w:val="9"/>
  </w:num>
  <w:num w:numId="22">
    <w:abstractNumId w:val="5"/>
  </w:num>
  <w:num w:numId="23">
    <w:abstractNumId w:val="6"/>
  </w:num>
  <w:num w:numId="24">
    <w:abstractNumId w:val="7"/>
  </w:num>
  <w:num w:numId="25">
    <w:abstractNumId w:val="8"/>
  </w:num>
  <w:num w:numId="26">
    <w:abstractNumId w:val="10"/>
  </w:num>
  <w:num w:numId="27">
    <w:abstractNumId w:val="18"/>
  </w:num>
  <w:num w:numId="28">
    <w:abstractNumId w:val="15"/>
  </w:num>
  <w:num w:numId="29">
    <w:abstractNumId w:val="36"/>
  </w:num>
  <w:num w:numId="30">
    <w:abstractNumId w:val="37"/>
  </w:num>
  <w:num w:numId="31">
    <w:abstractNumId w:val="38"/>
  </w:num>
  <w:num w:numId="32">
    <w:abstractNumId w:val="39"/>
  </w:num>
  <w:num w:numId="33">
    <w:abstractNumId w:val="23"/>
  </w:num>
  <w:num w:numId="34">
    <w:abstractNumId w:val="22"/>
  </w:num>
  <w:num w:numId="35">
    <w:abstractNumId w:val="40"/>
  </w:num>
  <w:num w:numId="36">
    <w:abstractNumId w:val="13"/>
  </w:num>
  <w:num w:numId="37">
    <w:abstractNumId w:val="12"/>
  </w:num>
  <w:num w:numId="38">
    <w:abstractNumId w:val="14"/>
  </w:num>
  <w:num w:numId="39">
    <w:abstractNumId w:val="16"/>
  </w:num>
  <w:num w:numId="40">
    <w:abstractNumId w:val="20"/>
  </w:num>
  <w:num w:numId="41">
    <w:abstractNumId w:val="19"/>
  </w:num>
  <w:num w:numId="42">
    <w:abstractNumId w:val="41"/>
  </w:num>
  <w:num w:numId="43">
    <w:abstractNumId w:val="42"/>
  </w:num>
  <w:num w:numId="44">
    <w:abstractNumId w:val="4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284"/>
  <w:hyphenationZone w:val="425"/>
  <w:drawingGridHorizontalSpacing w:val="10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03DC7"/>
    <w:rsid w:val="00020D67"/>
    <w:rsid w:val="00042947"/>
    <w:rsid w:val="00053BAB"/>
    <w:rsid w:val="00055134"/>
    <w:rsid w:val="00055224"/>
    <w:rsid w:val="00066F56"/>
    <w:rsid w:val="000B1C98"/>
    <w:rsid w:val="000B7C62"/>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75EA"/>
    <w:rsid w:val="001E3A8E"/>
    <w:rsid w:val="00201B47"/>
    <w:rsid w:val="0021001B"/>
    <w:rsid w:val="0021544B"/>
    <w:rsid w:val="00220E40"/>
    <w:rsid w:val="00225F28"/>
    <w:rsid w:val="002310D4"/>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4B53"/>
    <w:rsid w:val="003570EA"/>
    <w:rsid w:val="0036214D"/>
    <w:rsid w:val="00374AF9"/>
    <w:rsid w:val="00394C42"/>
    <w:rsid w:val="003E29D9"/>
    <w:rsid w:val="00425E40"/>
    <w:rsid w:val="004266BE"/>
    <w:rsid w:val="00446192"/>
    <w:rsid w:val="00452C6E"/>
    <w:rsid w:val="00462D65"/>
    <w:rsid w:val="00481948"/>
    <w:rsid w:val="004934CB"/>
    <w:rsid w:val="004B5047"/>
    <w:rsid w:val="004B5FCD"/>
    <w:rsid w:val="004D4905"/>
    <w:rsid w:val="004D4C04"/>
    <w:rsid w:val="004E4DAA"/>
    <w:rsid w:val="00506961"/>
    <w:rsid w:val="00513BE7"/>
    <w:rsid w:val="00516516"/>
    <w:rsid w:val="00531B81"/>
    <w:rsid w:val="00533E46"/>
    <w:rsid w:val="00562E3B"/>
    <w:rsid w:val="00577554"/>
    <w:rsid w:val="00605B03"/>
    <w:rsid w:val="0063464D"/>
    <w:rsid w:val="006903FA"/>
    <w:rsid w:val="006952FE"/>
    <w:rsid w:val="006A2407"/>
    <w:rsid w:val="006B2C3A"/>
    <w:rsid w:val="006C27E7"/>
    <w:rsid w:val="006C364E"/>
    <w:rsid w:val="006D4B5D"/>
    <w:rsid w:val="006E4D7D"/>
    <w:rsid w:val="006F31B1"/>
    <w:rsid w:val="006F56FD"/>
    <w:rsid w:val="00707F4C"/>
    <w:rsid w:val="00732731"/>
    <w:rsid w:val="007A372C"/>
    <w:rsid w:val="007A76AB"/>
    <w:rsid w:val="007C5657"/>
    <w:rsid w:val="007D06AE"/>
    <w:rsid w:val="007D3B44"/>
    <w:rsid w:val="007F209D"/>
    <w:rsid w:val="007F3748"/>
    <w:rsid w:val="00831334"/>
    <w:rsid w:val="00837A0D"/>
    <w:rsid w:val="00852D83"/>
    <w:rsid w:val="0087617C"/>
    <w:rsid w:val="008964A9"/>
    <w:rsid w:val="008B1C6A"/>
    <w:rsid w:val="008B7020"/>
    <w:rsid w:val="008C0E6C"/>
    <w:rsid w:val="008D309B"/>
    <w:rsid w:val="008F4EAC"/>
    <w:rsid w:val="00910A82"/>
    <w:rsid w:val="00920E8C"/>
    <w:rsid w:val="00926478"/>
    <w:rsid w:val="0093769A"/>
    <w:rsid w:val="00940D8A"/>
    <w:rsid w:val="0094525F"/>
    <w:rsid w:val="009515D5"/>
    <w:rsid w:val="009550EE"/>
    <w:rsid w:val="009709DB"/>
    <w:rsid w:val="0097294C"/>
    <w:rsid w:val="00987E21"/>
    <w:rsid w:val="00994241"/>
    <w:rsid w:val="00995731"/>
    <w:rsid w:val="0099728D"/>
    <w:rsid w:val="009B76C6"/>
    <w:rsid w:val="009C77F6"/>
    <w:rsid w:val="009D3DE2"/>
    <w:rsid w:val="00A17CE3"/>
    <w:rsid w:val="00A30F43"/>
    <w:rsid w:val="00A46A1E"/>
    <w:rsid w:val="00AB3248"/>
    <w:rsid w:val="00AB6BA6"/>
    <w:rsid w:val="00AE2366"/>
    <w:rsid w:val="00AF4DB6"/>
    <w:rsid w:val="00B21CB4"/>
    <w:rsid w:val="00B5616C"/>
    <w:rsid w:val="00B739FD"/>
    <w:rsid w:val="00BC642E"/>
    <w:rsid w:val="00BE0FD9"/>
    <w:rsid w:val="00BE281B"/>
    <w:rsid w:val="00BE5325"/>
    <w:rsid w:val="00C42E29"/>
    <w:rsid w:val="00C4331B"/>
    <w:rsid w:val="00C544E4"/>
    <w:rsid w:val="00C81AB8"/>
    <w:rsid w:val="00C868C5"/>
    <w:rsid w:val="00CA4ACB"/>
    <w:rsid w:val="00CB201D"/>
    <w:rsid w:val="00CD7F07"/>
    <w:rsid w:val="00CF0B4F"/>
    <w:rsid w:val="00D10529"/>
    <w:rsid w:val="00D63938"/>
    <w:rsid w:val="00D706C6"/>
    <w:rsid w:val="00D8012A"/>
    <w:rsid w:val="00D841F2"/>
    <w:rsid w:val="00DA0F23"/>
    <w:rsid w:val="00DC1789"/>
    <w:rsid w:val="00DE5251"/>
    <w:rsid w:val="00DE72F4"/>
    <w:rsid w:val="00DF2776"/>
    <w:rsid w:val="00DF63C1"/>
    <w:rsid w:val="00E244B5"/>
    <w:rsid w:val="00E26F5B"/>
    <w:rsid w:val="00E43E33"/>
    <w:rsid w:val="00E61A6C"/>
    <w:rsid w:val="00E666A5"/>
    <w:rsid w:val="00EA4AC4"/>
    <w:rsid w:val="00EB34FD"/>
    <w:rsid w:val="00EB7A17"/>
    <w:rsid w:val="00ED4EF3"/>
    <w:rsid w:val="00EF235F"/>
    <w:rsid w:val="00EF7F2A"/>
    <w:rsid w:val="00F021C2"/>
    <w:rsid w:val="00F32249"/>
    <w:rsid w:val="00F32F9C"/>
    <w:rsid w:val="00F46B4A"/>
    <w:rsid w:val="00F504FB"/>
    <w:rsid w:val="00F52A14"/>
    <w:rsid w:val="00F62148"/>
    <w:rsid w:val="00F82C93"/>
    <w:rsid w:val="00FA1D89"/>
    <w:rsid w:val="00FD109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FA40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atentStyles>
  <w:style w:type="paragraph" w:default="1" w:styleId="Normal">
    <w:name w:val="Normal"/>
    <w:qFormat/>
    <w:rsid w:val="00533E46"/>
    <w:pPr>
      <w:spacing w:after="120"/>
    </w:pPr>
    <w:rPr>
      <w:rFonts w:ascii="Calibri" w:hAnsi="Calibri"/>
      <w:sz w:val="20"/>
    </w:rPr>
  </w:style>
  <w:style w:type="paragraph" w:styleId="Heading1">
    <w:name w:val="heading 1"/>
    <w:basedOn w:val="Normal"/>
    <w:next w:val="Normal"/>
    <w:qFormat/>
    <w:rsid w:val="00A30F43"/>
    <w:pPr>
      <w:keepNext/>
      <w:tabs>
        <w:tab w:val="left" w:pos="0"/>
        <w:tab w:val="left" w:pos="567"/>
      </w:tabs>
      <w:spacing w:before="600" w:after="240"/>
      <w:outlineLvl w:val="0"/>
    </w:pPr>
    <w:rPr>
      <w:rFonts w:cs="Arial"/>
      <w:b/>
      <w:bCs/>
      <w:color w:val="404040" w:themeColor="text1" w:themeTint="BF"/>
      <w:kern w:val="32"/>
      <w:sz w:val="32"/>
      <w:szCs w:val="32"/>
    </w:rPr>
  </w:style>
  <w:style w:type="paragraph" w:styleId="Heading2">
    <w:name w:val="heading 2"/>
    <w:basedOn w:val="Normal"/>
    <w:next w:val="Normal"/>
    <w:qFormat/>
    <w:rsid w:val="00066F56"/>
    <w:pPr>
      <w:keepNext/>
      <w:tabs>
        <w:tab w:val="left" w:pos="567"/>
      </w:tabs>
      <w:spacing w:before="480" w:after="240"/>
      <w:outlineLvl w:val="1"/>
    </w:pPr>
    <w:rPr>
      <w:rFonts w:cs="Arial"/>
      <w:b/>
      <w:bCs/>
      <w:color w:val="1F497D" w:themeColor="text2"/>
      <w:sz w:val="28"/>
      <w:szCs w:val="28"/>
    </w:rPr>
  </w:style>
  <w:style w:type="paragraph" w:styleId="Heading3">
    <w:name w:val="heading 3"/>
    <w:basedOn w:val="Normal"/>
    <w:next w:val="Normal"/>
    <w:qFormat/>
    <w:rsid w:val="002310D4"/>
    <w:pPr>
      <w:keepNext/>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2310D4"/>
    <w:pPr>
      <w:keepNext/>
      <w:keepLines/>
      <w:spacing w:before="240" w:after="0"/>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10D4"/>
    <w:pPr>
      <w:keepNext/>
      <w:keepLines/>
      <w:spacing w:before="240" w:after="0"/>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10D4"/>
    <w:pPr>
      <w:keepNext/>
      <w:keepLines/>
      <w:spacing w:before="240" w:after="0"/>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10D4"/>
    <w:pPr>
      <w:keepNext/>
      <w:keepLines/>
      <w:spacing w:before="240" w:after="0"/>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10D4"/>
    <w:pPr>
      <w:keepNext/>
      <w:keepLines/>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unhideWhenUsed/>
    <w:rsid w:val="002310D4"/>
    <w:pPr>
      <w:keepNext/>
      <w:keepLines/>
      <w:spacing w:before="240" w:after="0"/>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eastAsiaTheme="majorEastAsia" w:hAnsi="Source Sans Pro"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eastAsiaTheme="majorEastAsia" w:hAnsi="Source Sans Pro"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25070E"/>
    <w:rPr>
      <w:rFonts w:ascii="Arial" w:hAnsi="Arial"/>
      <w:sz w:val="20"/>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rFonts w:ascii="Arial" w:hAnsi="Arial"/>
        <w:b w:val="0"/>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334B53"/>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eastAsiaTheme="majorEastAsia" w:hAnsi="Source Sans Pro"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eastAsiaTheme="majorEastAsia" w:hAnsi="Source Sans Pro"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eastAsiaTheme="majorEastAsia" w:hAnsi="Source Sans Pro" w:cstheme="majorBidi"/>
      <w:color w:val="7F7F7F" w:themeColor="text1" w:themeTint="80"/>
      <w:sz w:val="20"/>
      <w:szCs w:val="21"/>
    </w:rPr>
  </w:style>
  <w:style w:type="character" w:customStyle="1" w:styleId="Heading9Char">
    <w:name w:val="Heading 9 Char"/>
    <w:basedOn w:val="DefaultParagraphFont"/>
    <w:link w:val="Heading9"/>
    <w:rsid w:val="00236273"/>
    <w:rPr>
      <w:rFonts w:ascii="Source Sans Pro" w:eastAsiaTheme="majorEastAsia" w:hAnsi="Source Sans Pro"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paragraph" w:styleId="BalloonText">
    <w:name w:val="Balloon Text"/>
    <w:basedOn w:val="Normal"/>
    <w:link w:val="BalloonTextChar"/>
    <w:semiHidden/>
    <w:unhideWhenUsed/>
    <w:rsid w:val="00732731"/>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73273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90602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cwiyoutrack.computerworkware.com/issue/VO-2419"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C3581B-415C-486B-9575-682FED585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1064</Words>
  <Characters>6067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dc:creator>
  <cp:lastModifiedBy>Henry Fok</cp:lastModifiedBy>
  <cp:revision>4</cp:revision>
  <dcterms:created xsi:type="dcterms:W3CDTF">2020-12-14T22:19:00Z</dcterms:created>
  <dcterms:modified xsi:type="dcterms:W3CDTF">2020-12-15T00:50:00Z</dcterms:modified>
</cp:coreProperties>
</file>