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9.0 -->
  <w:body>
    <w:p w:rsidR="006F56FD" w:rsidP="00066F56" w14:paraId="495E42DF" w14:textId="40383ACE">
      <w:pPr>
        <w:pStyle w:val="Heading1"/>
      </w:pPr>
      <w:r>
        <w:t>ManuConnect Release - 2021.01.11</w:t>
      </w:r>
    </w:p>
    <w:tbl>
      <w:tblPr>
        <w:tblStyle w:val="ScrollTableNormal"/>
        <w:tblW w:w="0" w:type="auto"/>
        <w:tblInd w:w="0" w:type="dxa"/>
        <w:tblLayout w:type="fixed"/>
        <w:tblLook w:val="0080"/>
      </w:tblPr>
      <w:tblGrid>
        <w:gridCol w:w="3344"/>
        <w:gridCol w:w="6020"/>
      </w:tblGrid>
      <w:tr>
        <w:tblPrEx>
          <w:tblW w:w="0" w:type="auto"/>
          <w:tblInd w:w="0" w:type="dxa"/>
          <w:tblLayout w:type="fixed"/>
          <w:tblLook w:val="0080"/>
        </w:tblPrEx>
        <w:tc>
          <w:tcPr>
            <w:tcW w:w="3344" w:type="dxa"/>
            <w:tcMar>
              <w:top w:w="30" w:type="dxa"/>
              <w:left w:w="30" w:type="dxa"/>
              <w:bottom w:w="20" w:type="dxa"/>
              <w:right w:w="30" w:type="dxa"/>
            </w:tcMar>
          </w:tcPr>
          <w:p>
            <w:pPr>
              <w:ind w:left="0"/>
              <w:jc w:val="left"/>
            </w:pPr>
            <w:r>
              <w:rPr>
                <w:rFonts w:ascii="Arial" w:eastAsia="Times New Roman" w:hAnsi="Arial" w:cs="Times New Roman"/>
                <w:sz w:val="20"/>
                <w:szCs w:val="24"/>
              </w:rPr>
              <w:t>Release Date</w:t>
            </w:r>
          </w:p>
        </w:tc>
        <w:tc>
          <w:tcPr>
            <w:tcW w:w="6020" w:type="dxa"/>
            <w:tcMar>
              <w:top w:w="30" w:type="dxa"/>
              <w:left w:w="30" w:type="dxa"/>
              <w:bottom w:w="20" w:type="dxa"/>
              <w:right w:w="30" w:type="dxa"/>
            </w:tcMar>
          </w:tcPr>
          <w:p>
            <w:pPr>
              <w:ind w:left="0"/>
              <w:jc w:val="left"/>
            </w:pPr>
            <w:r>
              <w:rPr>
                <w:rFonts w:ascii="Arial" w:eastAsia="Times New Roman" w:hAnsi="Arial" w:cs="Times New Roman"/>
                <w:sz w:val="20"/>
                <w:szCs w:val="24"/>
              </w:rPr>
              <w:t>11 Jan 2021</w:t>
            </w:r>
            <w:r>
              <w:rPr>
                <w:rFonts w:ascii="Arial" w:eastAsia="Times New Roman" w:hAnsi="Arial" w:cs="Times New Roman"/>
                <w:sz w:val="20"/>
                <w:szCs w:val="24"/>
              </w:rPr>
              <w:t> </w:t>
            </w:r>
          </w:p>
        </w:tc>
      </w:tr>
      <w:tr>
        <w:tblPrEx>
          <w:tblW w:w="0" w:type="auto"/>
          <w:tblInd w:w="0" w:type="dxa"/>
          <w:tblLayout w:type="fixed"/>
          <w:tblLook w:val="0080"/>
        </w:tblPrEx>
        <w:tc>
          <w:tcPr>
            <w:tcW w:w="3344" w:type="dxa"/>
            <w:tcMar>
              <w:top w:w="30" w:type="dxa"/>
              <w:left w:w="30" w:type="dxa"/>
              <w:bottom w:w="20" w:type="dxa"/>
              <w:right w:w="30" w:type="dxa"/>
            </w:tcMar>
          </w:tcPr>
          <w:p>
            <w:pPr>
              <w:ind w:left="0"/>
              <w:jc w:val="left"/>
            </w:pPr>
            <w:r>
              <w:rPr>
                <w:rFonts w:ascii="Arial" w:eastAsia="Times New Roman" w:hAnsi="Arial" w:cs="Times New Roman"/>
                <w:sz w:val="20"/>
                <w:szCs w:val="24"/>
              </w:rPr>
              <w:t>Core Installer</w:t>
            </w:r>
          </w:p>
        </w:tc>
        <w:tc>
          <w:tcPr>
            <w:tcW w:w="6020" w:type="dxa"/>
            <w:tcMar>
              <w:top w:w="30" w:type="dxa"/>
              <w:left w:w="30" w:type="dxa"/>
              <w:bottom w:w="20" w:type="dxa"/>
              <w:right w:w="30" w:type="dxa"/>
            </w:tcMar>
          </w:tcPr>
          <w:p>
            <w:pPr>
              <w:ind w:left="0"/>
              <w:jc w:val="left"/>
            </w:pPr>
            <w:r>
              <w:rPr>
                <w:rFonts w:ascii="Arial" w:eastAsia="Times New Roman" w:hAnsi="Arial" w:cs="Times New Roman"/>
                <w:sz w:val="20"/>
                <w:szCs w:val="24"/>
              </w:rPr>
              <w:t>7.0.10111.722</w:t>
            </w:r>
          </w:p>
        </w:tc>
      </w:tr>
      <w:tr>
        <w:tblPrEx>
          <w:tblW w:w="0" w:type="auto"/>
          <w:tblInd w:w="0" w:type="dxa"/>
          <w:tblLayout w:type="fixed"/>
          <w:tblLook w:val="0080"/>
        </w:tblPrEx>
        <w:tc>
          <w:tcPr>
            <w:tcW w:w="3344" w:type="dxa"/>
            <w:tcMar>
              <w:top w:w="30" w:type="dxa"/>
              <w:left w:w="30" w:type="dxa"/>
              <w:bottom w:w="20" w:type="dxa"/>
              <w:right w:w="30" w:type="dxa"/>
            </w:tcMar>
          </w:tcPr>
          <w:p>
            <w:pPr>
              <w:ind w:left="0"/>
              <w:jc w:val="left"/>
            </w:pPr>
            <w:r>
              <w:rPr>
                <w:rFonts w:ascii="Arial" w:eastAsia="Times New Roman" w:hAnsi="Arial" w:cs="Times New Roman"/>
                <w:sz w:val="20"/>
                <w:szCs w:val="24"/>
              </w:rPr>
              <w:t>Installer Suite</w:t>
            </w:r>
          </w:p>
        </w:tc>
        <w:tc>
          <w:tcPr>
            <w:tcW w:w="6020" w:type="dxa"/>
            <w:tcMar>
              <w:top w:w="30" w:type="dxa"/>
              <w:left w:w="30" w:type="dxa"/>
              <w:bottom w:w="20" w:type="dxa"/>
              <w:right w:w="30" w:type="dxa"/>
            </w:tcMar>
          </w:tcPr>
          <w:p>
            <w:pPr>
              <w:ind w:left="0"/>
              <w:jc w:val="left"/>
            </w:pPr>
            <w:r>
              <w:rPr>
                <w:rFonts w:ascii="Arial" w:eastAsia="Times New Roman" w:hAnsi="Arial" w:cs="Times New Roman"/>
                <w:sz w:val="20"/>
                <w:szCs w:val="24"/>
              </w:rPr>
              <w:t>7.0.10111.1079</w:t>
            </w:r>
          </w:p>
        </w:tc>
      </w:tr>
    </w:tbl>
    <w:p w:rsidR="0087617C" w:rsidRPr="00D841F2" w14:paraId="6791F24B" w14:textId="6EDD588B">
      <w:pPr>
        <w:pStyle w:val="Heading1"/>
      </w:pPr>
      <w:bookmarkStart w:id="0" w:name="scroll-bookmark-2"/>
      <w:r>
        <w:t>Overview</w:t>
      </w:r>
      <w:bookmarkEnd w:id="0"/>
    </w:p>
    <w:p>
      <w:r>
        <w:t>Today's release contains various fixes and enhancements to VO screens, Transaction Register, and API.</w:t>
      </w:r>
    </w:p>
    <w:p>
      <w:pPr>
        <w:pStyle w:val="Heading1"/>
      </w:pPr>
      <w:bookmarkStart w:id="1" w:name="scroll-bookmark-3"/>
      <w:r>
        <w:t>VO Enhancements &amp; Defects</w:t>
      </w:r>
      <w:bookmarkEnd w:id="1"/>
    </w:p>
    <w:tbl>
      <w:tblPr>
        <w:tblStyle w:val="ScrollTableNormal"/>
        <w:tblW w:w="0" w:type="auto"/>
        <w:tblInd w:w="0" w:type="dxa"/>
        <w:tblLayout w:type="fixed"/>
        <w:tblLook w:val="0020"/>
      </w:tblPr>
      <w:tblGrid>
        <w:gridCol w:w="1147"/>
        <w:gridCol w:w="1051"/>
        <w:gridCol w:w="1051"/>
        <w:gridCol w:w="1720"/>
        <w:gridCol w:w="4395"/>
      </w:tblGrid>
      <w:tr>
        <w:tblPrEx>
          <w:tblW w:w="0" w:type="auto"/>
          <w:tblInd w:w="0" w:type="dxa"/>
          <w:tblLayout w:type="fixed"/>
          <w:tblLook w:val="0020"/>
        </w:tblPrEx>
        <w:tc>
          <w:tcPr>
            <w:tcW w:w="1147" w:type="dxa"/>
            <w:tcMar>
              <w:top w:w="30" w:type="dxa"/>
              <w:left w:w="30" w:type="dxa"/>
              <w:bottom w:w="20" w:type="dxa"/>
              <w:right w:w="30" w:type="dxa"/>
            </w:tcMar>
          </w:tcPr>
          <w:p>
            <w:pPr>
              <w:ind w:left="0"/>
              <w:jc w:val="left"/>
            </w:pPr>
            <w:r>
              <w:rPr>
                <w:rFonts w:ascii="Arial" w:eastAsia="Times New Roman" w:hAnsi="Arial" w:cs="Times New Roman"/>
                <w:b/>
                <w:sz w:val="20"/>
                <w:szCs w:val="24"/>
              </w:rPr>
              <w:t>Feature</w:t>
            </w:r>
          </w:p>
        </w:tc>
        <w:tc>
          <w:tcPr>
            <w:tcW w:w="1051" w:type="dxa"/>
            <w:tcMar>
              <w:top w:w="30" w:type="dxa"/>
              <w:left w:w="30" w:type="dxa"/>
              <w:bottom w:w="20" w:type="dxa"/>
              <w:right w:w="30" w:type="dxa"/>
            </w:tcMar>
          </w:tcPr>
          <w:p>
            <w:pPr>
              <w:ind w:left="0"/>
              <w:jc w:val="left"/>
            </w:pPr>
            <w:r>
              <w:rPr>
                <w:rFonts w:ascii="Arial" w:eastAsia="Times New Roman" w:hAnsi="Arial" w:cs="Times New Roman"/>
                <w:b/>
                <w:sz w:val="20"/>
                <w:szCs w:val="24"/>
              </w:rPr>
              <w:t>Client No.</w:t>
            </w:r>
          </w:p>
        </w:tc>
        <w:tc>
          <w:tcPr>
            <w:tcW w:w="1051" w:type="dxa"/>
            <w:tcMar>
              <w:top w:w="30" w:type="dxa"/>
              <w:left w:w="30" w:type="dxa"/>
              <w:bottom w:w="20" w:type="dxa"/>
              <w:right w:w="30" w:type="dxa"/>
            </w:tcMar>
          </w:tcPr>
          <w:p>
            <w:pPr>
              <w:ind w:left="0"/>
              <w:jc w:val="left"/>
            </w:pPr>
            <w:r>
              <w:rPr>
                <w:rFonts w:ascii="Arial" w:eastAsia="Times New Roman" w:hAnsi="Arial" w:cs="Times New Roman"/>
                <w:b/>
                <w:sz w:val="20"/>
                <w:szCs w:val="24"/>
              </w:rPr>
              <w:t>Category</w:t>
            </w:r>
          </w:p>
        </w:tc>
        <w:tc>
          <w:tcPr>
            <w:tcW w:w="1720" w:type="dxa"/>
            <w:tcMar>
              <w:top w:w="30" w:type="dxa"/>
              <w:left w:w="30" w:type="dxa"/>
              <w:bottom w:w="20" w:type="dxa"/>
              <w:right w:w="30" w:type="dxa"/>
            </w:tcMar>
          </w:tcPr>
          <w:p>
            <w:pPr>
              <w:ind w:left="0"/>
              <w:jc w:val="left"/>
            </w:pPr>
            <w:r>
              <w:rPr>
                <w:rFonts w:ascii="Arial" w:eastAsia="Times New Roman" w:hAnsi="Arial" w:cs="Times New Roman"/>
                <w:b/>
                <w:sz w:val="20"/>
                <w:szCs w:val="24"/>
              </w:rPr>
              <w:t>Summary</w:t>
            </w:r>
          </w:p>
        </w:tc>
        <w:tc>
          <w:tcPr>
            <w:tcW w:w="4395" w:type="dxa"/>
            <w:tcMar>
              <w:top w:w="30" w:type="dxa"/>
              <w:left w:w="30" w:type="dxa"/>
              <w:bottom w:w="20" w:type="dxa"/>
              <w:right w:w="30" w:type="dxa"/>
            </w:tcMar>
          </w:tcPr>
          <w:p>
            <w:pPr>
              <w:ind w:left="0"/>
              <w:jc w:val="left"/>
            </w:pPr>
            <w:r>
              <w:rPr>
                <w:rFonts w:ascii="Arial" w:eastAsia="Times New Roman" w:hAnsi="Arial" w:cs="Times New Roman"/>
                <w:b/>
                <w:sz w:val="20"/>
                <w:szCs w:val="24"/>
              </w:rPr>
              <w:t>Release Notes</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5" w:history="1">
              <w:r>
                <w:rPr>
                  <w:rStyle w:val="Hyperlink"/>
                  <w:rFonts w:ascii="Arial" w:eastAsia="Times New Roman" w:hAnsi="Arial" w:cs="Times New Roman"/>
                  <w:sz w:val="20"/>
                  <w:szCs w:val="24"/>
                </w:rPr>
                <w:t>VO-2441</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VO Admin GUI</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Admin &gt; System &gt; Member Events menu item is still displayed when user doesn't have permissions</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Updated System &gt; Member Events menu item to hide when operator doesn't have System &gt; Member Event &gt; Access permissions</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6" w:history="1">
              <w:r>
                <w:rPr>
                  <w:rStyle w:val="Hyperlink"/>
                  <w:rFonts w:ascii="Arial" w:eastAsia="Times New Roman" w:hAnsi="Arial" w:cs="Times New Roman"/>
                  <w:sz w:val="20"/>
                  <w:szCs w:val="24"/>
                </w:rPr>
                <w:t>VO-2438</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Web Service</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VoApi: Return MemberEvent details in GET context endpoint</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Updated /context/{{contextId}} endpoint to return MemberEvent object if a context is linked to the member event.</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7" w:history="1">
              <w:r>
                <w:rPr>
                  <w:rStyle w:val="Hyperlink"/>
                  <w:rFonts w:ascii="Arial" w:eastAsia="Times New Roman" w:hAnsi="Arial" w:cs="Times New Roman"/>
                  <w:sz w:val="20"/>
                  <w:szCs w:val="24"/>
                </w:rPr>
                <w:t>VO-2433</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Web Service</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VoApi: On MemberEventPost returned EventSubTypeCd is 0</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Update MemberEvent post endpoint to return the saved object with the correct EventSubTypeCd.</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8" w:history="1">
              <w:r>
                <w:rPr>
                  <w:rStyle w:val="Hyperlink"/>
                  <w:rFonts w:ascii="Arial" w:eastAsia="Times New Roman" w:hAnsi="Arial" w:cs="Times New Roman"/>
                  <w:sz w:val="20"/>
                  <w:szCs w:val="24"/>
                </w:rPr>
                <w:t>VO-2109</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VO Admin GUI</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Day (previously Vacation Buy) Benefit Sub-type</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New Day benefit subtype can be used for vacation buy benefits</w:t>
            </w:r>
          </w:p>
          <w:p>
            <w:pPr>
              <w:numPr>
                <w:ilvl w:val="0"/>
                <w:numId w:val="42"/>
              </w:numPr>
              <w:ind w:left="360"/>
              <w:jc w:val="left"/>
            </w:pPr>
            <w:r>
              <w:rPr>
                <w:rFonts w:ascii="Arial" w:eastAsia="Times New Roman" w:hAnsi="Arial" w:cs="Times New Roman"/>
                <w:sz w:val="20"/>
                <w:szCs w:val="24"/>
              </w:rPr>
              <w:t>Add "Day" to the list of Benefit Sub-types</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9" w:history="1">
              <w:r>
                <w:rPr>
                  <w:rStyle w:val="Hyperlink"/>
                  <w:rFonts w:ascii="Arial" w:eastAsia="Times New Roman" w:hAnsi="Arial" w:cs="Times New Roman"/>
                  <w:sz w:val="20"/>
                  <w:szCs w:val="24"/>
                </w:rPr>
                <w:t>MLU-888</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Web Services</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Return error when creating future dated member event in VoApi</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/api/member/{memberId}/memberEvent will return if provided effective date is in the future comparing to the client next billing date</w:t>
            </w:r>
          </w:p>
        </w:tc>
      </w:tr>
      <w:tr>
        <w:tblPrEx>
          <w:tblW w:w="0" w:type="auto"/>
          <w:tblInd w:w="0" w:type="dxa"/>
          <w:tblLayout w:type="fixed"/>
          <w:tblLook w:val="0020"/>
        </w:tblPrEx>
        <w:tc>
          <w:tcPr>
            <w:tcW w:w="1147" w:type="dxa"/>
            <w:tcMar>
              <w:top w:w="30" w:type="dxa"/>
              <w:left w:w="30" w:type="dxa"/>
              <w:bottom w:w="20" w:type="dxa"/>
              <w:right w:w="30" w:type="dxa"/>
            </w:tcMar>
          </w:tcPr>
          <w:p>
            <w:pPr>
              <w:ind w:left="0"/>
              <w:jc w:val="left"/>
            </w:pPr>
            <w:hyperlink r:id="rId10" w:history="1">
              <w:r>
                <w:rPr>
                  <w:rStyle w:val="Hyperlink"/>
                  <w:rFonts w:ascii="Arial" w:eastAsia="Times New Roman" w:hAnsi="Arial" w:cs="Times New Roman"/>
                  <w:sz w:val="20"/>
                  <w:szCs w:val="24"/>
                </w:rPr>
                <w:t>ML-72</w:t>
              </w:r>
            </w:hyperlink>
          </w:p>
        </w:tc>
        <w:tc>
          <w:tcPr>
            <w:tcW w:w="1051" w:type="dxa"/>
            <w:tcMar>
              <w:top w:w="30" w:type="dxa"/>
              <w:left w:w="30" w:type="dxa"/>
              <w:bottom w:w="20" w:type="dxa"/>
              <w:right w:w="30" w:type="dxa"/>
            </w:tcMar>
          </w:tcPr>
          <w:p>
            <w:pPr>
              <w:ind w:left="0"/>
              <w:jc w:val="left"/>
            </w:pPr>
          </w:p>
        </w:tc>
        <w:tc>
          <w:tcPr>
            <w:tcW w:w="1051" w:type="dxa"/>
            <w:tcMar>
              <w:top w:w="30" w:type="dxa"/>
              <w:left w:w="30" w:type="dxa"/>
              <w:bottom w:w="20" w:type="dxa"/>
              <w:right w:w="30" w:type="dxa"/>
            </w:tcMar>
          </w:tcPr>
          <w:p>
            <w:pPr>
              <w:ind w:left="0"/>
              <w:jc w:val="left"/>
            </w:pPr>
            <w:r>
              <w:rPr>
                <w:rFonts w:ascii="Arial" w:eastAsia="Times New Roman" w:hAnsi="Arial" w:cs="Times New Roman"/>
                <w:sz w:val="20"/>
                <w:szCs w:val="24"/>
              </w:rPr>
              <w:t>Web Services</w:t>
            </w:r>
          </w:p>
        </w:tc>
        <w:tc>
          <w:tcPr>
            <w:tcW w:w="1720" w:type="dxa"/>
            <w:tcMar>
              <w:top w:w="30" w:type="dxa"/>
              <w:left w:w="30" w:type="dxa"/>
              <w:bottom w:w="20" w:type="dxa"/>
              <w:right w:w="30" w:type="dxa"/>
            </w:tcMar>
          </w:tcPr>
          <w:p>
            <w:pPr>
              <w:ind w:left="0"/>
              <w:jc w:val="left"/>
            </w:pPr>
            <w:r>
              <w:rPr>
                <w:rFonts w:ascii="Arial" w:eastAsia="Times New Roman" w:hAnsi="Arial" w:cs="Times New Roman"/>
                <w:sz w:val="20"/>
                <w:szCs w:val="24"/>
              </w:rPr>
              <w:t>Add Day benefit sub-type to Manulife</w:t>
            </w:r>
          </w:p>
        </w:tc>
        <w:tc>
          <w:tcPr>
            <w:tcW w:w="4395" w:type="dxa"/>
            <w:tcMar>
              <w:top w:w="30" w:type="dxa"/>
              <w:left w:w="30" w:type="dxa"/>
              <w:bottom w:w="20" w:type="dxa"/>
              <w:right w:w="30" w:type="dxa"/>
            </w:tcMar>
          </w:tcPr>
          <w:p>
            <w:pPr>
              <w:ind w:left="0"/>
              <w:jc w:val="left"/>
            </w:pPr>
            <w:r>
              <w:rPr>
                <w:rFonts w:ascii="Arial" w:eastAsia="Times New Roman" w:hAnsi="Arial" w:cs="Times New Roman"/>
                <w:sz w:val="20"/>
                <w:szCs w:val="24"/>
              </w:rPr>
              <w:t>Exposed BeneSubTypeCd in the VoApi plan information endpoint</w:t>
            </w:r>
          </w:p>
        </w:tc>
      </w:tr>
    </w:tbl>
    <w:p>
      <w:pPr>
        <w:pStyle w:val="Heading1"/>
      </w:pPr>
      <w:bookmarkStart w:id="2" w:name="scroll-bookmark-4"/>
      <w:r>
        <w:t>Defects Addressed</w:t>
      </w:r>
      <w:bookmarkEnd w:id="2"/>
    </w:p>
    <w:tbl>
      <w:tblPr>
        <w:tblStyle w:val="ScrollTableNormal"/>
        <w:tblW w:w="0" w:type="auto"/>
        <w:tblInd w:w="0" w:type="dxa"/>
        <w:tblLayout w:type="fixed"/>
        <w:tblLook w:val="0020"/>
      </w:tblPr>
      <w:tblGrid>
        <w:gridCol w:w="1051"/>
        <w:gridCol w:w="1051"/>
        <w:gridCol w:w="1147"/>
        <w:gridCol w:w="1911"/>
        <w:gridCol w:w="4204"/>
      </w:tblGrid>
      <w:tr>
        <w:tblPrEx>
          <w:tblW w:w="0" w:type="auto"/>
          <w:tblInd w:w="0" w:type="dxa"/>
          <w:tblLayout w:type="fixed"/>
          <w:tblLook w:val="0020"/>
        </w:tblPrEx>
        <w:tc>
          <w:tcPr>
            <w:tcW w:w="1051" w:type="dxa"/>
            <w:tcMar>
              <w:top w:w="30" w:type="dxa"/>
              <w:left w:w="30" w:type="dxa"/>
              <w:bottom w:w="20" w:type="dxa"/>
              <w:right w:w="30" w:type="dxa"/>
            </w:tcMar>
          </w:tcPr>
          <w:p>
            <w:pPr>
              <w:ind w:left="0"/>
              <w:jc w:val="left"/>
            </w:pPr>
            <w:r>
              <w:rPr>
                <w:rFonts w:ascii="Arial" w:eastAsia="Times New Roman" w:hAnsi="Arial" w:cs="Times New Roman"/>
                <w:b/>
                <w:sz w:val="20"/>
                <w:szCs w:val="24"/>
              </w:rPr>
              <w:t>Defect</w:t>
            </w:r>
          </w:p>
        </w:tc>
        <w:tc>
          <w:tcPr>
            <w:tcW w:w="1051" w:type="dxa"/>
            <w:tcMar>
              <w:top w:w="30" w:type="dxa"/>
              <w:left w:w="30" w:type="dxa"/>
              <w:bottom w:w="20" w:type="dxa"/>
              <w:right w:w="30" w:type="dxa"/>
            </w:tcMar>
          </w:tcPr>
          <w:p>
            <w:pPr>
              <w:ind w:left="0"/>
              <w:jc w:val="left"/>
            </w:pPr>
            <w:r>
              <w:rPr>
                <w:rFonts w:ascii="Arial" w:eastAsia="Times New Roman" w:hAnsi="Arial" w:cs="Times New Roman"/>
                <w:b/>
                <w:sz w:val="20"/>
                <w:szCs w:val="24"/>
              </w:rPr>
              <w:t>Client No.</w:t>
            </w:r>
          </w:p>
        </w:tc>
        <w:tc>
          <w:tcPr>
            <w:tcW w:w="1147" w:type="dxa"/>
            <w:tcMar>
              <w:top w:w="30" w:type="dxa"/>
              <w:left w:w="30" w:type="dxa"/>
              <w:bottom w:w="20" w:type="dxa"/>
              <w:right w:w="30" w:type="dxa"/>
            </w:tcMar>
          </w:tcPr>
          <w:p>
            <w:pPr>
              <w:ind w:left="0"/>
              <w:jc w:val="left"/>
            </w:pPr>
            <w:r>
              <w:rPr>
                <w:rFonts w:ascii="Arial" w:eastAsia="Times New Roman" w:hAnsi="Arial" w:cs="Times New Roman"/>
                <w:b/>
                <w:sz w:val="20"/>
                <w:szCs w:val="24"/>
              </w:rPr>
              <w:t>Category</w:t>
            </w:r>
          </w:p>
        </w:tc>
        <w:tc>
          <w:tcPr>
            <w:tcW w:w="1911" w:type="dxa"/>
            <w:tcMar>
              <w:top w:w="30" w:type="dxa"/>
              <w:left w:w="30" w:type="dxa"/>
              <w:bottom w:w="20" w:type="dxa"/>
              <w:right w:w="30" w:type="dxa"/>
            </w:tcMar>
          </w:tcPr>
          <w:p>
            <w:pPr>
              <w:ind w:left="0"/>
              <w:jc w:val="left"/>
            </w:pPr>
            <w:r>
              <w:rPr>
                <w:rFonts w:ascii="Arial" w:eastAsia="Times New Roman" w:hAnsi="Arial" w:cs="Times New Roman"/>
                <w:b/>
                <w:sz w:val="20"/>
                <w:szCs w:val="24"/>
              </w:rPr>
              <w:t>Summary</w:t>
            </w:r>
          </w:p>
        </w:tc>
        <w:tc>
          <w:tcPr>
            <w:tcW w:w="4204" w:type="dxa"/>
            <w:tcMar>
              <w:top w:w="30" w:type="dxa"/>
              <w:left w:w="30" w:type="dxa"/>
              <w:bottom w:w="20" w:type="dxa"/>
              <w:right w:w="30" w:type="dxa"/>
            </w:tcMar>
          </w:tcPr>
          <w:p>
            <w:pPr>
              <w:ind w:left="0"/>
              <w:jc w:val="left"/>
            </w:pPr>
            <w:r>
              <w:rPr>
                <w:rFonts w:ascii="Arial" w:eastAsia="Times New Roman" w:hAnsi="Arial" w:cs="Times New Roman"/>
                <w:b/>
                <w:sz w:val="20"/>
                <w:szCs w:val="24"/>
              </w:rPr>
              <w:t>Release Notes</w:t>
            </w:r>
          </w:p>
        </w:tc>
      </w:tr>
      <w:tr>
        <w:tblPrEx>
          <w:tblW w:w="0" w:type="auto"/>
          <w:tblInd w:w="0" w:type="dxa"/>
          <w:tblLayout w:type="fixed"/>
          <w:tblLook w:val="0020"/>
        </w:tblPrEx>
        <w:tc>
          <w:tcPr>
            <w:tcW w:w="1051" w:type="dxa"/>
            <w:tcMar>
              <w:top w:w="30" w:type="dxa"/>
              <w:left w:w="30" w:type="dxa"/>
              <w:bottom w:w="20" w:type="dxa"/>
              <w:right w:w="30" w:type="dxa"/>
            </w:tcMar>
          </w:tcPr>
          <w:p>
            <w:pPr>
              <w:ind w:left="0"/>
              <w:jc w:val="left"/>
            </w:pPr>
            <w:hyperlink r:id="rId11" w:history="1">
              <w:r>
                <w:rPr>
                  <w:rStyle w:val="Hyperlink"/>
                  <w:rFonts w:ascii="Arial" w:eastAsia="Times New Roman" w:hAnsi="Arial" w:cs="Times New Roman"/>
                  <w:sz w:val="20"/>
                  <w:szCs w:val="24"/>
                </w:rPr>
                <w:t>MLU-890</w:t>
              </w:r>
            </w:hyperlink>
          </w:p>
        </w:tc>
        <w:tc>
          <w:tcPr>
            <w:tcW w:w="1051" w:type="dxa"/>
            <w:tcMar>
              <w:top w:w="30" w:type="dxa"/>
              <w:left w:w="30" w:type="dxa"/>
              <w:bottom w:w="20" w:type="dxa"/>
              <w:right w:w="30" w:type="dxa"/>
            </w:tcMar>
          </w:tcPr>
          <w:p>
            <w:pPr>
              <w:ind w:left="0"/>
              <w:jc w:val="left"/>
            </w:pPr>
            <w:hyperlink r:id="rId12" w:history="1">
              <w:r>
                <w:rPr>
                  <w:rStyle w:val="Hyperlink"/>
                  <w:rFonts w:ascii="Arial" w:eastAsia="Times New Roman" w:hAnsi="Arial" w:cs="Times New Roman"/>
                  <w:sz w:val="20"/>
                  <w:szCs w:val="24"/>
                </w:rPr>
                <w:t>10716</w:t>
              </w:r>
            </w:hyperlink>
          </w:p>
        </w:tc>
        <w:tc>
          <w:tcPr>
            <w:tcW w:w="1147" w:type="dxa"/>
            <w:tcMar>
              <w:top w:w="30" w:type="dxa"/>
              <w:left w:w="30" w:type="dxa"/>
              <w:bottom w:w="20" w:type="dxa"/>
              <w:right w:w="30" w:type="dxa"/>
            </w:tcMar>
          </w:tcPr>
          <w:p>
            <w:pPr>
              <w:ind w:left="0"/>
              <w:jc w:val="left"/>
            </w:pPr>
            <w:r>
              <w:rPr>
                <w:rFonts w:ascii="Arial" w:eastAsia="Times New Roman" w:hAnsi="Arial" w:cs="Times New Roman"/>
                <w:sz w:val="20"/>
                <w:szCs w:val="24"/>
              </w:rPr>
              <w:t>Admin GUI</w:t>
            </w:r>
          </w:p>
        </w:tc>
        <w:tc>
          <w:tcPr>
            <w:tcW w:w="1911" w:type="dxa"/>
            <w:tcMar>
              <w:top w:w="30" w:type="dxa"/>
              <w:left w:w="30" w:type="dxa"/>
              <w:bottom w:w="20" w:type="dxa"/>
              <w:right w:w="30" w:type="dxa"/>
            </w:tcMar>
          </w:tcPr>
          <w:p>
            <w:pPr>
              <w:ind w:left="0"/>
              <w:jc w:val="left"/>
            </w:pPr>
            <w:r>
              <w:rPr>
                <w:rFonts w:ascii="Arial" w:eastAsia="Times New Roman" w:hAnsi="Arial" w:cs="Times New Roman"/>
                <w:sz w:val="20"/>
                <w:szCs w:val="24"/>
              </w:rPr>
              <w:t>[CDTASMU-10716] Client Basic Screen Next Renewal Date Label incorrect</w:t>
            </w:r>
          </w:p>
        </w:tc>
        <w:tc>
          <w:tcPr>
            <w:tcW w:w="4204" w:type="dxa"/>
            <w:tcMar>
              <w:top w:w="30" w:type="dxa"/>
              <w:left w:w="30" w:type="dxa"/>
              <w:bottom w:w="20" w:type="dxa"/>
              <w:right w:w="30" w:type="dxa"/>
            </w:tcMar>
          </w:tcPr>
          <w:p>
            <w:pPr>
              <w:ind w:left="0"/>
              <w:jc w:val="left"/>
            </w:pPr>
            <w:r>
              <w:rPr>
                <w:rFonts w:ascii="Arial" w:eastAsia="Times New Roman" w:hAnsi="Arial" w:cs="Times New Roman"/>
                <w:sz w:val="20"/>
                <w:szCs w:val="24"/>
              </w:rPr>
              <w:t>Changed Renewal Date label to Next Renewal Date.</w:t>
            </w:r>
          </w:p>
        </w:tc>
      </w:tr>
      <w:tr>
        <w:tblPrEx>
          <w:tblW w:w="0" w:type="auto"/>
          <w:tblInd w:w="0" w:type="dxa"/>
          <w:tblLayout w:type="fixed"/>
          <w:tblLook w:val="0020"/>
        </w:tblPrEx>
        <w:tc>
          <w:tcPr>
            <w:tcW w:w="1051" w:type="dxa"/>
            <w:tcMar>
              <w:top w:w="30" w:type="dxa"/>
              <w:left w:w="30" w:type="dxa"/>
              <w:bottom w:w="20" w:type="dxa"/>
              <w:right w:w="30" w:type="dxa"/>
            </w:tcMar>
          </w:tcPr>
          <w:p>
            <w:pPr>
              <w:ind w:left="0"/>
              <w:jc w:val="left"/>
            </w:pPr>
            <w:hyperlink r:id="rId13" w:history="1">
              <w:r>
                <w:rPr>
                  <w:rStyle w:val="Hyperlink"/>
                  <w:rFonts w:ascii="Arial" w:eastAsia="Times New Roman" w:hAnsi="Arial" w:cs="Times New Roman"/>
                  <w:sz w:val="20"/>
                  <w:szCs w:val="24"/>
                </w:rPr>
                <w:t>MLU-892</w:t>
              </w:r>
            </w:hyperlink>
          </w:p>
        </w:tc>
        <w:tc>
          <w:tcPr>
            <w:tcW w:w="1051" w:type="dxa"/>
            <w:tcMar>
              <w:top w:w="30" w:type="dxa"/>
              <w:left w:w="30" w:type="dxa"/>
              <w:bottom w:w="20" w:type="dxa"/>
              <w:right w:w="30" w:type="dxa"/>
            </w:tcMar>
          </w:tcPr>
          <w:p>
            <w:pPr>
              <w:ind w:left="0"/>
              <w:jc w:val="left"/>
            </w:pPr>
            <w:hyperlink r:id="rId14" w:history="1">
              <w:r>
                <w:rPr>
                  <w:rStyle w:val="Hyperlink"/>
                  <w:rFonts w:ascii="Arial" w:eastAsia="Times New Roman" w:hAnsi="Arial" w:cs="Times New Roman"/>
                  <w:sz w:val="20"/>
                  <w:szCs w:val="24"/>
                </w:rPr>
                <w:t>10707</w:t>
              </w:r>
            </w:hyperlink>
          </w:p>
        </w:tc>
        <w:tc>
          <w:tcPr>
            <w:tcW w:w="1147" w:type="dxa"/>
            <w:tcMar>
              <w:top w:w="30" w:type="dxa"/>
              <w:left w:w="30" w:type="dxa"/>
              <w:bottom w:w="20" w:type="dxa"/>
              <w:right w:w="30" w:type="dxa"/>
            </w:tcMar>
          </w:tcPr>
          <w:p>
            <w:pPr>
              <w:ind w:left="0"/>
              <w:jc w:val="left"/>
            </w:pPr>
            <w:r>
              <w:rPr>
                <w:rFonts w:ascii="Arial" w:eastAsia="Times New Roman" w:hAnsi="Arial" w:cs="Times New Roman"/>
                <w:sz w:val="20"/>
                <w:szCs w:val="24"/>
              </w:rPr>
              <w:t>Accounting</w:t>
            </w:r>
          </w:p>
        </w:tc>
        <w:tc>
          <w:tcPr>
            <w:tcW w:w="1911" w:type="dxa"/>
            <w:tcMar>
              <w:top w:w="30" w:type="dxa"/>
              <w:left w:w="30" w:type="dxa"/>
              <w:bottom w:w="20" w:type="dxa"/>
              <w:right w:w="30" w:type="dxa"/>
            </w:tcMar>
          </w:tcPr>
          <w:p>
            <w:pPr>
              <w:ind w:left="0"/>
              <w:jc w:val="left"/>
            </w:pPr>
            <w:r>
              <w:rPr>
                <w:rFonts w:ascii="Arial" w:eastAsia="Times New Roman" w:hAnsi="Arial" w:cs="Times New Roman"/>
                <w:sz w:val="20"/>
                <w:szCs w:val="24"/>
              </w:rPr>
              <w:t>[CDTASMU-10707] Transaction Register (UAT) throwing error message when trying to search a client</w:t>
            </w:r>
          </w:p>
        </w:tc>
        <w:tc>
          <w:tcPr>
            <w:tcW w:w="4204" w:type="dxa"/>
            <w:tcMar>
              <w:top w:w="30" w:type="dxa"/>
              <w:left w:w="30" w:type="dxa"/>
              <w:bottom w:w="20" w:type="dxa"/>
              <w:right w:w="30" w:type="dxa"/>
            </w:tcMar>
          </w:tcPr>
          <w:p>
            <w:pPr>
              <w:ind w:left="0"/>
              <w:jc w:val="left"/>
            </w:pPr>
            <w:r>
              <w:rPr>
                <w:rFonts w:ascii="Arial" w:eastAsia="Times New Roman" w:hAnsi="Arial" w:cs="Times New Roman"/>
                <w:sz w:val="20"/>
                <w:szCs w:val="24"/>
              </w:rPr>
              <w:t>The SQL query that is used to fetch potentially matching accounts (#10486) is significantly trimmed. Any reference to the Member and Class table has been removed in order to improve performance. Instead of minutes, the result set should be returned in 10 seconds or less.</w:t>
            </w:r>
          </w:p>
        </w:tc>
      </w:tr>
      <w:tr>
        <w:tblPrEx>
          <w:tblW w:w="0" w:type="auto"/>
          <w:tblInd w:w="0" w:type="dxa"/>
          <w:tblLayout w:type="fixed"/>
          <w:tblLook w:val="0020"/>
        </w:tblPrEx>
        <w:tc>
          <w:tcPr>
            <w:tcW w:w="1051" w:type="dxa"/>
            <w:tcMar>
              <w:top w:w="30" w:type="dxa"/>
              <w:left w:w="30" w:type="dxa"/>
              <w:bottom w:w="20" w:type="dxa"/>
              <w:right w:w="30" w:type="dxa"/>
            </w:tcMar>
          </w:tcPr>
          <w:p>
            <w:pPr>
              <w:ind w:left="0"/>
              <w:jc w:val="left"/>
            </w:pPr>
            <w:hyperlink r:id="rId15" w:history="1">
              <w:r>
                <w:rPr>
                  <w:rStyle w:val="Hyperlink"/>
                  <w:rFonts w:ascii="Arial" w:eastAsia="Times New Roman" w:hAnsi="Arial" w:cs="Times New Roman"/>
                  <w:sz w:val="20"/>
                  <w:szCs w:val="24"/>
                </w:rPr>
                <w:t>MLU-884</w:t>
              </w:r>
            </w:hyperlink>
          </w:p>
        </w:tc>
        <w:tc>
          <w:tcPr>
            <w:tcW w:w="1051" w:type="dxa"/>
            <w:tcMar>
              <w:top w:w="30" w:type="dxa"/>
              <w:left w:w="30" w:type="dxa"/>
              <w:bottom w:w="20" w:type="dxa"/>
              <w:right w:w="30" w:type="dxa"/>
            </w:tcMar>
          </w:tcPr>
          <w:p>
            <w:pPr>
              <w:ind w:left="0"/>
              <w:jc w:val="left"/>
            </w:pPr>
            <w:hyperlink r:id="rId16" w:history="1">
              <w:r>
                <w:rPr>
                  <w:rStyle w:val="Hyperlink"/>
                  <w:rFonts w:ascii="Arial" w:eastAsia="Times New Roman" w:hAnsi="Arial" w:cs="Times New Roman"/>
                  <w:sz w:val="20"/>
                  <w:szCs w:val="24"/>
                </w:rPr>
                <w:t>10681</w:t>
              </w:r>
            </w:hyperlink>
          </w:p>
        </w:tc>
        <w:tc>
          <w:tcPr>
            <w:tcW w:w="1147" w:type="dxa"/>
            <w:tcMar>
              <w:top w:w="30" w:type="dxa"/>
              <w:left w:w="30" w:type="dxa"/>
              <w:bottom w:w="20" w:type="dxa"/>
              <w:right w:w="30" w:type="dxa"/>
            </w:tcMar>
          </w:tcPr>
          <w:p>
            <w:pPr>
              <w:ind w:left="0"/>
              <w:jc w:val="left"/>
            </w:pPr>
            <w:r>
              <w:rPr>
                <w:rFonts w:ascii="Arial" w:eastAsia="Times New Roman" w:hAnsi="Arial" w:cs="Times New Roman"/>
                <w:sz w:val="20"/>
                <w:szCs w:val="24"/>
              </w:rPr>
              <w:t>Task Group</w:t>
            </w:r>
          </w:p>
        </w:tc>
        <w:tc>
          <w:tcPr>
            <w:tcW w:w="1911" w:type="dxa"/>
            <w:tcMar>
              <w:top w:w="30" w:type="dxa"/>
              <w:left w:w="30" w:type="dxa"/>
              <w:bottom w:w="20" w:type="dxa"/>
              <w:right w:w="30" w:type="dxa"/>
            </w:tcMar>
          </w:tcPr>
          <w:p>
            <w:pPr>
              <w:ind w:left="0"/>
              <w:jc w:val="left"/>
            </w:pPr>
            <w:r>
              <w:rPr>
                <w:rFonts w:ascii="Arial" w:eastAsia="Times New Roman" w:hAnsi="Arial" w:cs="Times New Roman"/>
                <w:sz w:val="20"/>
                <w:szCs w:val="24"/>
              </w:rPr>
              <w:t>[CDTASMU-10681] V07 SIT :The Task Group run is not getting Completed Successfully ,It is stuck in Waiting status</w:t>
            </w:r>
          </w:p>
        </w:tc>
        <w:tc>
          <w:tcPr>
            <w:tcW w:w="4204" w:type="dxa"/>
            <w:tcMar>
              <w:top w:w="30" w:type="dxa"/>
              <w:left w:w="30" w:type="dxa"/>
              <w:bottom w:w="20" w:type="dxa"/>
              <w:right w:w="30" w:type="dxa"/>
            </w:tcMar>
          </w:tcPr>
          <w:p>
            <w:pPr>
              <w:ind w:left="0"/>
              <w:jc w:val="left"/>
            </w:pPr>
            <w:r>
              <w:rPr>
                <w:rFonts w:ascii="Arial" w:eastAsia="Times New Roman" w:hAnsi="Arial" w:cs="Times New Roman"/>
                <w:sz w:val="20"/>
                <w:szCs w:val="24"/>
              </w:rPr>
              <w:t>Fixed an issue with Task Groups getting locked up when a Task Group without any tasks was assigned. This was fixed with the following:</w:t>
            </w:r>
          </w:p>
          <w:p>
            <w:pPr>
              <w:numPr>
                <w:ilvl w:val="0"/>
                <w:numId w:val="43"/>
              </w:numPr>
              <w:ind w:left="360"/>
              <w:jc w:val="left"/>
            </w:pPr>
            <w:r>
              <w:rPr>
                <w:rFonts w:ascii="Arial" w:eastAsia="Times New Roman" w:hAnsi="Arial" w:cs="Times New Roman"/>
                <w:sz w:val="20"/>
                <w:szCs w:val="24"/>
              </w:rPr>
              <w:t>UI warnings will be displayed when assigning a task group that contains no tasks.</w:t>
            </w:r>
          </w:p>
          <w:p>
            <w:pPr>
              <w:numPr>
                <w:ilvl w:val="0"/>
                <w:numId w:val="43"/>
              </w:numPr>
              <w:ind w:left="360"/>
              <w:jc w:val="left"/>
            </w:pPr>
            <w:r>
              <w:rPr>
                <w:rFonts w:ascii="Arial" w:eastAsia="Times New Roman" w:hAnsi="Arial" w:cs="Times New Roman"/>
                <w:sz w:val="20"/>
                <w:szCs w:val="24"/>
              </w:rPr>
              <w:t>Prevention of manual client task group runs when assigned to a task group that contains no tasks.</w:t>
            </w:r>
          </w:p>
          <w:p>
            <w:pPr>
              <w:numPr>
                <w:ilvl w:val="0"/>
                <w:numId w:val="43"/>
              </w:numPr>
              <w:ind w:left="360"/>
              <w:jc w:val="left"/>
            </w:pPr>
            <w:r>
              <w:rPr>
                <w:rFonts w:ascii="Arial" w:eastAsia="Times New Roman" w:hAnsi="Arial" w:cs="Times New Roman"/>
                <w:sz w:val="20"/>
                <w:szCs w:val="24"/>
              </w:rPr>
              <w:t>Task group processing fix to ensure that clients are not processed when assigned to a task group that contains no tasks.</w:t>
            </w:r>
          </w:p>
          <w:p>
            <w:pPr>
              <w:ind w:left="0"/>
              <w:jc w:val="left"/>
            </w:pPr>
            <w:r>
              <w:rPr>
                <w:rFonts w:ascii="Arial" w:eastAsia="Times New Roman" w:hAnsi="Arial" w:cs="Times New Roman"/>
                <w:sz w:val="20"/>
                <w:szCs w:val="24"/>
              </w:rPr>
              <w:t>This should prevent job failures when running task groups (via manual client run or scheduled run all task group jobs). Those job failures required restarting of task group services to resume.</w:t>
            </w:r>
          </w:p>
        </w:tc>
      </w:tr>
      <w:tr>
        <w:tblPrEx>
          <w:tblW w:w="0" w:type="auto"/>
          <w:tblInd w:w="0" w:type="dxa"/>
          <w:tblLayout w:type="fixed"/>
          <w:tblLook w:val="0020"/>
        </w:tblPrEx>
        <w:tc>
          <w:tcPr>
            <w:tcW w:w="1051" w:type="dxa"/>
            <w:tcMar>
              <w:top w:w="30" w:type="dxa"/>
              <w:left w:w="30" w:type="dxa"/>
              <w:bottom w:w="20" w:type="dxa"/>
              <w:right w:w="30" w:type="dxa"/>
            </w:tcMar>
          </w:tcPr>
          <w:p>
            <w:pPr>
              <w:ind w:left="0"/>
              <w:jc w:val="left"/>
            </w:pPr>
            <w:hyperlink r:id="rId17" w:history="1">
              <w:r>
                <w:rPr>
                  <w:rStyle w:val="Hyperlink"/>
                  <w:rFonts w:ascii="Arial" w:eastAsia="Times New Roman" w:hAnsi="Arial" w:cs="Times New Roman"/>
                  <w:sz w:val="20"/>
                  <w:szCs w:val="24"/>
                </w:rPr>
                <w:t>MLU-893</w:t>
              </w:r>
            </w:hyperlink>
          </w:p>
        </w:tc>
        <w:tc>
          <w:tcPr>
            <w:tcW w:w="1051" w:type="dxa"/>
            <w:tcMar>
              <w:top w:w="30" w:type="dxa"/>
              <w:left w:w="30" w:type="dxa"/>
              <w:bottom w:w="20" w:type="dxa"/>
              <w:right w:w="30" w:type="dxa"/>
            </w:tcMar>
          </w:tcPr>
          <w:p>
            <w:pPr>
              <w:ind w:left="0"/>
              <w:jc w:val="left"/>
            </w:pPr>
            <w:hyperlink r:id="rId18" w:history="1">
              <w:r>
                <w:rPr>
                  <w:rStyle w:val="Hyperlink"/>
                  <w:rFonts w:ascii="Arial" w:eastAsia="Times New Roman" w:hAnsi="Arial" w:cs="Times New Roman"/>
                  <w:sz w:val="20"/>
                  <w:szCs w:val="24"/>
                </w:rPr>
                <w:t>2574</w:t>
              </w:r>
            </w:hyperlink>
          </w:p>
        </w:tc>
        <w:tc>
          <w:tcPr>
            <w:tcW w:w="1147" w:type="dxa"/>
            <w:tcMar>
              <w:top w:w="30" w:type="dxa"/>
              <w:left w:w="30" w:type="dxa"/>
              <w:bottom w:w="20" w:type="dxa"/>
              <w:right w:w="30" w:type="dxa"/>
            </w:tcMar>
          </w:tcPr>
          <w:p>
            <w:pPr>
              <w:ind w:left="0"/>
              <w:jc w:val="left"/>
            </w:pPr>
            <w:r>
              <w:rPr>
                <w:rFonts w:ascii="Arial" w:eastAsia="Times New Roman" w:hAnsi="Arial" w:cs="Times New Roman"/>
                <w:sz w:val="20"/>
                <w:szCs w:val="24"/>
              </w:rPr>
              <w:t>Accounting</w:t>
            </w:r>
          </w:p>
        </w:tc>
        <w:tc>
          <w:tcPr>
            <w:tcW w:w="1911" w:type="dxa"/>
            <w:tcMar>
              <w:top w:w="30" w:type="dxa"/>
              <w:left w:w="30" w:type="dxa"/>
              <w:bottom w:w="20" w:type="dxa"/>
              <w:right w:w="30" w:type="dxa"/>
            </w:tcMar>
          </w:tcPr>
          <w:p>
            <w:pPr>
              <w:ind w:left="0"/>
              <w:jc w:val="left"/>
            </w:pPr>
            <w:r>
              <w:rPr>
                <w:rFonts w:ascii="Arial" w:eastAsia="Times New Roman" w:hAnsi="Arial" w:cs="Times New Roman"/>
                <w:sz w:val="20"/>
                <w:szCs w:val="24"/>
              </w:rPr>
              <w:t>[CDTASME-2574] Account seems to be not activated until the global location search is used</w:t>
            </w:r>
          </w:p>
        </w:tc>
        <w:tc>
          <w:tcPr>
            <w:tcW w:w="4204" w:type="dxa"/>
            <w:tcMar>
              <w:top w:w="30" w:type="dxa"/>
              <w:left w:w="30" w:type="dxa"/>
              <w:bottom w:w="20" w:type="dxa"/>
              <w:right w:w="30" w:type="dxa"/>
            </w:tcMar>
          </w:tcPr>
          <w:p>
            <w:pPr>
              <w:ind w:left="0"/>
              <w:jc w:val="left"/>
            </w:pPr>
            <w:r>
              <w:rPr>
                <w:rFonts w:ascii="Arial" w:eastAsia="Times New Roman" w:hAnsi="Arial" w:cs="Times New Roman"/>
                <w:sz w:val="20"/>
                <w:szCs w:val="24"/>
              </w:rPr>
              <w:t>When the location number text input is changed, the current balance type (of the selected account) is now cleared and the default balance type for the location will be used. If an account for that default balance type does not exist, it will be created (same as the location search with display all accounts unchecked).</w:t>
            </w:r>
          </w:p>
        </w:tc>
      </w:tr>
      <w:tr>
        <w:tblPrEx>
          <w:tblW w:w="0" w:type="auto"/>
          <w:tblInd w:w="0" w:type="dxa"/>
          <w:tblLayout w:type="fixed"/>
          <w:tblLook w:val="0020"/>
        </w:tblPrEx>
        <w:tc>
          <w:tcPr>
            <w:tcW w:w="1051" w:type="dxa"/>
            <w:tcMar>
              <w:top w:w="30" w:type="dxa"/>
              <w:left w:w="30" w:type="dxa"/>
              <w:bottom w:w="20" w:type="dxa"/>
              <w:right w:w="30" w:type="dxa"/>
            </w:tcMar>
          </w:tcPr>
          <w:p>
            <w:pPr>
              <w:ind w:left="0"/>
              <w:jc w:val="left"/>
            </w:pPr>
            <w:hyperlink r:id="rId19" w:history="1">
              <w:r>
                <w:rPr>
                  <w:rStyle w:val="Hyperlink"/>
                  <w:rFonts w:ascii="Arial" w:eastAsia="Times New Roman" w:hAnsi="Arial" w:cs="Times New Roman"/>
                  <w:sz w:val="20"/>
                  <w:szCs w:val="24"/>
                </w:rPr>
                <w:t>MLU-887</w:t>
              </w:r>
            </w:hyperlink>
          </w:p>
        </w:tc>
        <w:tc>
          <w:tcPr>
            <w:tcW w:w="1051" w:type="dxa"/>
            <w:tcMar>
              <w:top w:w="30" w:type="dxa"/>
              <w:left w:w="30" w:type="dxa"/>
              <w:bottom w:w="20" w:type="dxa"/>
              <w:right w:w="30" w:type="dxa"/>
            </w:tcMar>
          </w:tcPr>
          <w:p>
            <w:pPr>
              <w:ind w:left="0"/>
              <w:jc w:val="left"/>
            </w:pPr>
            <w:hyperlink r:id="rId20" w:history="1">
              <w:r>
                <w:rPr>
                  <w:rStyle w:val="Hyperlink"/>
                  <w:rFonts w:ascii="Arial" w:eastAsia="Times New Roman" w:hAnsi="Arial" w:cs="Times New Roman"/>
                  <w:sz w:val="20"/>
                  <w:szCs w:val="24"/>
                </w:rPr>
                <w:t>2386</w:t>
              </w:r>
            </w:hyperlink>
          </w:p>
        </w:tc>
        <w:tc>
          <w:tcPr>
            <w:tcW w:w="1147" w:type="dxa"/>
            <w:tcMar>
              <w:top w:w="30" w:type="dxa"/>
              <w:left w:w="30" w:type="dxa"/>
              <w:bottom w:w="20" w:type="dxa"/>
              <w:right w:w="30" w:type="dxa"/>
            </w:tcMar>
          </w:tcPr>
          <w:p>
            <w:pPr>
              <w:ind w:left="0"/>
              <w:jc w:val="left"/>
            </w:pPr>
            <w:r>
              <w:rPr>
                <w:rFonts w:ascii="Arial" w:eastAsia="Times New Roman" w:hAnsi="Arial" w:cs="Times New Roman"/>
                <w:sz w:val="20"/>
                <w:szCs w:val="24"/>
              </w:rPr>
              <w:t>Admin GUI</w:t>
            </w:r>
          </w:p>
        </w:tc>
        <w:tc>
          <w:tcPr>
            <w:tcW w:w="1911" w:type="dxa"/>
            <w:tcMar>
              <w:top w:w="30" w:type="dxa"/>
              <w:left w:w="30" w:type="dxa"/>
              <w:bottom w:w="20" w:type="dxa"/>
              <w:right w:w="30" w:type="dxa"/>
            </w:tcMar>
          </w:tcPr>
          <w:p>
            <w:pPr>
              <w:ind w:left="0"/>
              <w:jc w:val="left"/>
            </w:pPr>
            <w:r>
              <w:rPr>
                <w:rFonts w:ascii="Arial" w:eastAsia="Times New Roman" w:hAnsi="Arial" w:cs="Times New Roman"/>
                <w:sz w:val="20"/>
                <w:szCs w:val="24"/>
              </w:rPr>
              <w:t>[CDTASME-2386] PAD reports - Changes to PAD_ExclusionReport</w:t>
            </w:r>
          </w:p>
        </w:tc>
        <w:tc>
          <w:tcPr>
            <w:tcW w:w="4204" w:type="dxa"/>
            <w:tcMar>
              <w:top w:w="30" w:type="dxa"/>
              <w:left w:w="30" w:type="dxa"/>
              <w:bottom w:w="20" w:type="dxa"/>
              <w:right w:w="30" w:type="dxa"/>
            </w:tcMar>
          </w:tcPr>
          <w:p>
            <w:pPr>
              <w:ind w:left="0"/>
              <w:jc w:val="left"/>
            </w:pPr>
            <w:r>
              <w:rPr>
                <w:rFonts w:ascii="Arial" w:eastAsia="Times New Roman" w:hAnsi="Arial" w:cs="Times New Roman"/>
                <w:sz w:val="20"/>
                <w:szCs w:val="24"/>
              </w:rPr>
              <w:t>Updated the Withdraw Date validation:</w:t>
            </w:r>
          </w:p>
          <w:p>
            <w:pPr>
              <w:numPr>
                <w:ilvl w:val="0"/>
                <w:numId w:val="44"/>
              </w:numPr>
              <w:ind w:left="360"/>
              <w:jc w:val="left"/>
            </w:pPr>
            <w:r>
              <w:rPr>
                <w:rFonts w:ascii="Arial" w:eastAsia="Times New Roman" w:hAnsi="Arial" w:cs="Times New Roman"/>
                <w:sz w:val="20"/>
                <w:szCs w:val="24"/>
              </w:rPr>
              <w:t>If the user enters a date other than today's date, display this error message: "Please use current effective date for PAD set up"</w:t>
            </w:r>
          </w:p>
          <w:p>
            <w:pPr>
              <w:ind w:left="0"/>
              <w:jc w:val="left"/>
            </w:pPr>
            <w:r>
              <w:rPr>
                <w:rFonts w:ascii="Arial" w:eastAsia="Times New Roman" w:hAnsi="Arial" w:cs="Times New Roman"/>
                <w:sz w:val="20"/>
                <w:szCs w:val="24"/>
              </w:rPr>
              <w:t>Updated the Withdraw Day validation:</w:t>
            </w:r>
          </w:p>
          <w:p>
            <w:pPr>
              <w:numPr>
                <w:ilvl w:val="0"/>
                <w:numId w:val="45"/>
              </w:numPr>
              <w:ind w:left="360"/>
              <w:jc w:val="left"/>
            </w:pPr>
            <w:r>
              <w:rPr>
                <w:rFonts w:ascii="Arial" w:eastAsia="Times New Roman" w:hAnsi="Arial" w:cs="Times New Roman"/>
                <w:sz w:val="20"/>
                <w:szCs w:val="24"/>
              </w:rPr>
              <w:t>The 5-day earlier than billing day validation is triggered upon clicking the Save button</w:t>
            </w:r>
          </w:p>
          <w:p>
            <w:pPr>
              <w:numPr>
                <w:ilvl w:val="0"/>
                <w:numId w:val="45"/>
              </w:numPr>
              <w:ind w:left="360"/>
              <w:jc w:val="left"/>
            </w:pPr>
            <w:r>
              <w:rPr>
                <w:rFonts w:ascii="Arial" w:eastAsia="Times New Roman" w:hAnsi="Arial" w:cs="Times New Roman"/>
                <w:sz w:val="20"/>
                <w:szCs w:val="24"/>
              </w:rPr>
              <w:t>The withdraw day no. validation (10 and 20) is also triggered upon clicking the Save button</w:t>
            </w:r>
          </w:p>
        </w:tc>
      </w:tr>
    </w:tbl>
    <w:p/>
    <w:sectPr w:rsidSect="004D4C04">
      <w:headerReference w:type="default" r:id="rId21"/>
      <w:footerReference w:type="default" r:id="rId22"/>
      <w:pgSz w:w="12240" w:h="15840" w:code="1"/>
      <w:pgMar w:top="1440" w:right="1409" w:bottom="1440"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0A82" w:rsidRPr="00D8012A" w:rsidP="00EF235F" w14:paraId="59123AE0" w14:textId="19344631">
    <w:pPr>
      <w:pStyle w:val="Footer"/>
    </w:pPr>
    <w:r w:rsidRPr="00D8012A">
      <w:fldChar w:fldCharType="begin"/>
    </w:r>
    <w:r w:rsidRPr="00D8012A">
      <w:instrText xml:space="preserve"> PAGE  \* MERGEFORMAT </w:instrText>
    </w:r>
    <w:r w:rsidRPr="00D8012A">
      <w:fldChar w:fldCharType="separate"/>
    </w:r>
    <w:r w:rsidR="00334B53">
      <w:rPr>
        <w:noProof/>
      </w:rPr>
      <w:t>3</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10349" w:type="dxa"/>
      <w:tblInd w:w="-284" w:type="dxa"/>
      <w:tblLook w:val="0480"/>
    </w:tblPr>
    <w:tblGrid>
      <w:gridCol w:w="5529"/>
      <w:gridCol w:w="4820"/>
    </w:tblGrid>
    <w:tr w14:paraId="3A53BBB9" w14:textId="77777777" w:rsidTr="007879BB">
      <w:tblPrEx>
        <w:tblW w:w="10349" w:type="dxa"/>
        <w:tblInd w:w="-284" w:type="dxa"/>
        <w:tblLook w:val="0480"/>
      </w:tblPrEx>
      <w:tc>
        <w:tcPr>
          <w:tcW w:w="5529" w:type="dxa"/>
          <w:tcBorders>
            <w:top w:val="nil"/>
            <w:left w:val="nil"/>
            <w:bottom w:val="nil"/>
            <w:right w:val="nil"/>
          </w:tcBorders>
        </w:tcPr>
        <w:p w:rsidR="00066F56" w:rsidP="00066F56" w14:paraId="27FF0340" w14:textId="77777777">
          <w:pPr>
            <w:pStyle w:val="Header"/>
            <w:tabs>
              <w:tab w:val="left" w:pos="0"/>
              <w:tab w:val="clear" w:pos="9072"/>
              <w:tab w:val="right" w:pos="9356"/>
            </w:tabs>
            <w:jc w:val="both"/>
            <w:rPr>
              <w:sz w:val="18"/>
              <w:szCs w:val="18"/>
            </w:rPr>
          </w:pPr>
          <w:r>
            <w:rPr>
              <w:noProof/>
              <w:sz w:val="18"/>
              <w:szCs w:val="18"/>
            </w:rPr>
            <w:drawing>
              <wp:inline distT="0" distB="0" distL="0" distR="0">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14248"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rsidR="00066F56" w:rsidRPr="00E61A6C" w:rsidP="00066F56" w14:paraId="7D2C64A5" w14:textId="77777777">
          <w:pPr>
            <w:pStyle w:val="Header"/>
            <w:tabs>
              <w:tab w:val="left" w:pos="0"/>
              <w:tab w:val="clear" w:pos="9072"/>
              <w:tab w:val="right" w:pos="9356"/>
            </w:tabs>
            <w:jc w:val="right"/>
            <w:rPr>
              <w:color w:val="808080" w:themeColor="background1" w:themeShade="80"/>
              <w:szCs w:val="22"/>
            </w:rPr>
          </w:pPr>
          <w:r w:rsidRPr="00E61A6C">
            <w:rPr>
              <w:color w:val="808080" w:themeColor="background1" w:themeShade="80"/>
              <w:szCs w:val="22"/>
            </w:rPr>
            <w:t>126-2550 Matheson Blvd E</w:t>
          </w:r>
        </w:p>
        <w:p w:rsidR="00066F56" w:rsidRPr="00E61A6C" w:rsidP="00066F56" w14:paraId="2B1E0933" w14:textId="77777777">
          <w:pPr>
            <w:pStyle w:val="Header"/>
            <w:tabs>
              <w:tab w:val="left" w:pos="0"/>
              <w:tab w:val="clear" w:pos="4536"/>
              <w:tab w:val="clear" w:pos="9072"/>
              <w:tab w:val="right" w:pos="9356"/>
            </w:tabs>
            <w:jc w:val="right"/>
            <w:rPr>
              <w:color w:val="808080" w:themeColor="background1" w:themeShade="80"/>
              <w:szCs w:val="22"/>
            </w:rPr>
          </w:pPr>
          <w:r w:rsidRPr="00E61A6C">
            <w:rPr>
              <w:color w:val="808080" w:themeColor="background1" w:themeShade="80"/>
              <w:szCs w:val="22"/>
            </w:rPr>
            <w:t>Mississauga, ON  L4W 4Z1</w:t>
          </w:r>
        </w:p>
      </w:tc>
    </w:tr>
  </w:tbl>
  <w:p w:rsidR="00CB201D" w:rsidRPr="00066F56" w:rsidP="00066F56" w14:paraId="0051CEA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2612DC70"/>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65166602"/>
    <w:lvl w:ilvl="0">
      <w:start w:val="1"/>
      <w:numFmt w:val="decimal"/>
      <w:lvlText w:val="%1."/>
      <w:lvlJc w:val="left"/>
      <w:pPr>
        <w:tabs>
          <w:tab w:val="num" w:pos="1492"/>
        </w:tabs>
        <w:ind w:left="1492" w:hanging="360"/>
      </w:pPr>
    </w:lvl>
  </w:abstractNum>
  <w:abstractNum w:abstractNumId="2">
    <w:nsid w:val="FFFFFF7D"/>
    <w:multiLevelType w:val="singleLevel"/>
    <w:tmpl w:val="14F2E27C"/>
    <w:lvl w:ilvl="0">
      <w:start w:val="1"/>
      <w:numFmt w:val="decimal"/>
      <w:lvlText w:val="%1."/>
      <w:lvlJc w:val="left"/>
      <w:pPr>
        <w:tabs>
          <w:tab w:val="num" w:pos="1209"/>
        </w:tabs>
        <w:ind w:left="1209" w:hanging="360"/>
      </w:pPr>
    </w:lvl>
  </w:abstractNum>
  <w:abstractNum w:abstractNumId="3">
    <w:nsid w:val="FFFFFF7E"/>
    <w:multiLevelType w:val="singleLevel"/>
    <w:tmpl w:val="74E0194E"/>
    <w:lvl w:ilvl="0">
      <w:start w:val="1"/>
      <w:numFmt w:val="decimal"/>
      <w:lvlText w:val="%1."/>
      <w:lvlJc w:val="left"/>
      <w:pPr>
        <w:tabs>
          <w:tab w:val="num" w:pos="926"/>
        </w:tabs>
        <w:ind w:left="926" w:hanging="360"/>
      </w:pPr>
    </w:lvl>
  </w:abstractNum>
  <w:abstractNum w:abstractNumId="4">
    <w:nsid w:val="FFFFFF7F"/>
    <w:multiLevelType w:val="singleLevel"/>
    <w:tmpl w:val="EBD4C5CA"/>
    <w:lvl w:ilvl="0">
      <w:start w:val="1"/>
      <w:numFmt w:val="decimal"/>
      <w:lvlText w:val="%1."/>
      <w:lvlJc w:val="left"/>
      <w:pPr>
        <w:tabs>
          <w:tab w:val="num" w:pos="643"/>
        </w:tabs>
        <w:ind w:left="643" w:hanging="360"/>
      </w:pPr>
    </w:lvl>
  </w:abstractNum>
  <w:abstractNum w:abstractNumId="5">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F0CFC04"/>
    <w:lvl w:ilvl="0">
      <w:start w:val="1"/>
      <w:numFmt w:val="decimal"/>
      <w:lvlText w:val="%1."/>
      <w:lvlJc w:val="left"/>
      <w:pPr>
        <w:tabs>
          <w:tab w:val="num" w:pos="360"/>
        </w:tabs>
        <w:ind w:left="360" w:hanging="360"/>
      </w:pPr>
    </w:lvl>
  </w:abstractNum>
  <w:abstractNum w:abstractNumId="1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8">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5">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9">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FA66191"/>
    <w:multiLevelType w:val="hybridMultilevel"/>
    <w:tmpl w:val="7FA6619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2">
    <w:nsid w:val="7FA66192"/>
    <w:multiLevelType w:val="hybridMultilevel"/>
    <w:tmpl w:val="7FA66192"/>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3">
    <w:nsid w:val="7FA66193"/>
    <w:multiLevelType w:val="hybridMultilevel"/>
    <w:tmpl w:val="7FA66193"/>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4">
    <w:nsid w:val="7FA66194"/>
    <w:multiLevelType w:val="hybridMultilevel"/>
    <w:tmpl w:val="7FA6619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 w:numId="44">
    <w:abstractNumId w:val="43"/>
  </w:num>
  <w:num w:numId="45">
    <w:abstractNumId w:val="4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7">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cwiyoutrack.computerworkware.com/issue/ML-72" TargetMode="External" /><Relationship Id="rId11" Type="http://schemas.openxmlformats.org/officeDocument/2006/relationships/hyperlink" Target="http://cwiyoutrack.computerworkware.com/issue/MLU-890" TargetMode="External" /><Relationship Id="rId12" Type="http://schemas.openxmlformats.org/officeDocument/2006/relationships/hyperlink" Target="https://computerworkware.zendesk.com/agent/tickets/10716" TargetMode="External" /><Relationship Id="rId13" Type="http://schemas.openxmlformats.org/officeDocument/2006/relationships/hyperlink" Target="http://cwiyoutrack.computerworkware.com/issue/MLU-892" TargetMode="External" /><Relationship Id="rId14" Type="http://schemas.openxmlformats.org/officeDocument/2006/relationships/hyperlink" Target="https://computerworkware.zendesk.com/agent/tickets/10707" TargetMode="External" /><Relationship Id="rId15" Type="http://schemas.openxmlformats.org/officeDocument/2006/relationships/hyperlink" Target="http://cwiyoutrack.computerworkware.com/issue/MLU-884" TargetMode="External" /><Relationship Id="rId16" Type="http://schemas.openxmlformats.org/officeDocument/2006/relationships/hyperlink" Target="https://computerworkware.zendesk.com/agent/tickets/10681" TargetMode="External" /><Relationship Id="rId17" Type="http://schemas.openxmlformats.org/officeDocument/2006/relationships/hyperlink" Target="http://cwiyoutrack.computerworkware.com/issue/MLU-893" TargetMode="External" /><Relationship Id="rId18" Type="http://schemas.openxmlformats.org/officeDocument/2006/relationships/hyperlink" Target="https://computerworkware.zendesk.com/agent/tickets/2574" TargetMode="External" /><Relationship Id="rId19" Type="http://schemas.openxmlformats.org/officeDocument/2006/relationships/hyperlink" Target="http://cwiyoutrack.computerworkware.com/issue/MLU-887" TargetMode="External" /><Relationship Id="rId2" Type="http://schemas.openxmlformats.org/officeDocument/2006/relationships/webSettings" Target="webSettings.xml" /><Relationship Id="rId20" Type="http://schemas.openxmlformats.org/officeDocument/2006/relationships/hyperlink" Target="https://computerworkware.zendesk.com/agent/tickets/2386" TargetMode="External" /><Relationship Id="rId21" Type="http://schemas.openxmlformats.org/officeDocument/2006/relationships/header" Target="header1.xml" /><Relationship Id="rId22" Type="http://schemas.openxmlformats.org/officeDocument/2006/relationships/footer" Target="footer1.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cwiyoutrack.computerworkware.com/issue/VO-2441" TargetMode="External" /><Relationship Id="rId6" Type="http://schemas.openxmlformats.org/officeDocument/2006/relationships/hyperlink" Target="http://cwiyoutrack.computerworkware.com/issue/VO-2438" TargetMode="External" /><Relationship Id="rId7" Type="http://schemas.openxmlformats.org/officeDocument/2006/relationships/hyperlink" Target="http://cwiyoutrack.computerworkware.com/issue/VO-2433" TargetMode="External" /><Relationship Id="rId8" Type="http://schemas.openxmlformats.org/officeDocument/2006/relationships/hyperlink" Target="http://cwiyoutrack.computerworkware.com/issue/VO-2109" TargetMode="External" /><Relationship Id="rId9" Type="http://schemas.openxmlformats.org/officeDocument/2006/relationships/hyperlink" Target="http://cwiyoutrack.computerworkware.com/issue/MLU-888"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Words>
  <Characters>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5</cp:revision>
  <dcterms:created xsi:type="dcterms:W3CDTF">2019-11-29T14:48:00Z</dcterms:created>
  <dcterms:modified xsi:type="dcterms:W3CDTF">2020-05-11T16:26:00Z</dcterms:modified>
</cp:coreProperties>
</file>