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75556A" w14:textId="37F752AD" w:rsidR="00717091" w:rsidRPr="00010F79" w:rsidRDefault="00000000">
      <w:pPr>
        <w:jc w:val="center"/>
        <w:rPr>
          <w:lang w:val="es-ES"/>
        </w:rPr>
      </w:pPr>
      <w:bookmarkStart w:id="0" w:name="_Hlk216692590"/>
      <w:r w:rsidRPr="00010F79">
        <w:rPr>
          <w:b/>
          <w:sz w:val="40"/>
          <w:lang w:val="es-ES"/>
        </w:rPr>
        <w:t>Glosario y prompt de análisis</w:t>
      </w:r>
    </w:p>
    <w:p w14:paraId="715A8BA9" w14:textId="77777777" w:rsidR="00717091" w:rsidRPr="00010F79" w:rsidRDefault="00000000">
      <w:pPr>
        <w:rPr>
          <w:lang w:val="es-ES"/>
        </w:rPr>
      </w:pPr>
      <w:r w:rsidRPr="00010F79">
        <w:rPr>
          <w:i/>
          <w:lang w:val="es-ES"/>
        </w:rPr>
        <w:t>Documento generado a partir del texto proporcionado, con correcciones marcadas en negrita o cursiva.</w:t>
      </w:r>
    </w:p>
    <w:p w14:paraId="39ACCF87" w14:textId="77777777" w:rsidR="00717091" w:rsidRPr="00010F79" w:rsidRDefault="00000000">
      <w:pPr>
        <w:pStyle w:val="Ttulo1"/>
        <w:rPr>
          <w:lang w:val="es-ES"/>
        </w:rPr>
      </w:pPr>
      <w:r w:rsidRPr="00010F79">
        <w:rPr>
          <w:lang w:val="es-ES"/>
        </w:rPr>
        <w:t>GLOSARIO</w:t>
      </w:r>
    </w:p>
    <w:p w14:paraId="35A22EB5" w14:textId="51BD3ED4" w:rsidR="00717091" w:rsidRPr="00010F79" w:rsidRDefault="00000000">
      <w:pPr>
        <w:pStyle w:val="Ttulo2"/>
        <w:rPr>
          <w:lang w:val="es-ES"/>
        </w:rPr>
      </w:pPr>
      <w:r w:rsidRPr="00010F79">
        <w:rPr>
          <w:lang w:val="es-ES"/>
        </w:rPr>
        <w:t xml:space="preserve">Columnas de datos del backtest </w:t>
      </w:r>
      <w:r w:rsidR="00525248">
        <w:rPr>
          <w:lang w:val="es-ES"/>
        </w:rPr>
        <w:t>(pueden estar algunas o todas)</w:t>
      </w:r>
    </w:p>
    <w:p w14:paraId="29E6A63B" w14:textId="0D301577" w:rsidR="00717091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CQI_ABS</w:t>
      </w:r>
      <w:r w:rsidR="00525248">
        <w:rPr>
          <w:b/>
          <w:lang w:val="es-ES"/>
        </w:rPr>
        <w:t>/BQI_ABS</w:t>
      </w:r>
      <w:r w:rsidRPr="00010F79">
        <w:rPr>
          <w:lang w:val="es-ES"/>
        </w:rPr>
        <w:t xml:space="preserve">: </w:t>
      </w:r>
      <w:r w:rsidR="00525248">
        <w:rPr>
          <w:lang w:val="es-ES"/>
        </w:rPr>
        <w:t>Quality</w:t>
      </w:r>
      <w:r w:rsidRPr="00010F79">
        <w:rPr>
          <w:lang w:val="es-ES"/>
        </w:rPr>
        <w:t xml:space="preserve"> Index absoluto (métrica de calidad de la posición).</w:t>
      </w:r>
    </w:p>
    <w:p w14:paraId="6244655D" w14:textId="4E186A07" w:rsidR="00525248" w:rsidRPr="00010F79" w:rsidRDefault="00525248">
      <w:pPr>
        <w:pStyle w:val="Listaconvietas"/>
        <w:rPr>
          <w:lang w:val="es-ES"/>
        </w:rPr>
      </w:pPr>
      <w:r>
        <w:rPr>
          <w:b/>
          <w:lang w:val="es-ES"/>
        </w:rPr>
        <w:t>CQR_legacy</w:t>
      </w:r>
      <w:r w:rsidRPr="00525248">
        <w:rPr>
          <w:lang w:val="es-ES"/>
        </w:rPr>
        <w:t>:</w:t>
      </w:r>
      <w:r>
        <w:rPr>
          <w:lang w:val="es-ES"/>
        </w:rPr>
        <w:t xml:space="preserve"> Otro indicador de calidad legacy</w:t>
      </w:r>
    </w:p>
    <w:p w14:paraId="1083DC0F" w14:textId="77777777" w:rsidR="00717091" w:rsidRDefault="00000000">
      <w:pPr>
        <w:pStyle w:val="Listaconvietas"/>
      </w:pPr>
      <w:r w:rsidRPr="00010F79">
        <w:rPr>
          <w:b/>
          <w:lang w:val="es-ES"/>
        </w:rPr>
        <w:t>DTE1/DTE2</w:t>
      </w:r>
      <w:r w:rsidRPr="00010F79">
        <w:rPr>
          <w:lang w:val="es-ES"/>
        </w:rPr>
        <w:t>: Días hasta expiración de pata 1 / Días hasta expiración de pata 2.</w:t>
      </w:r>
      <w:r w:rsidRPr="00010F79">
        <w:rPr>
          <w:i/>
          <w:lang w:val="es-ES"/>
        </w:rPr>
        <w:t xml:space="preserve"> </w:t>
      </w:r>
      <w:r>
        <w:rPr>
          <w:i/>
        </w:rPr>
        <w:t>*(Se desglosará en DTE1 y DTE2).*</w:t>
      </w:r>
    </w:p>
    <w:p w14:paraId="2D9DEEE3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k1</w:t>
      </w:r>
      <w:r w:rsidRPr="00010F79">
        <w:rPr>
          <w:lang w:val="es-ES"/>
        </w:rPr>
        <w:t>: Strike de la opción corta (pata 1).</w:t>
      </w:r>
    </w:p>
    <w:p w14:paraId="1EE2403A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k2</w:t>
      </w:r>
      <w:r w:rsidRPr="00010F79">
        <w:rPr>
          <w:lang w:val="es-ES"/>
        </w:rPr>
        <w:t>: Strike de la opción larga (pata 2).</w:t>
      </w:r>
    </w:p>
    <w:p w14:paraId="68C6A8AA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iv_k1</w:t>
      </w:r>
      <w:r w:rsidRPr="00010F79">
        <w:rPr>
          <w:lang w:val="es-ES"/>
        </w:rPr>
        <w:t>: Volatilidad implícita del strike k1.</w:t>
      </w:r>
    </w:p>
    <w:p w14:paraId="2841796C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iv_k2</w:t>
      </w:r>
      <w:r w:rsidRPr="00010F79">
        <w:rPr>
          <w:lang w:val="es-ES"/>
        </w:rPr>
        <w:t>: Volatilidad implícita del strike k2.</w:t>
      </w:r>
    </w:p>
    <w:p w14:paraId="72DBDAC8" w14:textId="77777777" w:rsidR="00717091" w:rsidRDefault="00000000">
      <w:pPr>
        <w:pStyle w:val="Listaconvietas"/>
      </w:pPr>
      <w:r>
        <w:rPr>
          <w:b/>
        </w:rPr>
        <w:t>FF_ATM</w:t>
      </w:r>
      <w:r>
        <w:t>: Forward Factor ATM (ratio de precios forward normalizado).</w:t>
      </w:r>
    </w:p>
    <w:p w14:paraId="77650D7C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delta_total</w:t>
      </w:r>
      <w:r w:rsidRPr="00010F79">
        <w:rPr>
          <w:lang w:val="es-ES"/>
        </w:rPr>
        <w:t>: Delta total de la posición (sensibilidad al precio del subyacente).</w:t>
      </w:r>
    </w:p>
    <w:p w14:paraId="7AC33E5C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theta_total</w:t>
      </w:r>
      <w:r w:rsidRPr="00010F79">
        <w:rPr>
          <w:lang w:val="es-ES"/>
        </w:rPr>
        <w:t>: Theta total de la posición (decaimiento temporal diario).</w:t>
      </w:r>
    </w:p>
    <w:p w14:paraId="2F3C5A6A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net_credit_mediana</w:t>
      </w:r>
      <w:r w:rsidRPr="00010F79">
        <w:rPr>
          <w:lang w:val="es-ES"/>
        </w:rPr>
        <w:t>: Mediana del crédito neto en posiciones similares.</w:t>
      </w:r>
    </w:p>
    <w:p w14:paraId="39656C40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</w:t>
      </w:r>
      <w:r w:rsidRPr="00010F79">
        <w:rPr>
          <w:lang w:val="es-ES"/>
        </w:rPr>
        <w:t>: Precio del SPX en el momento de apertura.</w:t>
      </w:r>
    </w:p>
    <w:p w14:paraId="02F6A1A1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Death valley</w:t>
      </w:r>
      <w:r w:rsidRPr="00010F79">
        <w:rPr>
          <w:lang w:val="es-ES"/>
        </w:rPr>
        <w:t>: Valle de muerte (peor PnL alcanzado durante la vida de la posición).</w:t>
      </w:r>
    </w:p>
    <w:p w14:paraId="4AA350D0" w14:textId="2B6E038B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Ear</w:t>
      </w:r>
      <w:r w:rsidR="00525248">
        <w:rPr>
          <w:b/>
          <w:lang w:val="es-ES"/>
        </w:rPr>
        <w:t>L/R</w:t>
      </w:r>
      <w:r w:rsidRPr="00010F79">
        <w:rPr>
          <w:lang w:val="es-ES"/>
        </w:rPr>
        <w:t>: Oreja</w:t>
      </w:r>
      <w:r w:rsidR="00525248">
        <w:rPr>
          <w:lang w:val="es-ES"/>
        </w:rPr>
        <w:t>s</w:t>
      </w:r>
      <w:r w:rsidRPr="00010F79">
        <w:rPr>
          <w:lang w:val="es-ES"/>
        </w:rPr>
        <w:t xml:space="preserve"> (lado izquierdo</w:t>
      </w:r>
      <w:r w:rsidR="00525248">
        <w:rPr>
          <w:lang w:val="es-ES"/>
        </w:rPr>
        <w:t xml:space="preserve"> y derecho</w:t>
      </w:r>
      <w:r w:rsidRPr="00010F79">
        <w:rPr>
          <w:lang w:val="es-ES"/>
        </w:rPr>
        <w:t>).</w:t>
      </w:r>
      <w:r w:rsidRPr="00010F79">
        <w:rPr>
          <w:i/>
          <w:lang w:val="es-ES"/>
        </w:rPr>
        <w:t xml:space="preserve"> *(Si existe EarR en el dataset, se tratará de forma análoga).*</w:t>
      </w:r>
    </w:p>
    <w:p w14:paraId="766025A9" w14:textId="77777777" w:rsidR="00717091" w:rsidRDefault="00000000">
      <w:pPr>
        <w:pStyle w:val="Listaconvietas"/>
      </w:pPr>
      <w:r>
        <w:rPr>
          <w:b/>
        </w:rPr>
        <w:t>LEL</w:t>
      </w:r>
      <w:r>
        <w:t>: Low Expiration Line.</w:t>
      </w:r>
    </w:p>
    <w:p w14:paraId="6191BD07" w14:textId="77777777" w:rsidR="00717091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PnLDV</w:t>
      </w:r>
      <w:r w:rsidRPr="00010F79">
        <w:rPr>
          <w:lang w:val="es-ES"/>
        </w:rPr>
        <w:t>: PnL en el Death Valley (pérdida máxima en puntos).</w:t>
      </w:r>
    </w:p>
    <w:p w14:paraId="2387143C" w14:textId="0F7647B3" w:rsidR="00525248" w:rsidRDefault="00525248">
      <w:pPr>
        <w:pStyle w:val="Listaconvietas"/>
        <w:rPr>
          <w:lang w:val="es-ES"/>
        </w:rPr>
      </w:pPr>
      <w:r w:rsidRPr="00525248">
        <w:rPr>
          <w:b/>
          <w:lang w:val="es-ES"/>
        </w:rPr>
        <w:t>EM</w:t>
      </w:r>
      <w:r w:rsidRPr="00525248">
        <w:rPr>
          <w:lang w:val="es-ES"/>
        </w:rPr>
        <w:t>: Expected move o movimiento es</w:t>
      </w:r>
      <w:r>
        <w:rPr>
          <w:lang w:val="es-ES"/>
        </w:rPr>
        <w:t>perado</w:t>
      </w:r>
    </w:p>
    <w:p w14:paraId="48B0B09E" w14:textId="6604445B" w:rsidR="00525248" w:rsidRPr="00525248" w:rsidRDefault="00525248">
      <w:pPr>
        <w:pStyle w:val="Listaconvietas"/>
        <w:rPr>
          <w:lang w:val="es-ES"/>
        </w:rPr>
      </w:pPr>
      <w:r>
        <w:rPr>
          <w:b/>
          <w:lang w:val="es-ES"/>
        </w:rPr>
        <w:t>WIDTH</w:t>
      </w:r>
      <w:r w:rsidRPr="00525248">
        <w:rPr>
          <w:lang w:val="es-ES"/>
        </w:rPr>
        <w:t>:</w:t>
      </w:r>
      <w:r>
        <w:rPr>
          <w:lang w:val="es-ES"/>
        </w:rPr>
        <w:t xml:space="preserve"> Ancho del calendario</w:t>
      </w:r>
    </w:p>
    <w:p w14:paraId="00299AD0" w14:textId="0C60924B" w:rsidR="00525248" w:rsidRDefault="00525248">
      <w:pPr>
        <w:pStyle w:val="Listaconvietas"/>
      </w:pPr>
      <w:r w:rsidRPr="00525248">
        <w:rPr>
          <w:b/>
        </w:rPr>
        <w:t>Ratio W/nd</w:t>
      </w:r>
      <w:r w:rsidRPr="00525248">
        <w:t>: Ratio W</w:t>
      </w:r>
      <w:r>
        <w:t>IDTH entre net_debit</w:t>
      </w:r>
    </w:p>
    <w:p w14:paraId="4185E7F8" w14:textId="74E6E656" w:rsidR="00525248" w:rsidRPr="00525248" w:rsidRDefault="00525248">
      <w:pPr>
        <w:pStyle w:val="Listaconvietas"/>
      </w:pPr>
      <w:r>
        <w:rPr>
          <w:b/>
        </w:rPr>
        <w:t>Ratio W/EM</w:t>
      </w:r>
      <w:r w:rsidRPr="00525248">
        <w:t>:</w:t>
      </w:r>
      <w:r>
        <w:t xml:space="preserve"> Ratio WIDTH entre Expected Move</w:t>
      </w:r>
    </w:p>
    <w:p w14:paraId="2F0DA078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delta_k1</w:t>
      </w:r>
      <w:r w:rsidRPr="00010F79">
        <w:rPr>
          <w:lang w:val="es-ES"/>
        </w:rPr>
        <w:t>: Delta individual del strike k1.</w:t>
      </w:r>
    </w:p>
    <w:p w14:paraId="38D1D6CA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delta_k2</w:t>
      </w:r>
      <w:r w:rsidRPr="00010F79">
        <w:rPr>
          <w:lang w:val="es-ES"/>
        </w:rPr>
        <w:t>: Delta individual del strike k2.</w:t>
      </w:r>
    </w:p>
    <w:p w14:paraId="6529C9E3" w14:textId="77777777" w:rsidR="00717091" w:rsidRDefault="00000000">
      <w:pPr>
        <w:pStyle w:val="Listaconvietas"/>
      </w:pPr>
      <w:r>
        <w:rPr>
          <w:b/>
        </w:rPr>
        <w:t>theta_k1</w:t>
      </w:r>
      <w:r>
        <w:t>: Theta individual del strike k1.</w:t>
      </w:r>
    </w:p>
    <w:p w14:paraId="0F3306C0" w14:textId="77777777" w:rsidR="00717091" w:rsidRDefault="00000000">
      <w:pPr>
        <w:pStyle w:val="Listaconvietas"/>
      </w:pPr>
      <w:r>
        <w:rPr>
          <w:b/>
        </w:rPr>
        <w:t>theta_k2</w:t>
      </w:r>
      <w:r>
        <w:t>: Theta individual del strike k2.</w:t>
      </w:r>
    </w:p>
    <w:p w14:paraId="33969BD6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VIX_close</w:t>
      </w:r>
      <w:r w:rsidRPr="00010F79">
        <w:rPr>
          <w:lang w:val="es-ES"/>
        </w:rPr>
        <w:t xml:space="preserve">: </w:t>
      </w:r>
      <w:r w:rsidRPr="00010F79">
        <w:rPr>
          <w:b/>
          <w:lang w:val="es-ES"/>
        </w:rPr>
        <w:t>Cierre del VIX</w:t>
      </w:r>
      <w:r w:rsidRPr="00010F79">
        <w:rPr>
          <w:lang w:val="es-ES"/>
        </w:rPr>
        <w:t xml:space="preserve"> (o la serie “VIX” equivalente que haya en el CSV).</w:t>
      </w:r>
    </w:p>
    <w:p w14:paraId="33E54167" w14:textId="77777777" w:rsidR="00717091" w:rsidRPr="00010F79" w:rsidRDefault="00000000">
      <w:pPr>
        <w:pStyle w:val="Ttulo2"/>
        <w:rPr>
          <w:lang w:val="es-ES"/>
        </w:rPr>
      </w:pPr>
      <w:r w:rsidRPr="00010F79">
        <w:rPr>
          <w:lang w:val="es-ES"/>
        </w:rPr>
        <w:t>Columnas de indicadores técnicos del SPX</w:t>
      </w:r>
    </w:p>
    <w:p w14:paraId="7D0ACC07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Close</w:t>
      </w:r>
      <w:r w:rsidRPr="00010F79">
        <w:rPr>
          <w:lang w:val="es-ES"/>
        </w:rPr>
        <w:t>: Precio de cierre histórico del SPX del día correspondiente.</w:t>
      </w:r>
    </w:p>
    <w:p w14:paraId="224230EA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SPX_SMA7</w:t>
      </w:r>
      <w:r w:rsidRPr="00010F79">
        <w:rPr>
          <w:lang w:val="es-ES"/>
        </w:rPr>
        <w:t>: Media móvil simple de 7 días del SPX.</w:t>
      </w:r>
    </w:p>
    <w:p w14:paraId="605B4AF6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SPX_minus_SMA7</w:t>
      </w:r>
      <w:r w:rsidRPr="00010F79">
        <w:rPr>
          <w:lang w:val="es-ES"/>
        </w:rPr>
        <w:t>: Distancia del precio SPX actual a su SMA de 7 días.</w:t>
      </w:r>
    </w:p>
    <w:p w14:paraId="2957A3EC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SPX_SMA20</w:t>
      </w:r>
      <w:r w:rsidRPr="00010F79">
        <w:rPr>
          <w:lang w:val="es-ES"/>
        </w:rPr>
        <w:t>: Media móvil simple de 20 días del SPX.</w:t>
      </w:r>
    </w:p>
    <w:p w14:paraId="2238656F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SPX_minus_SMA20</w:t>
      </w:r>
      <w:r w:rsidRPr="00010F79">
        <w:rPr>
          <w:lang w:val="es-ES"/>
        </w:rPr>
        <w:t>: Distancia del precio SPX actual a su SMA de 20 días.</w:t>
      </w:r>
    </w:p>
    <w:p w14:paraId="68981EDA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lastRenderedPageBreak/>
        <w:t>SPX_SMA50</w:t>
      </w:r>
      <w:r w:rsidRPr="00010F79">
        <w:rPr>
          <w:lang w:val="es-ES"/>
        </w:rPr>
        <w:t>: Media móvil simple de 50 días del SPX.</w:t>
      </w:r>
    </w:p>
    <w:p w14:paraId="2EE46EA2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SPX_minus_SMA50</w:t>
      </w:r>
      <w:r w:rsidRPr="00010F79">
        <w:rPr>
          <w:lang w:val="es-ES"/>
        </w:rPr>
        <w:t>: Distancia del precio SPX actual a su SMA de 50 días.</w:t>
      </w:r>
    </w:p>
    <w:p w14:paraId="0C7503BD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SPX_SMA100</w:t>
      </w:r>
      <w:r w:rsidRPr="00010F79">
        <w:rPr>
          <w:lang w:val="es-ES"/>
        </w:rPr>
        <w:t>: Media móvil simple de 100 días del SPX.</w:t>
      </w:r>
    </w:p>
    <w:p w14:paraId="001D16B2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SPX_minus_SMA100</w:t>
      </w:r>
      <w:r w:rsidRPr="00010F79">
        <w:rPr>
          <w:lang w:val="es-ES"/>
        </w:rPr>
        <w:t>: Distancia del precio SPX actual a su SMA de 100 días.</w:t>
      </w:r>
    </w:p>
    <w:p w14:paraId="76FC6481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SPX_SMA200</w:t>
      </w:r>
      <w:r w:rsidRPr="00010F79">
        <w:rPr>
          <w:lang w:val="es-ES"/>
        </w:rPr>
        <w:t>: Media móvil simple de 200 días del SPX.</w:t>
      </w:r>
    </w:p>
    <w:p w14:paraId="4BA8B1C2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SPX_minus_SMA200</w:t>
      </w:r>
      <w:r w:rsidRPr="00010F79">
        <w:rPr>
          <w:lang w:val="es-ES"/>
        </w:rPr>
        <w:t>: Distancia del precio SPX actual a su SMA de 200 días.</w:t>
      </w:r>
    </w:p>
    <w:p w14:paraId="21B8424F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SPX_EMA12</w:t>
      </w:r>
      <w:r w:rsidRPr="00010F79">
        <w:rPr>
          <w:lang w:val="es-ES"/>
        </w:rPr>
        <w:t>: Media móvil exponencial de 12 días del SPX.</w:t>
      </w:r>
    </w:p>
    <w:p w14:paraId="34D49A94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SPX_EMA26</w:t>
      </w:r>
      <w:r w:rsidRPr="00010F79">
        <w:rPr>
          <w:lang w:val="es-ES"/>
        </w:rPr>
        <w:t>: Media móvil exponencial de 26 días del SPX.</w:t>
      </w:r>
    </w:p>
    <w:p w14:paraId="5B3AFD5A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SPX_EMA50</w:t>
      </w:r>
      <w:r w:rsidRPr="00010F79">
        <w:rPr>
          <w:lang w:val="es-ES"/>
        </w:rPr>
        <w:t>: Media móvil exponencial de 50 días del SPX.</w:t>
      </w:r>
    </w:p>
    <w:p w14:paraId="01163A85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SPX_EMA200</w:t>
      </w:r>
      <w:r w:rsidRPr="00010F79">
        <w:rPr>
          <w:lang w:val="es-ES"/>
        </w:rPr>
        <w:t>: Media móvil exponencial de 200 días del SPX.</w:t>
      </w:r>
    </w:p>
    <w:p w14:paraId="4CCFA51B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SPX_MACD_Line</w:t>
      </w:r>
      <w:r w:rsidRPr="00010F79">
        <w:rPr>
          <w:lang w:val="es-ES"/>
        </w:rPr>
        <w:t>: Línea MACD (EMA12 - EMA26), indicador de momentum.</w:t>
      </w:r>
    </w:p>
    <w:p w14:paraId="54FDDDC4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SPX_MACD_Signal</w:t>
      </w:r>
      <w:r w:rsidRPr="00010F79">
        <w:rPr>
          <w:lang w:val="es-ES"/>
        </w:rPr>
        <w:t>: Línea señal MACD (EMA de 9 días de la línea MACD).</w:t>
      </w:r>
    </w:p>
    <w:p w14:paraId="2A318F28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SPX_MACD_Histogram</w:t>
      </w:r>
      <w:r w:rsidRPr="00010F79">
        <w:rPr>
          <w:lang w:val="es-ES"/>
        </w:rPr>
        <w:t>: Histograma MACD (diferencia entre línea y señal).</w:t>
      </w:r>
    </w:p>
    <w:p w14:paraId="4A4DBB09" w14:textId="77777777" w:rsidR="00717091" w:rsidRDefault="00000000">
      <w:pPr>
        <w:pStyle w:val="Listaconvietas"/>
      </w:pPr>
      <w:r>
        <w:rPr>
          <w:b/>
        </w:rPr>
        <w:t>SPX_RSI14</w:t>
      </w:r>
      <w:r>
        <w:t>: RSI de 14 días (Relative Strength Index, oscilador 0-100).</w:t>
      </w:r>
    </w:p>
    <w:p w14:paraId="230D2961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SPX_Stoch_K</w:t>
      </w:r>
      <w:r w:rsidRPr="00010F79">
        <w:rPr>
          <w:lang w:val="es-ES"/>
        </w:rPr>
        <w:t>: Oscilador estocástico %K (posición relativa en rango de 14 días).</w:t>
      </w:r>
    </w:p>
    <w:p w14:paraId="4AF9314C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SPX_Stoch_D</w:t>
      </w:r>
      <w:r w:rsidRPr="00010F79">
        <w:rPr>
          <w:lang w:val="es-ES"/>
        </w:rPr>
        <w:t>: Oscilador estocástico %D (media móvil de 3 días del %K).</w:t>
      </w:r>
    </w:p>
    <w:p w14:paraId="54E52040" w14:textId="77777777" w:rsidR="00717091" w:rsidRDefault="00000000">
      <w:pPr>
        <w:pStyle w:val="Listaconvietas"/>
      </w:pPr>
      <w:r>
        <w:rPr>
          <w:b/>
        </w:rPr>
        <w:t>SPX_Williams_R</w:t>
      </w:r>
      <w:r>
        <w:t>: Williams %R de 14 días (oscilador de momentum inverso).</w:t>
      </w:r>
    </w:p>
    <w:p w14:paraId="751329D0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SPX_BB_Middle</w:t>
      </w:r>
      <w:r w:rsidRPr="00010F79">
        <w:rPr>
          <w:lang w:val="es-ES"/>
        </w:rPr>
        <w:t>: Banda de Bollinger media (SMA de 20 días).</w:t>
      </w:r>
    </w:p>
    <w:p w14:paraId="7B380659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SPX_BB_Upper</w:t>
      </w:r>
      <w:r w:rsidRPr="00010F79">
        <w:rPr>
          <w:lang w:val="es-ES"/>
        </w:rPr>
        <w:t>: Banda de Bollinger superior (media + 2 desviaciones estándar).</w:t>
      </w:r>
    </w:p>
    <w:p w14:paraId="2F5872DA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SPX_BB_Lower</w:t>
      </w:r>
      <w:r w:rsidRPr="00010F79">
        <w:rPr>
          <w:lang w:val="es-ES"/>
        </w:rPr>
        <w:t>: Banda de Bollinger inferior (media - 2 desviaciones estándar).</w:t>
      </w:r>
    </w:p>
    <w:p w14:paraId="6F3AEC09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SPX_BB_Width</w:t>
      </w:r>
      <w:r w:rsidRPr="00010F79">
        <w:rPr>
          <w:lang w:val="es-ES"/>
        </w:rPr>
        <w:t>: Ancho de las Bandas de Bollinger.</w:t>
      </w:r>
    </w:p>
    <w:p w14:paraId="427E031D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SPX_BB_Pct</w:t>
      </w:r>
      <w:r w:rsidRPr="00010F79">
        <w:rPr>
          <w:lang w:val="es-ES"/>
        </w:rPr>
        <w:t>: Posición porcentual del precio dentro de las Bandas de Bollinger.</w:t>
      </w:r>
    </w:p>
    <w:p w14:paraId="774A5476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SPX_DailyChange</w:t>
      </w:r>
      <w:r w:rsidRPr="00010F79">
        <w:rPr>
          <w:lang w:val="es-ES"/>
        </w:rPr>
        <w:t>: Cambio diario absoluto del precio de cierre del SPX.</w:t>
      </w:r>
    </w:p>
    <w:p w14:paraId="79972667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SPX_ATR14</w:t>
      </w:r>
      <w:r w:rsidRPr="00010F79">
        <w:rPr>
          <w:lang w:val="es-ES"/>
        </w:rPr>
        <w:t>: Average True Range de 14 días (medida de volatilidad).</w:t>
      </w:r>
    </w:p>
    <w:p w14:paraId="36A94138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SPX_ROC7</w:t>
      </w:r>
      <w:r w:rsidRPr="00010F79">
        <w:rPr>
          <w:lang w:val="es-ES"/>
        </w:rPr>
        <w:t>: Rate of Change de 7 días (cambio porcentual en 7 días).</w:t>
      </w:r>
    </w:p>
    <w:p w14:paraId="1637C84E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SPX_ROC20</w:t>
      </w:r>
      <w:r w:rsidRPr="00010F79">
        <w:rPr>
          <w:lang w:val="es-ES"/>
        </w:rPr>
        <w:t>: Rate of Change de 20 días (cambio porcentual en 20 días).</w:t>
      </w:r>
    </w:p>
    <w:p w14:paraId="750C0C55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SPX_HV20</w:t>
      </w:r>
      <w:r w:rsidRPr="00010F79">
        <w:rPr>
          <w:lang w:val="es-ES"/>
        </w:rPr>
        <w:t>: Volatilidad histórica anualizada de 20 días.</w:t>
      </w:r>
    </w:p>
    <w:p w14:paraId="6A421B54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SPX_HV50</w:t>
      </w:r>
      <w:r w:rsidRPr="00010F79">
        <w:rPr>
          <w:lang w:val="es-ES"/>
        </w:rPr>
        <w:t>: Volatilidad histórica anualizada de 50 días.</w:t>
      </w:r>
    </w:p>
    <w:p w14:paraId="051F4880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SPX_ZScore20</w:t>
      </w:r>
      <w:r w:rsidRPr="00010F79">
        <w:rPr>
          <w:lang w:val="es-ES"/>
        </w:rPr>
        <w:t>: Z-Score de 20 días (desviaciones estándar de la media).</w:t>
      </w:r>
    </w:p>
    <w:p w14:paraId="1C2D07F5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SPX_ZScore50</w:t>
      </w:r>
      <w:r w:rsidRPr="00010F79">
        <w:rPr>
          <w:lang w:val="es-ES"/>
        </w:rPr>
        <w:t>: Z-Score de 50 días (desviaciones estándar de la media).</w:t>
      </w:r>
    </w:p>
    <w:p w14:paraId="0696F0FD" w14:textId="77777777" w:rsidR="00717091" w:rsidRDefault="00000000">
      <w:pPr>
        <w:pStyle w:val="Listaconvietas"/>
      </w:pPr>
      <w:r>
        <w:rPr>
          <w:b/>
        </w:rPr>
        <w:t>SPX_Golden_Cross</w:t>
      </w:r>
      <w:r>
        <w:t>: Indicador binario de Golden Cross (1 si SMA50 &gt; SMA200).</w:t>
      </w:r>
    </w:p>
    <w:p w14:paraId="67A7C91D" w14:textId="77777777" w:rsidR="00717091" w:rsidRDefault="00000000">
      <w:pPr>
        <w:pStyle w:val="Listaconvietas"/>
      </w:pPr>
      <w:r>
        <w:rPr>
          <w:b/>
        </w:rPr>
        <w:t>SPX_Death_Cross</w:t>
      </w:r>
      <w:r>
        <w:t>: Indicador binario de Death Cross (1 si SMA50 &lt; SMA200).</w:t>
      </w:r>
    </w:p>
    <w:p w14:paraId="2ADB4803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SPX_SMA50_200_Diff</w:t>
      </w:r>
      <w:r w:rsidRPr="00010F79">
        <w:rPr>
          <w:lang w:val="es-ES"/>
        </w:rPr>
        <w:t>: Diferencia entre SMA50 y SMA200 (magnitud del cruce).</w:t>
      </w:r>
    </w:p>
    <w:p w14:paraId="396652D6" w14:textId="77777777" w:rsidR="00717091" w:rsidRPr="00010F79" w:rsidRDefault="00000000">
      <w:pPr>
        <w:pStyle w:val="Ttulo1"/>
        <w:rPr>
          <w:lang w:val="es-ES"/>
        </w:rPr>
      </w:pPr>
      <w:r w:rsidRPr="00010F79">
        <w:rPr>
          <w:lang w:val="es-ES"/>
        </w:rPr>
        <w:t>INSTRUCCIÓN (PROMPT DE ANÁLISIS)</w:t>
      </w:r>
    </w:p>
    <w:p w14:paraId="2584BAFA" w14:textId="1AE96CFE" w:rsidR="00717091" w:rsidRPr="001D5C52" w:rsidRDefault="00000000">
      <w:pPr>
        <w:rPr>
          <w:lang w:val="es-ES"/>
        </w:rPr>
      </w:pPr>
      <w:r w:rsidRPr="001D5C52">
        <w:rPr>
          <w:lang w:val="es-ES"/>
        </w:rPr>
        <w:t>Archivo</w:t>
      </w:r>
      <w:r w:rsidR="001D5C52" w:rsidRPr="001D5C52">
        <w:rPr>
          <w:lang w:val="es-ES"/>
        </w:rPr>
        <w:t xml:space="preserve"> </w:t>
      </w:r>
      <w:r w:rsidRPr="001D5C52">
        <w:rPr>
          <w:b/>
          <w:lang w:val="es-ES"/>
        </w:rPr>
        <w:t>csv</w:t>
      </w:r>
      <w:r w:rsidR="001D5C52" w:rsidRPr="001D5C52">
        <w:rPr>
          <w:b/>
          <w:lang w:val="es-ES"/>
        </w:rPr>
        <w:t xml:space="preserve"> (el</w:t>
      </w:r>
      <w:r w:rsidR="001D5C52">
        <w:rPr>
          <w:b/>
          <w:lang w:val="es-ES"/>
        </w:rPr>
        <w:t xml:space="preserve"> indicado por el usuario)</w:t>
      </w:r>
    </w:p>
    <w:p w14:paraId="7005DD7D" w14:textId="77777777" w:rsidR="00717091" w:rsidRPr="00010F79" w:rsidRDefault="00000000">
      <w:pPr>
        <w:rPr>
          <w:lang w:val="es-ES"/>
        </w:rPr>
      </w:pPr>
      <w:r w:rsidRPr="00010F79">
        <w:rPr>
          <w:lang w:val="es-ES"/>
        </w:rPr>
        <w:t xml:space="preserve">En el directorio de trabajo existe exactamente ese archivo. Cárgalo y realiza un análisis robusto, </w:t>
      </w:r>
      <w:r w:rsidRPr="00010F79">
        <w:rPr>
          <w:b/>
          <w:lang w:val="es-ES"/>
        </w:rPr>
        <w:t>reproducible</w:t>
      </w:r>
      <w:r w:rsidRPr="00010F79">
        <w:rPr>
          <w:lang w:val="es-ES"/>
        </w:rPr>
        <w:t xml:space="preserve"> y orientado a descubrir </w:t>
      </w:r>
      <w:r w:rsidRPr="00010F79">
        <w:rPr>
          <w:b/>
          <w:lang w:val="es-ES"/>
        </w:rPr>
        <w:t>métricas predictivas (no causales)</w:t>
      </w:r>
      <w:r w:rsidRPr="00010F79">
        <w:rPr>
          <w:lang w:val="es-ES"/>
        </w:rPr>
        <w:t xml:space="preserve"> con relación fuerte respecto a la columna objetivo </w:t>
      </w:r>
      <w:r w:rsidRPr="00010F79">
        <w:rPr>
          <w:b/>
          <w:lang w:val="es-ES"/>
        </w:rPr>
        <w:t>PnL_fwd_pts_90_mediana</w:t>
      </w:r>
      <w:r w:rsidRPr="00010F79">
        <w:rPr>
          <w:lang w:val="es-ES"/>
        </w:rPr>
        <w:t>.</w:t>
      </w:r>
    </w:p>
    <w:p w14:paraId="2C0EE7FE" w14:textId="77777777" w:rsidR="00717091" w:rsidRPr="00010F79" w:rsidRDefault="00000000">
      <w:pPr>
        <w:pStyle w:val="Ttulo2"/>
        <w:rPr>
          <w:lang w:val="es-ES"/>
        </w:rPr>
      </w:pPr>
      <w:r w:rsidRPr="00010F79">
        <w:rPr>
          <w:lang w:val="es-ES"/>
        </w:rPr>
        <w:lastRenderedPageBreak/>
        <w:t>Restricción crítica (anti-leakage)</w:t>
      </w:r>
    </w:p>
    <w:p w14:paraId="52E6BE2F" w14:textId="77777777" w:rsidR="00717091" w:rsidRPr="00010F79" w:rsidRDefault="00000000">
      <w:pPr>
        <w:rPr>
          <w:lang w:val="es-ES"/>
        </w:rPr>
      </w:pPr>
      <w:r w:rsidRPr="00010F79">
        <w:rPr>
          <w:b/>
          <w:lang w:val="es-ES"/>
        </w:rPr>
        <w:t xml:space="preserve">Excluir totalmente de cualquier acción o cálculo todas las variables cuyo nombre contenga “fwd” o “chg”, excepto la propia columna objetivo PnL_fwd_pts_90_mediana. </w:t>
      </w:r>
      <w:r w:rsidRPr="00010F79">
        <w:rPr>
          <w:i/>
          <w:lang w:val="es-ES"/>
        </w:rPr>
        <w:t>(Esto es clave: el “filtro” no debe eliminar el target.)</w:t>
      </w:r>
    </w:p>
    <w:p w14:paraId="791AF2C7" w14:textId="77777777" w:rsidR="00717091" w:rsidRPr="00010F79" w:rsidRDefault="00000000">
      <w:pPr>
        <w:rPr>
          <w:lang w:val="es-ES"/>
        </w:rPr>
      </w:pPr>
      <w:r w:rsidRPr="00010F79">
        <w:rPr>
          <w:lang w:val="es-ES"/>
        </w:rPr>
        <w:t>Además, detecta y excluye cualquier otra columna que implique información futura o “look-ahead” aunque no contenga esas cadenas (por ejemplo, columnas construidas a partir de resultados posteriores).</w:t>
      </w:r>
    </w:p>
    <w:p w14:paraId="19E0B71A" w14:textId="77777777" w:rsidR="00717091" w:rsidRPr="00010F79" w:rsidRDefault="00000000">
      <w:pPr>
        <w:pStyle w:val="Ttulo2"/>
        <w:rPr>
          <w:lang w:val="es-ES"/>
        </w:rPr>
      </w:pPr>
      <w:r w:rsidRPr="00010F79">
        <w:rPr>
          <w:lang w:val="es-ES"/>
        </w:rPr>
        <w:t>Objetivo práctico</w:t>
      </w:r>
    </w:p>
    <w:p w14:paraId="5CDD2F32" w14:textId="77777777" w:rsidR="00717091" w:rsidRDefault="00000000">
      <w:r w:rsidRPr="00010F79">
        <w:rPr>
          <w:lang w:val="es-ES"/>
        </w:rPr>
        <w:t xml:space="preserve">La intención es encontrar un </w:t>
      </w:r>
      <w:r w:rsidRPr="00010F79">
        <w:rPr>
          <w:b/>
          <w:lang w:val="es-ES"/>
        </w:rPr>
        <w:t>predictor en T+0</w:t>
      </w:r>
      <w:r w:rsidRPr="00010F79">
        <w:rPr>
          <w:lang w:val="es-ES"/>
        </w:rPr>
        <w:t xml:space="preserve"> (con información disponible en el momento de apertura/entrada) que ayude a estimar/ordenar el resultado del trade (PnL a 90% de DTE1), buscando “edge” estadístico. </w:t>
      </w:r>
      <w:r>
        <w:t>Ejemplos de formato de hallazgo:</w:t>
      </w:r>
    </w:p>
    <w:p w14:paraId="2C686755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“DTE1 &lt; 10 → mejora significativa del PnL mediano”</w:t>
      </w:r>
    </w:p>
    <w:p w14:paraId="3C50FD5F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“SPX_MACD_Signal &lt; X correlaciona de forma estable con PnL (OOS)”</w:t>
      </w:r>
    </w:p>
    <w:p w14:paraId="0A150905" w14:textId="77777777" w:rsidR="00717091" w:rsidRDefault="00000000">
      <w:pPr>
        <w:pStyle w:val="Listaconvietas"/>
      </w:pPr>
      <w:r>
        <w:t>“Combinación simple: signal = a·FF_ATM + b·VIX_trend_10d”</w:t>
      </w:r>
    </w:p>
    <w:p w14:paraId="6407C0AF" w14:textId="77777777" w:rsidR="00717091" w:rsidRDefault="00000000">
      <w:pPr>
        <w:pStyle w:val="Ttulo1"/>
      </w:pPr>
      <w:r>
        <w:t>Metodología</w:t>
      </w:r>
    </w:p>
    <w:p w14:paraId="1877D870" w14:textId="77777777" w:rsidR="00717091" w:rsidRPr="00010F79" w:rsidRDefault="00000000">
      <w:pPr>
        <w:pStyle w:val="Ttulo2"/>
        <w:rPr>
          <w:lang w:val="es-ES"/>
        </w:rPr>
      </w:pPr>
      <w:r w:rsidRPr="00010F79">
        <w:rPr>
          <w:lang w:val="es-ES"/>
        </w:rPr>
        <w:t>(1) Validaciones iniciales (calidad de datos)</w:t>
      </w:r>
    </w:p>
    <w:p w14:paraId="48B6F284" w14:textId="77777777" w:rsidR="00717091" w:rsidRPr="00010F79" w:rsidRDefault="00000000">
      <w:pPr>
        <w:pStyle w:val="Listaconnmeros"/>
        <w:rPr>
          <w:lang w:val="es-ES"/>
        </w:rPr>
      </w:pPr>
      <w:r w:rsidRPr="00010F79">
        <w:rPr>
          <w:lang w:val="es-ES"/>
        </w:rPr>
        <w:t xml:space="preserve">Tamaño muestral total (N) y por periodos si hay fecha. </w:t>
      </w:r>
      <w:r w:rsidRPr="00010F79">
        <w:rPr>
          <w:b/>
          <w:lang w:val="es-ES"/>
        </w:rPr>
        <w:t>Si N &lt; 100, aborta conclusiones</w:t>
      </w:r>
      <w:r w:rsidRPr="00010F79">
        <w:rPr>
          <w:lang w:val="es-ES"/>
        </w:rPr>
        <w:t xml:space="preserve"> (solo descriptivo).</w:t>
      </w:r>
    </w:p>
    <w:p w14:paraId="2D8283C7" w14:textId="77777777" w:rsidR="00717091" w:rsidRPr="00010F79" w:rsidRDefault="00000000">
      <w:pPr>
        <w:pStyle w:val="Listaconnmeros"/>
        <w:rPr>
          <w:lang w:val="es-ES"/>
        </w:rPr>
      </w:pPr>
      <w:r w:rsidRPr="00010F79">
        <w:rPr>
          <w:lang w:val="es-ES"/>
        </w:rPr>
        <w:t>Tipos de datos, NaNs, infinitos, duplicados.</w:t>
      </w:r>
    </w:p>
    <w:p w14:paraId="03062A43" w14:textId="77777777" w:rsidR="00717091" w:rsidRPr="00010F79" w:rsidRDefault="00000000">
      <w:pPr>
        <w:pStyle w:val="Listaconnmeros"/>
        <w:rPr>
          <w:lang w:val="es-ES"/>
        </w:rPr>
      </w:pPr>
      <w:r w:rsidRPr="00010F79">
        <w:rPr>
          <w:lang w:val="es-ES"/>
        </w:rPr>
        <w:t>Outliers: detectar y reportar; aplicar winsorización solo si mejora estabilidad y siempre reportándolo.</w:t>
      </w:r>
    </w:p>
    <w:p w14:paraId="1E8FEBF6" w14:textId="77777777" w:rsidR="00717091" w:rsidRDefault="00000000">
      <w:pPr>
        <w:pStyle w:val="Listaconnmeros"/>
      </w:pPr>
      <w:r w:rsidRPr="00010F79">
        <w:rPr>
          <w:lang w:val="es-ES"/>
        </w:rPr>
        <w:t xml:space="preserve">Leakage: verifica que ninguna feature usa información futura (directa o indirecta). </w:t>
      </w:r>
      <w:r w:rsidRPr="00010F79">
        <w:rPr>
          <w:b/>
          <w:lang w:val="es-ES"/>
        </w:rPr>
        <w:t>Si la segmentación por bins deja grupos con pocas muestras, no saques reglas</w:t>
      </w:r>
      <w:r w:rsidRPr="00010F79">
        <w:rPr>
          <w:lang w:val="es-ES"/>
        </w:rPr>
        <w:t xml:space="preserve"> (define mínimos por bin, p. ej. </w:t>
      </w:r>
      <w:r>
        <w:t>≥ 30 o ≥ 5% de N).</w:t>
      </w:r>
    </w:p>
    <w:p w14:paraId="125C08E0" w14:textId="77777777" w:rsidR="00717091" w:rsidRPr="00010F79" w:rsidRDefault="00000000">
      <w:pPr>
        <w:pStyle w:val="Ttulo2"/>
        <w:rPr>
          <w:lang w:val="es-ES"/>
        </w:rPr>
      </w:pPr>
      <w:r w:rsidRPr="00010F79">
        <w:rPr>
          <w:lang w:val="es-ES"/>
        </w:rPr>
        <w:t>(2) Baselines (señal simple, robusta y con control estadístico)</w:t>
      </w:r>
    </w:p>
    <w:p w14:paraId="6FCD2EF2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Correlaciones Pearson y Spearman entre cada feature permitida y el target.</w:t>
      </w:r>
    </w:p>
    <w:p w14:paraId="2D8EF53F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Métricas robustas si procede (p. ej., correlación sobre ranks, estimadores robustos tipo MAD/biweight).</w:t>
      </w:r>
    </w:p>
    <w:p w14:paraId="60634B20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Significancia mediante bootstrap y/o permutación (idealmente permutación del target para p-values).</w:t>
      </w:r>
    </w:p>
    <w:p w14:paraId="5C45F146" w14:textId="77777777" w:rsidR="00717091" w:rsidRDefault="00000000">
      <w:pPr>
        <w:pStyle w:val="Listaconvietas"/>
      </w:pPr>
      <w:r>
        <w:t>Control de múltiples tests: FDR (Benjamini-Hochberg).</w:t>
      </w:r>
    </w:p>
    <w:p w14:paraId="024604CB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 xml:space="preserve">Empezar por las columnas “core” del backtest (FF_ATM, </w:t>
      </w:r>
      <w:r w:rsidRPr="00010F79">
        <w:rPr>
          <w:b/>
          <w:lang w:val="es-ES"/>
        </w:rPr>
        <w:t>CQI_ABS</w:t>
      </w:r>
      <w:r w:rsidRPr="00010F79">
        <w:rPr>
          <w:lang w:val="es-ES"/>
        </w:rPr>
        <w:t>, deltas, thetas, ivs, strikes, net_credit_mediana, etc.) y las de indicadores SPX.</w:t>
      </w:r>
    </w:p>
    <w:p w14:paraId="5332849C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b/>
          <w:lang w:val="es-ES"/>
        </w:rPr>
        <w:t>Desglosar DTE1/DTE2 en DTE1 y DTE2</w:t>
      </w:r>
      <w:r w:rsidRPr="00010F79">
        <w:rPr>
          <w:lang w:val="es-ES"/>
        </w:rPr>
        <w:t xml:space="preserve"> y testear cada una por separado.</w:t>
      </w:r>
    </w:p>
    <w:p w14:paraId="54163C99" w14:textId="77777777" w:rsidR="00717091" w:rsidRPr="00010F79" w:rsidRDefault="00000000">
      <w:pPr>
        <w:pStyle w:val="Ttulo2"/>
        <w:rPr>
          <w:lang w:val="es-ES"/>
        </w:rPr>
      </w:pPr>
      <w:r w:rsidRPr="00010F79">
        <w:rPr>
          <w:lang w:val="es-ES"/>
        </w:rPr>
        <w:t>(3) Búsqueda por rangos, cuantiles y umbrales (reglas interpretables)</w:t>
      </w:r>
    </w:p>
    <w:p w14:paraId="741FA7F3" w14:textId="77777777" w:rsidR="00717091" w:rsidRDefault="00000000">
      <w:pPr>
        <w:pStyle w:val="Listaconvietas"/>
      </w:pPr>
      <w:r>
        <w:t>Para cada feature permitida:</w:t>
      </w:r>
    </w:p>
    <w:p w14:paraId="7D7B0478" w14:textId="77777777" w:rsidR="00717091" w:rsidRPr="00010F79" w:rsidRDefault="00000000">
      <w:pPr>
        <w:pStyle w:val="Listaconvietas2"/>
        <w:rPr>
          <w:lang w:val="es-ES"/>
        </w:rPr>
      </w:pPr>
      <w:r w:rsidRPr="00010F79">
        <w:rPr>
          <w:lang w:val="es-ES"/>
        </w:rPr>
        <w:t>Evaluar relación por cuantiles (quintiles/deciles/percentiles).</w:t>
      </w:r>
    </w:p>
    <w:p w14:paraId="73675EB6" w14:textId="77777777" w:rsidR="00717091" w:rsidRPr="00010F79" w:rsidRDefault="00000000">
      <w:pPr>
        <w:pStyle w:val="Listaconvietas2"/>
        <w:rPr>
          <w:lang w:val="es-ES"/>
        </w:rPr>
      </w:pPr>
      <w:r w:rsidRPr="00010F79">
        <w:rPr>
          <w:lang w:val="es-ES"/>
        </w:rPr>
        <w:t>Buscar umbrales tipo split (p. ej. X &lt; t vs X ≥ t) optimizando un criterio simple y robusto: diferencia de medianas del target, Cliff’s delta y/o Cohen’s d (si aplica).</w:t>
      </w:r>
    </w:p>
    <w:p w14:paraId="5FA95457" w14:textId="77777777" w:rsidR="00717091" w:rsidRPr="00010F79" w:rsidRDefault="00000000">
      <w:pPr>
        <w:pStyle w:val="Listaconvietas2"/>
        <w:rPr>
          <w:lang w:val="es-ES"/>
        </w:rPr>
      </w:pPr>
      <w:r w:rsidRPr="00010F79">
        <w:rPr>
          <w:lang w:val="es-ES"/>
        </w:rPr>
        <w:lastRenderedPageBreak/>
        <w:t>Exigir mínimos por bin y reportar estabilidad con intervalos bootstrap.</w:t>
      </w:r>
    </w:p>
    <w:p w14:paraId="7E1580EB" w14:textId="77777777" w:rsidR="00717091" w:rsidRDefault="00000000">
      <w:pPr>
        <w:pStyle w:val="Listaconvietas2"/>
      </w:pPr>
      <w:r>
        <w:t>Reportar reglas candidatas como: “Top decil vs bottom decil: Δ mediana = …, IC95%, p_adj, soporte”.</w:t>
      </w:r>
    </w:p>
    <w:p w14:paraId="19FFA61E" w14:textId="77777777" w:rsidR="00717091" w:rsidRPr="00010F79" w:rsidRDefault="00000000">
      <w:pPr>
        <w:pStyle w:val="Ttulo2"/>
        <w:rPr>
          <w:lang w:val="es-ES"/>
        </w:rPr>
      </w:pPr>
      <w:r w:rsidRPr="00010F79">
        <w:rPr>
          <w:lang w:val="es-ES"/>
        </w:rPr>
        <w:t>(3.VIX) Bloque especial VIX_close (sin mirar al futuro)</w:t>
      </w:r>
    </w:p>
    <w:p w14:paraId="7F94925A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Tratar VIX_close como variable prioritaria.</w:t>
      </w:r>
    </w:p>
    <w:p w14:paraId="01BF9583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Repetir (2) y (3) específicamente para VIX.</w:t>
      </w:r>
    </w:p>
    <w:p w14:paraId="2DD77E29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Añadir descriptores solo con datos hasta T+0: pendiente/slope últimas N sesiones (5/10/20), ROC, z-score robusto, % por encima de su SMA, régimen (alto/bajo) por percentiles.</w:t>
      </w:r>
    </w:p>
    <w:p w14:paraId="3F0FADE2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Analizar si “VIX en tendencia bajista/alcista” medido hacia atrás (rolling slope) se asocia a mejor/peor PnL.</w:t>
      </w:r>
    </w:p>
    <w:p w14:paraId="578E906A" w14:textId="77777777" w:rsidR="00717091" w:rsidRPr="00010F79" w:rsidRDefault="00000000">
      <w:pPr>
        <w:pStyle w:val="Ttulo2"/>
        <w:rPr>
          <w:lang w:val="es-ES"/>
        </w:rPr>
      </w:pPr>
      <w:r w:rsidRPr="00010F79">
        <w:rPr>
          <w:lang w:val="es-ES"/>
        </w:rPr>
        <w:t>(4) Feature engineering parsimonioso (pocas, explicables y seguras)</w:t>
      </w:r>
    </w:p>
    <w:p w14:paraId="13472022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Generar un conjunto acotado de derivadas con interpretación clara, evitando explosión combinatoria.</w:t>
      </w:r>
    </w:p>
    <w:p w14:paraId="2AA861DD" w14:textId="77777777" w:rsidR="00717091" w:rsidRDefault="00000000">
      <w:pPr>
        <w:pStyle w:val="Listaconvietas"/>
      </w:pPr>
      <w:r>
        <w:t>Transformaciones: rank, log(1+abs(x)), abs(x), winsor, z-score robusto (mediana/MAD).</w:t>
      </w:r>
    </w:p>
    <w:p w14:paraId="18BF26E4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Ratios “seguros” con epsilon: x/(|y|+</w:t>
      </w:r>
      <w:r>
        <w:t>ε</w:t>
      </w:r>
      <w:r w:rsidRPr="00010F79">
        <w:rPr>
          <w:lang w:val="es-ES"/>
        </w:rPr>
        <w:t>).</w:t>
      </w:r>
    </w:p>
    <w:p w14:paraId="7843B6DE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Diferencias/spreads (p. ej. SMA50_200_Diff ya existe; evitar duplicar).</w:t>
      </w:r>
    </w:p>
    <w:p w14:paraId="58CB4BC6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Interacciones bilineales solo entre las mejores features (p. ej. top 10 por señal).</w:t>
      </w:r>
    </w:p>
    <w:p w14:paraId="0A26BEC7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Combinaciones lineales simples: signal = aX + bY (2-3 parámetros máx), ajustadas con regularización (ridge/lasso) y validadas OOS.</w:t>
      </w:r>
    </w:p>
    <w:p w14:paraId="0B719596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Cada nueva métrica debe explicar: “qué mide” y “por qué podría tener sentido”.</w:t>
      </w:r>
    </w:p>
    <w:p w14:paraId="1F84654D" w14:textId="77777777" w:rsidR="00717091" w:rsidRDefault="00000000">
      <w:pPr>
        <w:pStyle w:val="Ttulo2"/>
      </w:pPr>
      <w:r>
        <w:t>(5) Validación anti-overfit (OOS)</w:t>
      </w:r>
    </w:p>
    <w:p w14:paraId="352EEB3A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Elegir el esquema de validación: si hay columna temporal/fecha, TimeSeriesSplit (walk-forward); si no, KFold (idealmente con control de distribución del target).</w:t>
      </w:r>
    </w:p>
    <w:p w14:paraId="6402E902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Reportar rendimiento out-of-sample: en regresión MAE/R² (secundario) y, sobre todo, ranking (primario): Spearman OOS, top-decile lift, diferencia de mediana del target entre top/bottom decil predicho.</w:t>
      </w:r>
    </w:p>
    <w:p w14:paraId="5EB1E2DE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Si una regla funciona solo in-sample o es inestable entre folds: descartarla.</w:t>
      </w:r>
    </w:p>
    <w:p w14:paraId="69594320" w14:textId="77777777" w:rsidR="00717091" w:rsidRDefault="00000000">
      <w:pPr>
        <w:pStyle w:val="Ttulo2"/>
      </w:pPr>
      <w:r>
        <w:t>(6) Iteración generativa controlada</w:t>
      </w:r>
    </w:p>
    <w:p w14:paraId="207112B8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Solo si una métrica derivada muestra señal estable OOS, permitir una segunda ronda basada únicamente en las mejores 5 features (máxima parsimonia).</w:t>
      </w:r>
    </w:p>
    <w:p w14:paraId="2CE7EC7E" w14:textId="77777777" w:rsidR="00717091" w:rsidRPr="00010F79" w:rsidRDefault="00000000">
      <w:pPr>
        <w:pStyle w:val="Listaconvietas"/>
        <w:rPr>
          <w:lang w:val="es-ES"/>
        </w:rPr>
      </w:pPr>
      <w:r w:rsidRPr="00010F79">
        <w:rPr>
          <w:lang w:val="es-ES"/>
        </w:rPr>
        <w:t>Si no hay señal estable: concluir explícitamente “no hay relación clara” y justificar (N, ruido, no-estacionariedad, efecto pequeño, inestabilidad por folds, etc.).</w:t>
      </w:r>
    </w:p>
    <w:p w14:paraId="58687AD5" w14:textId="77777777" w:rsidR="00717091" w:rsidRDefault="00000000">
      <w:pPr>
        <w:pStyle w:val="Ttulo1"/>
      </w:pPr>
      <w:r>
        <w:t>Entregables</w:t>
      </w:r>
    </w:p>
    <w:p w14:paraId="3B3D2E26" w14:textId="77777777" w:rsidR="00717091" w:rsidRDefault="00000000">
      <w:pPr>
        <w:pStyle w:val="Listaconvietas"/>
      </w:pPr>
      <w:r>
        <w:t>Informe en Markdown con:</w:t>
      </w:r>
    </w:p>
    <w:p w14:paraId="35202971" w14:textId="77777777" w:rsidR="00717091" w:rsidRPr="00010F79" w:rsidRDefault="00000000">
      <w:pPr>
        <w:pStyle w:val="Listaconvietas2"/>
        <w:rPr>
          <w:lang w:val="es-ES"/>
        </w:rPr>
      </w:pPr>
      <w:r w:rsidRPr="00010F79">
        <w:rPr>
          <w:lang w:val="es-ES"/>
        </w:rPr>
        <w:t>(a) Resumen ejecutivo con 5-10 hallazgos accionables (si existen).</w:t>
      </w:r>
    </w:p>
    <w:p w14:paraId="2DE2B263" w14:textId="77777777" w:rsidR="00717091" w:rsidRPr="00010F79" w:rsidRDefault="00000000">
      <w:pPr>
        <w:pStyle w:val="Listaconvietas2"/>
        <w:rPr>
          <w:lang w:val="es-ES"/>
        </w:rPr>
      </w:pPr>
      <w:r w:rsidRPr="00010F79">
        <w:rPr>
          <w:lang w:val="es-ES"/>
        </w:rPr>
        <w:t>(b) Tabla ranking de features/derivadas con correlaciones, tamaños de efecto, IC, p-value y p ajustada (FDR), soporte muestral.</w:t>
      </w:r>
    </w:p>
    <w:p w14:paraId="6CE24DBD" w14:textId="77777777" w:rsidR="00717091" w:rsidRPr="00010F79" w:rsidRDefault="00000000">
      <w:pPr>
        <w:pStyle w:val="Listaconvietas2"/>
        <w:rPr>
          <w:lang w:val="es-ES"/>
        </w:rPr>
      </w:pPr>
      <w:r w:rsidRPr="00010F79">
        <w:rPr>
          <w:lang w:val="es-ES"/>
        </w:rPr>
        <w:t>(c) Reglas por rangos/umbrales con soporte y estabilidad (bootstrap).</w:t>
      </w:r>
    </w:p>
    <w:p w14:paraId="40CD3A54" w14:textId="77777777" w:rsidR="00717091" w:rsidRPr="00010F79" w:rsidRDefault="00000000">
      <w:pPr>
        <w:pStyle w:val="Listaconvietas2"/>
        <w:rPr>
          <w:lang w:val="es-ES"/>
        </w:rPr>
      </w:pPr>
      <w:r w:rsidRPr="00010F79">
        <w:rPr>
          <w:lang w:val="es-ES"/>
        </w:rPr>
        <w:lastRenderedPageBreak/>
        <w:t>(d) Gráficos mínimos y útiles: dispersión (con tendencia), bins por cuantiles, boxplots por decil.</w:t>
      </w:r>
    </w:p>
    <w:bookmarkEnd w:id="0"/>
    <w:p w14:paraId="1C438D4C" w14:textId="77777777" w:rsidR="00717091" w:rsidRPr="00010F79" w:rsidRDefault="00000000">
      <w:pPr>
        <w:rPr>
          <w:lang w:val="es-ES"/>
        </w:rPr>
      </w:pPr>
      <w:r w:rsidRPr="00010F79">
        <w:rPr>
          <w:lang w:val="es-ES"/>
        </w:rPr>
        <w:br w:type="page"/>
      </w:r>
    </w:p>
    <w:sectPr w:rsidR="00717091" w:rsidRPr="00010F79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6D444AD0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0F4E9108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8F78814A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3876696">
    <w:abstractNumId w:val="8"/>
  </w:num>
  <w:num w:numId="2" w16cid:durableId="1861359476">
    <w:abstractNumId w:val="6"/>
  </w:num>
  <w:num w:numId="3" w16cid:durableId="2017609898">
    <w:abstractNumId w:val="5"/>
  </w:num>
  <w:num w:numId="4" w16cid:durableId="710420591">
    <w:abstractNumId w:val="4"/>
  </w:num>
  <w:num w:numId="5" w16cid:durableId="1180050690">
    <w:abstractNumId w:val="7"/>
  </w:num>
  <w:num w:numId="6" w16cid:durableId="1724018484">
    <w:abstractNumId w:val="3"/>
  </w:num>
  <w:num w:numId="7" w16cid:durableId="1598515156">
    <w:abstractNumId w:val="2"/>
  </w:num>
  <w:num w:numId="8" w16cid:durableId="1429539247">
    <w:abstractNumId w:val="1"/>
  </w:num>
  <w:num w:numId="9" w16cid:durableId="354158655">
    <w:abstractNumId w:val="0"/>
  </w:num>
  <w:num w:numId="10" w16cid:durableId="218589178">
    <w:abstractNumId w:val="7"/>
  </w:num>
  <w:num w:numId="11" w16cid:durableId="29472550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0F79"/>
    <w:rsid w:val="00034616"/>
    <w:rsid w:val="0006063C"/>
    <w:rsid w:val="000F0480"/>
    <w:rsid w:val="0015074B"/>
    <w:rsid w:val="001D5C52"/>
    <w:rsid w:val="0029639D"/>
    <w:rsid w:val="00326F90"/>
    <w:rsid w:val="00525248"/>
    <w:rsid w:val="00717091"/>
    <w:rsid w:val="00807248"/>
    <w:rsid w:val="00950B18"/>
    <w:rsid w:val="009517E5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77149AF"/>
  <w14:defaultImageDpi w14:val="300"/>
  <w15:docId w15:val="{3D925CFB-48EC-4F0D-9C07-A2FD43DA2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before="120" w:after="120"/>
    </w:pPr>
    <w:rPr>
      <w:rFonts w:ascii="Calibri" w:eastAsia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6</Pages>
  <Words>1429</Words>
  <Characters>7860</Characters>
  <Application>Microsoft Office Word</Application>
  <DocSecurity>0</DocSecurity>
  <Lines>65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9271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MANUEL MARTÍN BARRANCO</cp:lastModifiedBy>
  <cp:revision>4</cp:revision>
  <dcterms:created xsi:type="dcterms:W3CDTF">2025-12-15T11:04:00Z</dcterms:created>
  <dcterms:modified xsi:type="dcterms:W3CDTF">2025-12-16T10:42:00Z</dcterms:modified>
  <cp:category/>
</cp:coreProperties>
</file>