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rtl w:val="0"/>
                    </w:rPr>
                    <w:t>Which single restriction removes the most LLM-agent collusion at the least cost? Prior work compares anti-collusion levers by their effect alone; we also price them. In the continuous double auction of Agrawal et al. (2025) we first audit the reference "oversight" lever in the authors' public runs: its LLM monitor fired in 20 of 20 runs within seven rounds and limited sellers to five-character messages for 77 to 97% of each run, so it acts as a delayed communication ban rather than light-touch monitoring. We then run a pre-registered, powered study of seven levers (25 runs each) with Llama-3.3-70B sellers, separating a monitoring notice from the monitor, varying the monitoring budget, and adding a single no-regret competitor seller. Our positive control failed: neither Llama-3.3-70B nor GPT-4.1-mini sellers colluded when allowed to communicate, so no lever could reduce collusion, and the study measures what levers cost a market that is not colluding. The monitor punished innocent markets in up to 48% of runs. A monitoring notice lowered buyer welfare by 22% while the monitor without the notice had no detectable effect, and banning communication cost 13% of trades. One no-regret seller raised buyer welfare by 26%. A replication on 75 fresh runs, pre-registered before it ran, confirmed both welfare effects (16% lower under the notice, 44% higher with the competitor) but not the notice's effect on trade volume. Anti-collusion levers carry false-positive costs that should be measured alongside their benefits.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agents that set prices can sustain prices above the competitive level, with or without talking to each other (Fish et al., 2024; Agrawal et al., 2025). A platform or regulator facing this risk will deploy the cheapest lever that works: a communication ban, a monitor, a warning, or a change to who is in the market. Existing studies compare such levers by how much collusion they remove (Agrawal et al., 2025; Bracale Syrnikov et al., 2026; Garra, 2026; Anto and Vazquez, 2026), but none measures what a lever costs, and in particular what it costs when there is no collusion to remove. In AI-control terms, a monitor has a false-positive rate and spends a usefulness budget (Greenblatt et al., 2024; Bhatt et al., 2025); anti-collusion levers should be priced the same way.</w:t>
      </w:r>
    </w:p>
    <w:p>
      <w:pPr>
        <w:spacing w:after="80"/>
      </w:pPr>
      <w:r>
        <w:rPr>
          <w:b/>
        </w:rPr>
        <w:t>Our main contributions are:</w:t>
      </w:r>
    </w:p>
    <w:p>
      <w:pPr>
        <w:spacing w:after="40"/>
        <w:ind w:left="360"/>
      </w:pPr>
      <w:r>
        <w:rPr/>
        <w:t>1. An audit of the reference oversight lever in the Agrawal et al. harness: in the authors' public gpt-4.1 runs, its monitor fired in 20/20 runs and removed about 90% of seller messages, so "oversight" in that environment is a delayed ban. The original paper does not report this.</w:t>
      </w:r>
    </w:p>
    <w:p>
      <w:pPr>
        <w:spacing w:after="40"/>
        <w:ind w:left="360"/>
      </w:pPr>
      <w:r>
        <w:rPr/>
        <w:t>2. A pre-registered, powered comparison of seven levers (n=25 each) that splits deterrence (a monitoring notice) from enforcement (a monitor that gags sellers), varies the monitoring budget, and tests a no-regret competitor, the lever singled out in the sprint's Q1.5.</w:t>
      </w:r>
    </w:p>
    <w:p>
      <w:pPr>
        <w:spacing w:after="40"/>
        <w:ind w:left="360"/>
      </w:pPr>
      <w:r>
        <w:rPr/>
        <w:t>3. Evidence that levers are costly where there is no collusion: a monitor that misfires on innocent markets, a warning that lowers buyer welfare and a communication ban that costs liquidity, while a single competitor raises buyer welfare. Both welfare effects replicated on fresh runs pre-registered before they ran.</w:t>
      </w:r>
    </w:p>
    <w:p>
      <w:pPr>
        <w:spacing w:after="40"/>
        <w:ind w:left="360"/>
      </w:pPr>
      <w:r>
        <w:rPr/>
        <w:t>4. Evidence-standard results for Q1.3 and Q2.3: an information-theoretic detector calibrated against no-communication runs, and an LLM judge whose coordination score tracks talk rather than prices.</w:t>
      </w:r>
    </w:p>
    <w:p>
      <w:pPr>
        <w:pStyle w:val="Heading2"/>
      </w:pPr>
      <w:r>
        <w:t>2. Related Work</w:t>
      </w:r>
    </w:p>
    <w:p>
      <w:pPr>
        <w:spacing w:after="80"/>
      </w:pPr>
      <w:r>
        <w:rPr>
          <w:b/>
        </w:rPr>
        <w:t>LLM collusion.</w:t>
      </w:r>
      <w:r>
        <w:rPr/>
        <w:t xml:space="preserve"> Fish et al. (2024) show LLM pricing agents reaching supracompetitive prices without any communication, with large effects from small prompt changes. Agrawal et al. (2025) find that seller communication raises collusion in a double auction and that oversight and urgency shift behaviour; their oversight condition combines a warning with a message cap that is triggered by an LLM monitor. Keppo et al. (2026) find that heterogeneity among agents weakens collusion, and Calvano et al. (2020) show reinforcement-learning pricing agents colluding without communication.</w:t>
      </w:r>
    </w:p>
    <w:p>
      <w:pPr>
        <w:spacing w:after="80"/>
      </w:pPr>
      <w:r>
        <w:rPr>
          <w:b/>
        </w:rPr>
        <w:t>Interventions.</w:t>
      </w:r>
      <w:r>
        <w:rPr/>
        <w:t xml:space="preserve"> Bracale Syrnikov et al. (2026) find that a prompt-only anti-collusion instruction gives no reliable improvement while an enforced governance graph sharply reduces severe collusion. Garra (2026) finds that a prompt-only warning reduces but does not eliminate above-Nash pricing. Anto and Vazquez (2026) compare passive logging, revision and veto oversight and find that the best mode depends on the model. Collina et al. (2025) show theoretically that a single participant playing a no-regret strategy can destabilise algorithmic collusion. None of these studies measures the cost of an intervention, and none separates a warning from the monitor that backs it. Radev et al. (2026) report that telling agents a monitor is present halves coordinated sabotage, a deterrence effect in a non-market setting.</w:t>
      </w:r>
    </w:p>
    <w:p>
      <w:pPr>
        <w:spacing w:after="80"/>
      </w:pPr>
      <w:r>
        <w:rPr>
          <w:b/>
        </w:rPr>
        <w:t>Monitoring and detection.</w:t>
      </w:r>
      <w:r>
        <w:rPr/>
        <w:t xml:space="preserve"> AI-control work frames monitors in terms of auditing budgets, false-positive rates and usefulness costs (Greenblatt et al., 2024; Bhatt et al., 2025). For collusion detection, Bonjour et al. (2022) define pairwise net influence for small games; to our knowledge it has not been applied to LLM agents, while prior LLM work uses cross-run mutual information (Tailor, 2025) or partial information decomposition (Riedl, 2026). Nakamura et al. (2026) observe "collusion on paper": agents that agree to collude in text but act otherwise.</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 All agents use the harness's prompt templates unchanged (the notice arm shows the template's own oversight warning) at temperature 0.7. The harness sets no random seed, so every run is an independent sample, and we report run-to-run variation through bootstrap intervals.</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of Llama-3.3-70B, 3 plus 3 of GPT-4.1-mini)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0.42 to 0.49 index units at 80% power (one-sided), larger than the communication ban's own effect (0.28); 25 runs per arm detects 0.26 to 0.30.</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n=3 each).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[-13.7, +3.0]</w:t>
            </w:r>
          </w:p>
        </w:tc>
        <w:tc>
          <w:tcPr>
            <w:tcW w:type="dxa" w:w="2340"/>
          </w:tcPr>
          <w:p>
            <w:r/>
            <w:r>
              <w:rPr>
                <w:sz w:val="17"/>
              </w:rPr>
              <w:t>-0.3 [-4.2, +3.7]</w:t>
            </w:r>
          </w:p>
        </w:tc>
        <w:tc>
          <w:tcPr>
            <w:tcW w:type="dxa" w:w="2340"/>
          </w:tcPr>
          <w:p>
            <w:r/>
            <w:r>
              <w:rPr>
                <w:sz w:val="17"/>
              </w:rPr>
              <w:t>-$97 [-224, +18]</w:t>
            </w:r>
          </w:p>
        </w:tc>
      </w:tr>
      <w:tr>
        <w:tc>
          <w:tcPr>
            <w:tcW w:type="dxa" w:w="2340"/>
          </w:tcPr>
          <w:p>
            <w:r/>
            <w:r>
              <w:rPr>
                <w:sz w:val="17"/>
              </w:rPr>
              <w:t>Full oversight</w:t>
            </w:r>
          </w:p>
        </w:tc>
        <w:tc>
          <w:tcPr>
            <w:tcW w:type="dxa" w:w="2340"/>
          </w:tcPr>
          <w:p>
            <w:r/>
            <w:r>
              <w:rPr>
                <w:sz w:val="17"/>
              </w:rPr>
              <w:t>-10.1 [-20.8, +0.5]</w:t>
            </w:r>
          </w:p>
        </w:tc>
        <w:tc>
          <w:tcPr>
            <w:tcW w:type="dxa" w:w="2340"/>
          </w:tcPr>
          <w:p>
            <w:r/>
            <w:r>
              <w:rPr>
                <w:sz w:val="17"/>
              </w:rPr>
              <w:t>-4.8 [-8.4, -1.1], Holm p=0.022</w:t>
            </w:r>
          </w:p>
        </w:tc>
        <w:tc>
          <w:tcPr>
            <w:tcW w:type="dxa" w:w="2340"/>
          </w:tcPr>
          <w:p>
            <w:r/>
            <w:r>
              <w:rPr>
                <w:sz w:val="17"/>
              </w:rPr>
              <w:t>-$59 [-211, +85]</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+104]</w:t>
            </w:r>
          </w:p>
        </w:tc>
      </w:tr>
    </w:tbl>
    <w:p>
      <w:pPr>
        <w:spacing w:after="40"/>
      </w:pPr>
    </w:p>
    <w:p>
      <w:pPr>
        <w:spacing w:after="80"/>
      </w:pPr>
      <w:r>
        <w:rPr/>
        <w:t>The warning, not the monitor, does the damage: arms that include the notice lose buyer welfare (and, for the notice alone, trades), while the monitor without the notice does not. Warned sellers turned their messages toward compliance (28% of messages mention monitoring or regulation, against 3% without the notice) and held slightly higher asks. A communication ban costs liquidity because these sellers used messages to converge on tradable prices. The no-regret seller is the only lever that helps buyers, lowering mean trade prices by $1.41. In this sample the notice's trade effect also survives a rank test (median 60 versus 82 trades, Mann-Whitney p=0.005), but it did not replicate (Section 4.5).</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arms themselves were stable across the two samples (buyer welfare under the notice 19.7 and 19.1; under the no-regret seller 32.0 and 32.8), while the communication baseline varied (25.3 and 22.8), so part of the original trade gap reflected an unusually busy baseline. In the replication the notice hurt buyers through higher prices rather than fewer trades (mean trade price $91.88 versus $90.49), and warned sellers again talked more about monitoring and regulation (17% versus 8% of messages). The robust conclusions are therefore that a monitoring warning lowers buyer welfare in markets that are not colluding, by a route that varies, and that a single no-regret competitor raises it.</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10 of 10 runs (mean within-run rho -0.52, sign test p=0.002);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same lever can help or hurt depending on whether collusion is present. In the gpt-4.1 data, where sellers colluded weakly, oversight acted as a ban and raised buyer welfare (27.2 versus 19.8 per round). In Llama markets that did not collude, the warning attached to oversight lowered buyer welfare by 16 to 22% and the monitor misfired in up to half of runs. A platform therefore cannot judge a lever by its effect on colluding markets alone; it should also measure its false-positive cost, the harm to the many markets that are behaving competitively. By that standard the most attractive lever we tested is a competitor rather than a cop: a single no-regret seller costs no communication and no monitoring and improved buyer outcomes. For AI-control practice, a monitor with a hair-trigger, permanent penalty spends its whole usefulness budget on false positives, and the warning that announces it can impose costs by itself.</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A model that colludes reliably, to measure lever benefits and costs in the same model; calibrated monitor thresholds and budgets; credible versus non-credible warnings; mixed-model markets; and multiple competitor sellers.</w:t>
      </w:r>
    </w:p>
    <w:p>
      <w:pPr>
        <w:pStyle w:val="Heading2"/>
      </w:pPr>
      <w:r>
        <w:t>6. Conclusion</w:t>
      </w:r>
    </w:p>
    <w:p>
      <w:pPr>
        <w:spacing w:after="80"/>
      </w:pPr>
      <w:r>
        <w:rPr/>
        <w:t>Anti-collusion levers for LLM markets should be priced, not just scored. In the reference environment, "oversight" is a delayed ban. In markets where agents do not collude, monitors misfire, warnings lower buyer welfare and bans cost liquidity, while a single no-regret competitor helps buyers; both welfare effects held up in a pre-registered replication. Measuring false-positive costs should be part of evaluating any intervention against AI collusion.</w:t>
      </w:r>
    </w:p>
    <w:p>
      <w:pPr>
        <w:pStyle w:val="Heading2"/>
      </w:pPr>
      <w:r>
        <w:t>Code and Data</w:t>
      </w:r>
    </w:p>
    <w:p>
      <w:pPr>
        <w:spacing w:after="40"/>
        <w:ind w:left="360"/>
      </w:pPr>
      <w:r>
        <w:rPr/>
        <w:t xml:space="preserve">• Code and data: </w:t>
      </w:r>
      <w:hyperlink r:id="rId10">
        <w:r>
          <w:rPr>
            <w:color w:val="1155CC"/>
            <w:u w:val="single"/>
          </w:rPr>
          <w:t xml:space="preserve">https://github.com/manunicholasjacob/llm-collusion-lever-costs</w:t>
        </w:r>
      </w:hyperlink>
      <w:r>
        <w:rPr/>
        <w:t xml:space="preserve">, archived at </w:t>
      </w:r>
      <w:hyperlink r:id="rId11">
        <w:r>
          <w:rPr>
            <w:color w:val="1155CC"/>
            <w:u w:val="single"/>
          </w:rPr>
          <w:t xml:space="preserve">https://doi.org/10.5281/zenodo.23622463</w:t>
        </w:r>
      </w:hyperlink>
      <w:r>
        <w:rPr/>
        <w:t>. It holds the analysis code, our harness changes as a patch against the original repository, all 268 sprint runs (market logs and monitor scores; per-agent transcripts on request), the timestamped protocol, and a script that recomputes this report's numbers from the runs.</w:t>
      </w:r>
    </w:p>
    <w:p>
      <w:pPr>
        <w:spacing w:after="40"/>
        <w:ind w:left="360"/>
      </w:pPr>
      <w:r>
        <w:rPr/>
        <w:t>• Original runs and harness: Agrawal et al.'s public repository (</w:t>
      </w:r>
      <w:hyperlink r:id="rId12">
        <w:r>
          <w:rPr>
            <w:color w:val="1155CC"/>
            <w:u w:val="single"/>
          </w:rPr>
          <w:t xml:space="preserve">https://github.com/andyjliu/llm-agent-collusion</w:t>
        </w:r>
      </w:hyperlink>
      <w:r>
        <w:rPr/>
        <w:t>), which is not redistributed.</w:t>
      </w:r>
    </w:p>
    <w:p>
      <w:pPr>
        <w:spacing w:after="40"/>
        <w:ind w:left="360"/>
      </w:pPr>
      <w:r>
        <w:rPr/>
        <w:t>• Pre-sprint work (disclosed): analysis tooling and harness flags were built on 22 October 2026, before the sprint; all new runs and analyses were done during the sprint. The repository's DISCLOSURE.md separates the two, and every step is timestamped in the protocol file.</w:t>
      </w:r>
    </w:p>
    <w:p>
      <w:pPr>
        <w:pStyle w:val="Heading2"/>
      </w:pPr>
      <w:r>
        <w:t>Author Contributions</w:t>
      </w:r>
    </w:p>
    <w:p>
      <w:pPr>
        <w:spacing w:after="80"/>
      </w:pPr>
      <w:r>
        <w:rPr/>
        <w:t>M.N.J. designed the study, made the decisions at each stage and reviewed the manuscript. Analysis code, runs and the first draft were produced with Claude (see the LLM Usage Statement).</w:t>
      </w:r>
    </w:p>
    <w:p>
      <w:pPr>
        <w:pStyle w:val="Heading2"/>
      </w:pPr>
      <w:r>
        <w:t>References</w:t>
      </w:r>
    </w:p>
    <w:p>
      <w:pPr>
        <w:spacing w:after="40"/>
        <w:ind w:left="360"/>
      </w:pPr>
      <w:r>
        <w:rPr/>
        <w:t xml:space="preserve">1. Agrawal, K., Teo, V., Vazquez, J. J., Kunnavakkam, S., Srikanth, V., Liu, A. (2025). Evaluating LLM Agent Collusion in Double Auctions. arXiv:2507.01413. </w:t>
      </w:r>
      <w:hyperlink r:id="rId13">
        <w:r>
          <w:rPr>
            <w:color w:val="1155CC"/>
            <w:u w:val="single"/>
          </w:rPr>
          <w:t xml:space="preserve">https://arxiv.org/abs/2507.01413</w:t>
        </w:r>
      </w:hyperlink>
    </w:p>
    <w:p>
      <w:pPr>
        <w:spacing w:after="40"/>
        <w:ind w:left="360"/>
      </w:pPr>
      <w:r>
        <w:rPr/>
        <w:t xml:space="preserve">2. Anto, M., Vazquez, J. (2026). Oversight is Not Compliance: Tacit Collusion in LLM Pricing Agents Under Antitrust Regulation. ICML 2026 Workshop on Agents in the Wild. </w:t>
      </w:r>
      <w:hyperlink r:id="rId14">
        <w:r>
          <w:rPr>
            <w:color w:val="1155CC"/>
            <w:u w:val="single"/>
          </w:rPr>
          <w:t xml:space="preserve">https://icml.cc/virtual/2026/67865</w:t>
        </w:r>
      </w:hyperlink>
    </w:p>
    <w:p>
      <w:pPr>
        <w:spacing w:after="40"/>
        <w:ind w:left="360"/>
      </w:pPr>
      <w:r>
        <w:rPr/>
        <w:t xml:space="preserve">3. Bhatt, A., et al. (2025). Ctrl-Z: Controlling AI Agents via Resampling. arXiv:2504.10374. </w:t>
      </w:r>
      <w:hyperlink r:id="rId15">
        <w:r>
          <w:rPr>
            <w:color w:val="1155CC"/>
            <w:u w:val="single"/>
          </w:rPr>
          <w:t xml:space="preserve">https://arxiv.org/abs/2504.10374</w:t>
        </w:r>
      </w:hyperlink>
    </w:p>
    <w:p>
      <w:pPr>
        <w:spacing w:after="40"/>
        <w:ind w:left="360"/>
      </w:pPr>
      <w:r>
        <w:rPr/>
        <w:t xml:space="preserve">4. Bonjour, T., Aggarwal, V., Bhargava, B. (2022). Information Theoretic Approach to Detect Collusion in Multi-Agent Games. UAI 2022, PMLR 180:223-232. </w:t>
      </w:r>
      <w:hyperlink r:id="rId16">
        <w:r>
          <w:rPr>
            <w:color w:val="1155CC"/>
            <w:u w:val="single"/>
          </w:rPr>
          <w:t xml:space="preserve">https://proceedings.mlr.press/v180/bonjour22a.html</w:t>
        </w:r>
      </w:hyperlink>
    </w:p>
    <w:p>
      <w:pPr>
        <w:spacing w:after="40"/>
        <w:ind w:left="360"/>
      </w:pPr>
      <w:r>
        <w:rPr/>
        <w:t xml:space="preserve">5. Bracale Syrnikov, M., et al. (2026). Institutional AI: Governing LLM Collusion in Multi-Agent Cournot Markets via Public Governance Graphs. arXiv:2601.11369. </w:t>
      </w:r>
      <w:hyperlink r:id="rId17">
        <w:r>
          <w:rPr>
            <w:color w:val="1155CC"/>
            <w:u w:val="single"/>
          </w:rPr>
          <w:t xml:space="preserve">https://arxiv.org/abs/2601.11369</w:t>
        </w:r>
      </w:hyperlink>
    </w:p>
    <w:p>
      <w:pPr>
        <w:spacing w:after="40"/>
        <w:ind w:left="360"/>
      </w:pPr>
      <w:r>
        <w:rPr/>
        <w:t xml:space="preserve">6. Calvano, E., Calzolari, G., Denicolò, V., Pastorello, S. (2020). Artificial Intelligence, Algorithmic Pricing, and Collusion. American Economic Review 110(10):3267-3297. </w:t>
      </w:r>
      <w:hyperlink r:id="rId18">
        <w:r>
          <w:rPr>
            <w:color w:val="1155CC"/>
            <w:u w:val="single"/>
          </w:rPr>
          <w:t xml:space="preserve">https://doi.org/10.1257/aer.20190623</w:t>
        </w:r>
      </w:hyperlink>
    </w:p>
    <w:p>
      <w:pPr>
        <w:spacing w:after="40"/>
        <w:ind w:left="360"/>
      </w:pPr>
      <w:r>
        <w:rPr/>
        <w:t xml:space="preserve">7. Collina, N., Arunachaleswaran, E. R., Jagadeesan, M. (2025). Breaking Algorithmic Collusion in Human-AI Ecosystems. arXiv:2511.21935. </w:t>
      </w:r>
      <w:hyperlink r:id="rId19">
        <w:r>
          <w:rPr>
            <w:color w:val="1155CC"/>
            <w:u w:val="single"/>
          </w:rPr>
          <w:t xml:space="preserve">https://arxiv.org/abs/2511.21935</w:t>
        </w:r>
      </w:hyperlink>
    </w:p>
    <w:p>
      <w:pPr>
        <w:spacing w:after="40"/>
        <w:ind w:left="360"/>
      </w:pPr>
      <w:r>
        <w:rPr/>
        <w:t xml:space="preserve">8. Fish, S., Gonczarowski, Y. A., Shorrer, R. I. (2024). Algorithmic Collusion by Large Language Models. arXiv:2404.00806. </w:t>
      </w:r>
      <w:hyperlink r:id="rId20">
        <w:r>
          <w:rPr>
            <w:color w:val="1155CC"/>
            <w:u w:val="single"/>
          </w:rPr>
          <w:t xml:space="preserve">https://arxiv.org/abs/2404.00806</w:t>
        </w:r>
      </w:hyperlink>
    </w:p>
    <w:p>
      <w:pPr>
        <w:spacing w:after="40"/>
        <w:ind w:left="360"/>
      </w:pPr>
      <w:r>
        <w:rPr/>
        <w:t xml:space="preserve">9. Garra, A. (2026). Mitigating Emergent Collusion in LLM Pricing Agents. arXiv:2609.13037. </w:t>
      </w:r>
      <w:hyperlink r:id="rId21">
        <w:r>
          <w:rPr>
            <w:color w:val="1155CC"/>
            <w:u w:val="single"/>
          </w:rPr>
          <w:t xml:space="preserve">https://arxiv.org/abs/2609.13037</w:t>
        </w:r>
      </w:hyperlink>
    </w:p>
    <w:p>
      <w:pPr>
        <w:spacing w:after="40"/>
        <w:ind w:left="360"/>
      </w:pPr>
      <w:r>
        <w:rPr/>
        <w:t xml:space="preserve">10. Greenblatt, R., Shlegeris, B., Sachan, K., Roger, F. (2024). AI Control: Improving Safety Despite Intentional Subversion. ICML 2024; arXiv:2312.06942. </w:t>
      </w:r>
      <w:hyperlink r:id="rId22">
        <w:r>
          <w:rPr>
            <w:color w:val="1155CC"/>
            <w:u w:val="single"/>
          </w:rPr>
          <w:t xml:space="preserve">https://arxiv.org/abs/2312.06942</w:t>
        </w:r>
      </w:hyperlink>
    </w:p>
    <w:p>
      <w:pPr>
        <w:spacing w:after="40"/>
        <w:ind w:left="360"/>
      </w:pPr>
      <w:r>
        <w:rPr/>
        <w:t xml:space="preserve">11. Keppo, J., Li, Y., Tsoukalas, G., Yuan, N. (2026). On the Fragility of AI Agent Collusion. arXiv:2603.20281. </w:t>
      </w:r>
      <w:hyperlink r:id="rId23">
        <w:r>
          <w:rPr>
            <w:color w:val="1155CC"/>
            <w:u w:val="single"/>
          </w:rPr>
          <w:t xml:space="preserve">https://arxiv.org/abs/2603.20281</w:t>
        </w:r>
      </w:hyperlink>
    </w:p>
    <w:p>
      <w:pPr>
        <w:spacing w:after="40"/>
        <w:ind w:left="360"/>
      </w:pPr>
      <w:r>
        <w:rPr/>
        <w:t xml:space="preserve">12. Nakamura, M., et al. (2026). Colosseum: Auditing Collusion in Cooperative Multi-Agent Systems. arXiv:2602.15198. </w:t>
      </w:r>
      <w:hyperlink r:id="rId24">
        <w:r>
          <w:rPr>
            <w:color w:val="1155CC"/>
            <w:u w:val="single"/>
          </w:rPr>
          <w:t xml:space="preserve">https://arxiv.org/abs/2602.15198</w:t>
        </w:r>
      </w:hyperlink>
    </w:p>
    <w:p>
      <w:pPr>
        <w:spacing w:after="40"/>
        <w:ind w:left="360"/>
      </w:pPr>
      <w:r>
        <w:rPr/>
        <w:t xml:space="preserve">13. Radev, N., Haas, L., Arnav, B., Bernabeu-Pérez, P. (2026). The Best-Laid SCHEMEs: Coordinated Sabotage and Monitoring in Multi-Agent Systems. arXiv:2605.29178. </w:t>
      </w:r>
      <w:hyperlink r:id="rId25">
        <w:r>
          <w:rPr>
            <w:color w:val="1155CC"/>
            <w:u w:val="single"/>
          </w:rPr>
          <w:t xml:space="preserve">https://arxiv.org/abs/2605.29178</w:t>
        </w:r>
      </w:hyperlink>
    </w:p>
    <w:p>
      <w:pPr>
        <w:spacing w:after="40"/>
        <w:ind w:left="360"/>
      </w:pPr>
      <w:r>
        <w:rPr/>
        <w:t xml:space="preserve">14. Riedl, C. (2026). Emergent Coordination in Multi-Agent Language Models. ICLR 2026; arXiv:2510.05174. </w:t>
      </w:r>
      <w:hyperlink r:id="rId26">
        <w:r>
          <w:rPr>
            <w:color w:val="1155CC"/>
            <w:u w:val="single"/>
          </w:rPr>
          <w:t xml:space="preserve">https://arxiv.org/abs/2510.05174</w:t>
        </w:r>
      </w:hyperlink>
    </w:p>
    <w:p>
      <w:pPr>
        <w:spacing w:after="40"/>
        <w:ind w:left="360"/>
      </w:pPr>
      <w:r>
        <w:rPr/>
        <w:t xml:space="preserve">15. Tailor, O. (2025). Audit the Whisper: Detecting Steganographic Collusion in Multi-Agent LLMs. arXiv:2510.04303. </w:t>
      </w:r>
      <w:hyperlink r:id="rId27">
        <w:r>
          <w:rPr>
            <w:color w:val="1155CC"/>
            <w:u w:val="single"/>
          </w:rPr>
          <w:t xml:space="preserve">https://arxiv.org/abs/2510.04303</w:t>
        </w:r>
      </w:hyperlink>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28"/>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29"/>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assisted throughout: it wrote and tested the analysis and run tooling, ran the experiments under a pre-registered protocol, performed the statistical analysis, verified every citation against its primary source, and drafted this report. The author defined the goals, approved each design decision and budget, and reviewed and edited the text. All numbers were regenerated from the logged runs, and every claim was checked against the outputs in the accompanying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manunicholasjacob/llm-collusion-lever-costs" TargetMode="External"/><Relationship Id="rId11" Type="http://schemas.openxmlformats.org/officeDocument/2006/relationships/hyperlink" Target="https://doi.org/10.5281/zenodo.23622463" TargetMode="External"/><Relationship Id="rId12" Type="http://schemas.openxmlformats.org/officeDocument/2006/relationships/hyperlink" Target="https://github.com/andyjliu/llm-agent-collusion" TargetMode="External"/><Relationship Id="rId13" Type="http://schemas.openxmlformats.org/officeDocument/2006/relationships/hyperlink" Target="https://arxiv.org/abs/2507.01413" TargetMode="External"/><Relationship Id="rId14" Type="http://schemas.openxmlformats.org/officeDocument/2006/relationships/hyperlink" Target="https://icml.cc/virtual/2026/67865" TargetMode="External"/><Relationship Id="rId15" Type="http://schemas.openxmlformats.org/officeDocument/2006/relationships/hyperlink" Target="https://arxiv.org/abs/2504.10374" TargetMode="External"/><Relationship Id="rId16" Type="http://schemas.openxmlformats.org/officeDocument/2006/relationships/hyperlink" Target="https://proceedings.mlr.press/v180/bonjour22a.html" TargetMode="External"/><Relationship Id="rId17" Type="http://schemas.openxmlformats.org/officeDocument/2006/relationships/hyperlink" Target="https://arxiv.org/abs/2601.11369" TargetMode="External"/><Relationship Id="rId18" Type="http://schemas.openxmlformats.org/officeDocument/2006/relationships/hyperlink" Target="https://doi.org/10.1257/aer.20190623" TargetMode="External"/><Relationship Id="rId19" Type="http://schemas.openxmlformats.org/officeDocument/2006/relationships/hyperlink" Target="https://arxiv.org/abs/2511.21935" TargetMode="External"/><Relationship Id="rId20" Type="http://schemas.openxmlformats.org/officeDocument/2006/relationships/hyperlink" Target="https://arxiv.org/abs/2404.00806" TargetMode="External"/><Relationship Id="rId21" Type="http://schemas.openxmlformats.org/officeDocument/2006/relationships/hyperlink" Target="https://arxiv.org/abs/2609.13037" TargetMode="External"/><Relationship Id="rId22" Type="http://schemas.openxmlformats.org/officeDocument/2006/relationships/hyperlink" Target="https://arxiv.org/abs/2312.06942" TargetMode="External"/><Relationship Id="rId23" Type="http://schemas.openxmlformats.org/officeDocument/2006/relationships/hyperlink" Target="https://arxiv.org/abs/2603.20281" TargetMode="External"/><Relationship Id="rId24" Type="http://schemas.openxmlformats.org/officeDocument/2006/relationships/hyperlink" Target="https://arxiv.org/abs/2602.15198" TargetMode="External"/><Relationship Id="rId25" Type="http://schemas.openxmlformats.org/officeDocument/2006/relationships/hyperlink" Target="https://arxiv.org/abs/2605.29178" TargetMode="External"/><Relationship Id="rId26" Type="http://schemas.openxmlformats.org/officeDocument/2006/relationships/hyperlink" Target="https://arxiv.org/abs/2510.05174" TargetMode="External"/><Relationship Id="rId27" Type="http://schemas.openxmlformats.org/officeDocument/2006/relationships/hyperlink" Target="https://arxiv.org/abs/2510.04303" TargetMode="External"/><Relationship Id="rId28" Type="http://schemas.openxmlformats.org/officeDocument/2006/relationships/image" Target="media/image3.png"/><Relationship Id="rId2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2026-10-24T16:39:12Z</dcterms:modified>
  <dc:creator>Manu Nicholas Jacob</dc:creator>
  <dc:description/>
</cp:coreProperties>
</file>