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sz w:val="21"/>
                      <w:rtl w:val="0"/>
                    </w:rPr>
                    <w:t>The question behind this study is straightforward: which intervention can reduce collusion between LLM pricing agents at the lowest cost to the market? Previous work has mainly compared interventions by how much collusion they prevent, without measuring what those interventions cost when there is no collusion to prevent. We use the continuous double auction from Agrawal et al. (2025) to investigate this trade-off. First, we audited the authors’ public runs and found that the LLM monitor triggered in 20 of 20 oversight runs, within seven rounds, restricting sellers to five-character messages for 77 to 97% of each run. In practice, this makes oversight behave more like a delayed communication ban than light-touch monitoring. We then compared seven interventions in a pre-registered study with 25 runs each, using Llama-3.3-70B sellers. Neither Llama-3.3-70B nor GPT-4.1-mini sellers colluded when communication was allowed, meaning there was no collusion for the interventions to reduce. Instead, we measured their costs in a non-colluding market. The monitor punished innocent markets in up to 48% of runs, the monitoring notice reduced buyer welfare by 22%, and banning communication cost 13% of trades. In contrast, adding one no-regret competitor increased buyer welfare by 26%. A further 75 pre-registered runs confirmed both welfare effects, although the notice’s effect on trade volume did not replicate. These findings show why the costs of false positives must be measured alongside the benefits of anti-collusion interventions.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pricing agents can sustain supracompetitive prices, both with and without direct communication (Fish et al., 2024; Agrawal et al., 2025). This creates a practical problem for platforms and regulators: how should they intervene? They could ban communication, introduce an automated monitor, warn agents that they are being monitored, or change the market by introducing a different type of competitor. In practice, the preferred option will depend not only on whether it reduces collusion, but also on what it costs.</w:t>
      </w:r>
    </w:p>
    <w:p>
      <w:pPr>
        <w:spacing w:after="80"/>
      </w:pPr>
      <w:r>
        <w:rPr/>
        <w:t>Existing studies have compared interventions based on their ability to reduce collusion (Agrawal et al., 2025; Bracale Syrnikov et al., 2026; Garra, 2026; Anto and Vazquez, 2026). However, an important question remains unanswered: what happens when an intervention is applied to a market that is not colluding in the first place? A monitor can flag legitimate behaviour, a warning can change how agents make decisions, and a communication ban can prevent sellers from coordinating on prices that allow trades to happen. These costs matter just as much when evaluating whether an intervention is worthwhile.</w:t>
      </w:r>
    </w:p>
    <w:p>
      <w:pPr>
        <w:spacing w:after="80"/>
      </w:pPr>
      <w:r>
        <w:rPr/>
        <w:t>This problem also connects to AI control, where monitoring systems are evaluated in terms of false positives, auditing budgets, and the usefulness they sacrifice to maintain oversight (Greenblatt et al., 2024; Bhatt et al., 2025). Anti-collusion interventions should be evaluated using the same principle.</w:t>
      </w:r>
    </w:p>
    <w:p>
      <w:pPr>
        <w:spacing w:after="80"/>
      </w:pPr>
      <w:r>
        <w:rPr/>
        <w:t>This study makes four contributions:</w:t>
      </w:r>
    </w:p>
    <w:p>
      <w:pPr>
        <w:spacing w:after="40"/>
        <w:ind w:left="360"/>
      </w:pPr>
      <w:r>
        <w:rPr/>
        <w:t>1. We audit the reference oversight mechanism and find that it triggered in 20/20 public runs, removing about 90% of seller message text. This makes it closer to a delayed communication ban than ordinary monitoring.</w:t>
      </w:r>
    </w:p>
    <w:p>
      <w:pPr>
        <w:spacing w:after="40"/>
        <w:ind w:left="360"/>
      </w:pPr>
      <w:r>
        <w:rPr/>
        <w:t>2. We conduct a pre-registered comparison of seven interventions (n=25 each), separating a monitoring warning from enforcement, varying the monitoring budget, and testing a no-regret competitor.</w:t>
      </w:r>
    </w:p>
    <w:p>
      <w:pPr>
        <w:spacing w:after="40"/>
        <w:ind w:left="360"/>
      </w:pPr>
      <w:r>
        <w:rPr/>
        <w:t>3. We measure the costs of these interventions in non-colluding markets and find that warnings can harm buyers and monitors misfire on innocent markets, while a no-regret competitor improves buyer welfare. Both welfare effects hold in fresh, pre-registered runs.</w:t>
      </w:r>
    </w:p>
    <w:p>
      <w:pPr>
        <w:spacing w:after="40"/>
        <w:ind w:left="360"/>
      </w:pPr>
      <w:r>
        <w:rPr/>
        <w:t>4. We evaluate information-theoretic detection and LLM-based coordination judging, finding important limitations in what each measure captures.</w:t>
      </w:r>
    </w:p>
    <w:p>
      <w:pPr>
        <w:pStyle w:val="Heading2"/>
      </w:pPr>
      <w:r>
        <w:t>2. Related Work</w:t>
      </w:r>
    </w:p>
    <w:p>
      <w:pPr>
        <w:spacing w:after="80"/>
      </w:pPr>
      <w:r>
        <w:rPr>
          <w:b/>
        </w:rPr>
        <w:t>LLM collusion.</w:t>
      </w:r>
      <w:r>
        <w:rPr/>
        <w:t xml:space="preserve"> Research has shown that LLM pricing agents can produce supracompetitive prices even without direct communication, with small changes to prompts sometimes producing substantial behavioural differences (Fish et al., 2024). In continuous double auctions, seller communication can increase collusion, while oversight and urgency can change agent behaviour (Agrawal et al., 2025). However, the oversight mechanism in that work combines a warning with an LLM monitor that restricts messages. Other work finds that agent heterogeneity can weaken collusion (Keppo et al., 2026), while reinforcement-learning pricing agents can collude without communication (Calvano et al., 2020). More recent studies examine governance mechanisms, prompt-based warnings, and different forms of oversight, with results varying across interventions and models (Bracale Syrnikov et al., 2026; Garra, 2026; Anto and Vazquez, 2026). Collina et al. (2025) also show theoretically how a single participant using a no-regret strategy can destabilise algorithmic collusion.</w:t>
      </w:r>
    </w:p>
    <w:p>
      <w:pPr>
        <w:spacing w:after="80"/>
      </w:pPr>
      <w:r>
        <w:rPr>
          <w:b/>
        </w:rPr>
        <w:t>Interventions.</w:t>
      </w:r>
      <w:r>
        <w:rPr/>
        <w:t xml:space="preserve"> Existing work explores interventions ranging from governance structures to changes in agent behaviour. A warning that a monitor is present can reduce coordinated sabotage in non-market settings (Radev et al., 2026). However, these results do not establish what such interventions cost when applied to a market that is already behaving competitively.</w:t>
      </w:r>
    </w:p>
    <w:p>
      <w:pPr>
        <w:spacing w:after="80"/>
      </w:pPr>
      <w:r>
        <w:rPr>
          <w:b/>
        </w:rPr>
        <w:t>Monitoring and detection.</w:t>
      </w:r>
      <w:r>
        <w:rPr/>
        <w:t xml:space="preserve"> AI-control research highlights the importance of monitoring budgets, false-positive rates, and the usefulness sacrificed to maintain oversight (Greenblatt et al., 2024; Bhatt et al., 2025). For collusion detection, Bonjour et al. (2022) propose pairwise net influence for small multi-agent games. LLM-specific approaches have since explored cross-run mutual information (Tailor, 2025) and partial information decomposition (Riedl, 2026). Nakamura et al. (2026) further examine cases where agents agree to collude in text but do not follow through in their actions. Despite this progress, existing work has not measured the costs of anti-collusion interventions or separated the effect of a warning from that of the monitor enforcing it.</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 All agents use the harness's prompt templates unchanged (the notice arm shows the template's own oversight warning) at temperature 0.7. The harness sets no random seed, so every run is an independent sample, and we report run-to-run variation through bootstrap intervals.</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of Llama-3.3-70B, 3 plus 3 of GPT-4.1-mini)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0.42 to 0.49 index units at 80% power (one-sided), larger than the communication ban's own effect (0.28); 25 runs per arm detects 0.26 to 0.30.</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n=3 each).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[-13.7, +3.0]</w:t>
            </w:r>
          </w:p>
        </w:tc>
        <w:tc>
          <w:tcPr>
            <w:tcW w:type="dxa" w:w="2340"/>
          </w:tcPr>
          <w:p>
            <w:r/>
            <w:r>
              <w:rPr>
                <w:sz w:val="17"/>
              </w:rPr>
              <w:t>-0.3 [-4.2, +3.7]</w:t>
            </w:r>
          </w:p>
        </w:tc>
        <w:tc>
          <w:tcPr>
            <w:tcW w:type="dxa" w:w="2340"/>
          </w:tcPr>
          <w:p>
            <w:r/>
            <w:r>
              <w:rPr>
                <w:sz w:val="17"/>
              </w:rPr>
              <w:t>-$97 [-224, +18]</w:t>
            </w:r>
          </w:p>
        </w:tc>
      </w:tr>
      <w:tr>
        <w:tc>
          <w:tcPr>
            <w:tcW w:type="dxa" w:w="2340"/>
          </w:tcPr>
          <w:p>
            <w:r/>
            <w:r>
              <w:rPr>
                <w:sz w:val="17"/>
              </w:rPr>
              <w:t>Full oversight</w:t>
            </w:r>
          </w:p>
        </w:tc>
        <w:tc>
          <w:tcPr>
            <w:tcW w:type="dxa" w:w="2340"/>
          </w:tcPr>
          <w:p>
            <w:r/>
            <w:r>
              <w:rPr>
                <w:sz w:val="17"/>
              </w:rPr>
              <w:t>-10.1 [-20.8, +0.5]</w:t>
            </w:r>
          </w:p>
        </w:tc>
        <w:tc>
          <w:tcPr>
            <w:tcW w:type="dxa" w:w="2340"/>
          </w:tcPr>
          <w:p>
            <w:r/>
            <w:r>
              <w:rPr>
                <w:sz w:val="17"/>
              </w:rPr>
              <w:t>-4.8 [-8.4, -1.1], Holm p=0.022</w:t>
            </w:r>
          </w:p>
        </w:tc>
        <w:tc>
          <w:tcPr>
            <w:tcW w:type="dxa" w:w="2340"/>
          </w:tcPr>
          <w:p>
            <w:r/>
            <w:r>
              <w:rPr>
                <w:sz w:val="17"/>
              </w:rPr>
              <w:t>-$59 [-211, +85]</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+104]</w:t>
            </w:r>
          </w:p>
        </w:tc>
      </w:tr>
    </w:tbl>
    <w:p>
      <w:pPr>
        <w:spacing w:after="40"/>
      </w:pPr>
    </w:p>
    <w:p>
      <w:pPr>
        <w:spacing w:after="80"/>
      </w:pPr>
      <w:r>
        <w:rPr/>
        <w:t>The results suggest that the warning itself causes most of the harm, rather than the monitor. Markets exposed to the notice experienced lower buyer welfare, and the notice alone also reduced the number of trades. By contrast, the monitor without the warning had no detectable effect. Warned sellers changed how they communicated, with 28% of their messages mentioning monitoring or regulation, compared with 3% without the notice, and they maintained slightly higher asks. Banning communication also came at a cost: sellers appeared to use messages to converge on prices that allowed trades to happen. Of the interventions tested, only the no-regret competitor helped buyers, lowering the mean trade price by $1.41. Although the notice’s effect on trade volume was also supported by a rank test (median 60 versus 82 trades, Mann-Whitney p=0.005), this result did not hold in the replication.</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replication supports the main welfare findings, even though the precise way the warning affected the market changed between samples. Buyer welfare under the notice remained similar across the two samples, at 19.7 and 19.1, while the no-regret competitor produced welfare of 32.0 and 32.8. The communication baseline differed between samples (25.3 and 22.8), suggesting that the original trade-volume reduction was partly influenced by an unusually busy baseline. In the replication, the warning hurt buyers through higher prices rather than fewer trades, with mean trade prices of $91.88 versus $90.49. Warned sellers again discussed monitoring and regulation more often (17% versus 8% of messages). Taken together, the findings suggest that warnings can reduce buyer welfare even when their specific effects vary, while a single no-regret competitor consistently improves buyer outcomes.</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10 of 10 runs (mean within-run rho -0.52, sign test p=0.002);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main takeaway is that an intervention cannot be judged by how well it works against collusion alone. Its costs depend on the market it is applied to. In the gpt-4.1 data, where sellers colluded weakly, oversight effectively acted as a communication ban and increased buyer welfare (27.2 versus 19.8 per round). In the Llama markets, where sellers did not collude, the warning attached to oversight reduced buyer welfare by 16 to 22%, and the monitor triggered falsely in up to half of runs. The same intervention can therefore help in one setting and cause harm in another.</w:t>
      </w:r>
    </w:p>
    <w:p>
      <w:pPr>
        <w:spacing w:after="80"/>
      </w:pPr>
      <w:r>
        <w:rPr/>
        <w:t>For platforms and regulators, this means that measuring false-positive costs should be part of evaluating any anti-collusion intervention. A monitor that fires easily and imposes a permanent penalty can spend much of its usefulness budget restricting legitimate behaviour. Even the warning that announces monitoring can change seller behaviour and harm buyers even when no monitor is present. Among the options tested here, a no-regret competitor appears more attractive than additional enforcement: it requires neither communication restrictions nor monitoring and improves buyer outcomes. The goal should not be to abandon oversight, but to measure its costs and calibrate it to the behaviour it is intended to prevent.</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Future work should test these interventions in a model that colludes reliably, allowing their benefits and costs to be measured in the same setting. Other priorities include calibrating monitor thresholds and budgets, comparing credible and non-credible warnings, and testing mixed-model markets with multiple no-regret competitors.</w:t>
      </w:r>
    </w:p>
    <w:p>
      <w:pPr>
        <w:pStyle w:val="Heading2"/>
      </w:pPr>
      <w:r>
        <w:t>6. Conclusion</w:t>
      </w:r>
    </w:p>
    <w:p>
      <w:pPr>
        <w:spacing w:after="80"/>
      </w:pPr>
      <w:r>
        <w:rPr/>
        <w:t>Anti-collusion interventions in LLM markets should be evaluated by their costs as well as their effectiveness. In the reference environment, oversight behaved like a delayed communication ban. In markets that did not collude, monitors produced false positives, warnings reduced buyer welfare, and communication bans cost liquidity. A single no-regret competitor improved buyer welfare, and both welfare effects held in a pre-registered replication. Measuring these false-positive costs should be a standard part of evaluating interventions against AI collusion.</w:t>
      </w:r>
    </w:p>
    <w:p>
      <w:pPr>
        <w:pStyle w:val="Heading2"/>
      </w:pPr>
      <w:r>
        <w:t>Code and Data</w:t>
      </w:r>
    </w:p>
    <w:p>
      <w:pPr>
        <w:spacing w:after="40"/>
        <w:ind w:left="360"/>
      </w:pPr>
      <w:r>
        <w:rPr/>
        <w:t xml:space="preserve">• Code and data: </w:t>
      </w:r>
      <w:hyperlink r:id="rId10">
        <w:r>
          <w:rPr>
            <w:color w:val="1155CC"/>
            <w:u w:val="single"/>
          </w:rPr>
          <w:t xml:space="preserve">https://github.com/manunicholasjacob/llm-collusion-lever-costs</w:t>
        </w:r>
      </w:hyperlink>
      <w:r>
        <w:rPr/>
        <w:t xml:space="preserve">, archived at </w:t>
      </w:r>
      <w:hyperlink r:id="rId11">
        <w:r>
          <w:rPr>
            <w:color w:val="1155CC"/>
            <w:u w:val="single"/>
          </w:rPr>
          <w:t xml:space="preserve">https://doi.org/10.5281/zenodo.23622463</w:t>
        </w:r>
      </w:hyperlink>
      <w:r>
        <w:rPr/>
        <w:t>. It holds the analysis code, our harness changes as a patch against the original repository, all 268 sprint runs (market logs and monitor scores; per-agent transcripts on request), the timestamped protocol, and a script that recomputes this report's numbers from the runs.</w:t>
      </w:r>
    </w:p>
    <w:p>
      <w:pPr>
        <w:spacing w:after="40"/>
        <w:ind w:left="360"/>
      </w:pPr>
      <w:r>
        <w:rPr/>
        <w:t>• Original runs and harness: Agrawal et al.'s public repository (</w:t>
      </w:r>
      <w:hyperlink r:id="rId12">
        <w:r>
          <w:rPr>
            <w:color w:val="1155CC"/>
            <w:u w:val="single"/>
          </w:rPr>
          <w:t xml:space="preserve">https://github.com/andyjliu/llm-agent-collusion</w:t>
        </w:r>
      </w:hyperlink>
      <w:r>
        <w:rPr/>
        <w:t>), which is not redistributed.</w:t>
      </w:r>
    </w:p>
    <w:p>
      <w:pPr>
        <w:spacing w:after="40"/>
        <w:ind w:left="360"/>
      </w:pPr>
      <w:r>
        <w:rPr/>
        <w:t>• Pre-sprint work (disclosed): analysis tooling and harness flags were built on 22 October 2026, before the sprint; all new runs and analyses were done during the sprint. The repository's DISCLOSURE.md separates the two, and every step is timestamped in the protocol file.</w:t>
      </w:r>
    </w:p>
    <w:p>
      <w:pPr>
        <w:pStyle w:val="Heading2"/>
      </w:pPr>
      <w:r>
        <w:t>Author Contributions</w:t>
      </w:r>
    </w:p>
    <w:p>
      <w:pPr>
        <w:spacing w:after="80"/>
      </w:pPr>
      <w:r>
        <w:rPr/>
        <w:t>M.N.J. selected the study and sprint questions, made the go/no-go and budget decisions at each stage, wrote the abstract, introduction, related work, results interpretation paragraphs, discussion, and conclusion, and reviewed the full manuscript. Claude wrote the analysis and experiment code, ran the experiments, conducted the statistical analysis, and drafted the Methods, Results, and appendices.</w:t>
      </w:r>
    </w:p>
    <w:p>
      <w:pPr>
        <w:pStyle w:val="Heading2"/>
      </w:pPr>
      <w:r>
        <w:t>References</w:t>
      </w:r>
    </w:p>
    <w:p>
      <w:pPr>
        <w:spacing w:after="40"/>
        <w:ind w:left="360"/>
      </w:pPr>
      <w:r>
        <w:rPr/>
        <w:t xml:space="preserve">1. Agrawal, K., Teo, V., Vazquez, J. J., Kunnavakkam, S., Srikanth, V., Liu, A. (2025). Evaluating LLM Agent Collusion in Double Auctions. arXiv:2507.01413. </w:t>
      </w:r>
      <w:hyperlink r:id="rId13">
        <w:r>
          <w:rPr>
            <w:color w:val="1155CC"/>
            <w:u w:val="single"/>
          </w:rPr>
          <w:t xml:space="preserve">https://arxiv.org/abs/2507.01413</w:t>
        </w:r>
      </w:hyperlink>
    </w:p>
    <w:p>
      <w:pPr>
        <w:spacing w:after="40"/>
        <w:ind w:left="360"/>
      </w:pPr>
      <w:r>
        <w:rPr/>
        <w:t xml:space="preserve">2. Anto, M., Vazquez, J. (2026). Oversight is Not Compliance: Tacit Collusion in LLM Pricing Agents Under Antitrust Regulation. ICML 2026 Workshop on Agents in the Wild. </w:t>
      </w:r>
      <w:hyperlink r:id="rId14">
        <w:r>
          <w:rPr>
            <w:color w:val="1155CC"/>
            <w:u w:val="single"/>
          </w:rPr>
          <w:t xml:space="preserve">https://icml.cc/virtual/2026/67865</w:t>
        </w:r>
      </w:hyperlink>
    </w:p>
    <w:p>
      <w:pPr>
        <w:spacing w:after="40"/>
        <w:ind w:left="360"/>
      </w:pPr>
      <w:r>
        <w:rPr/>
        <w:t xml:space="preserve">3. Bhatt, A., et al. (2025). Ctrl-Z: Controlling AI Agents via Resampling. arXiv:2504.10374. </w:t>
      </w:r>
      <w:hyperlink r:id="rId15">
        <w:r>
          <w:rPr>
            <w:color w:val="1155CC"/>
            <w:u w:val="single"/>
          </w:rPr>
          <w:t xml:space="preserve">https://arxiv.org/abs/2504.10374</w:t>
        </w:r>
      </w:hyperlink>
    </w:p>
    <w:p>
      <w:pPr>
        <w:spacing w:after="40"/>
        <w:ind w:left="360"/>
      </w:pPr>
      <w:r>
        <w:rPr/>
        <w:t xml:space="preserve">4. Bonjour, T., Aggarwal, V., Bhargava, B. (2022). Information Theoretic Approach to Detect Collusion in Multi-Agent Games. UAI 2022, PMLR 180:223-232. </w:t>
      </w:r>
      <w:hyperlink r:id="rId16">
        <w:r>
          <w:rPr>
            <w:color w:val="1155CC"/>
            <w:u w:val="single"/>
          </w:rPr>
          <w:t xml:space="preserve">https://proceedings.mlr.press/v180/bonjour22a.html</w:t>
        </w:r>
      </w:hyperlink>
    </w:p>
    <w:p>
      <w:pPr>
        <w:spacing w:after="40"/>
        <w:ind w:left="360"/>
      </w:pPr>
      <w:r>
        <w:rPr/>
        <w:t xml:space="preserve">5. Bracale Syrnikov, M., et al. (2026). Institutional AI: Governing LLM Collusion in Multi-Agent Cournot Markets via Public Governance Graphs. arXiv:2601.11369. </w:t>
      </w:r>
      <w:hyperlink r:id="rId17">
        <w:r>
          <w:rPr>
            <w:color w:val="1155CC"/>
            <w:u w:val="single"/>
          </w:rPr>
          <w:t xml:space="preserve">https://arxiv.org/abs/2601.11369</w:t>
        </w:r>
      </w:hyperlink>
    </w:p>
    <w:p>
      <w:pPr>
        <w:spacing w:after="40"/>
        <w:ind w:left="360"/>
      </w:pPr>
      <w:r>
        <w:rPr/>
        <w:t xml:space="preserve">6. Calvano, E., Calzolari, G., Denicolò, V., Pastorello, S. (2020). Artificial Intelligence, Algorithmic Pricing, and Collusion. American Economic Review 110(10):3267-3297. </w:t>
      </w:r>
      <w:hyperlink r:id="rId18">
        <w:r>
          <w:rPr>
            <w:color w:val="1155CC"/>
            <w:u w:val="single"/>
          </w:rPr>
          <w:t xml:space="preserve">https://doi.org/10.1257/aer.20190623</w:t>
        </w:r>
      </w:hyperlink>
    </w:p>
    <w:p>
      <w:pPr>
        <w:spacing w:after="40"/>
        <w:ind w:left="360"/>
      </w:pPr>
      <w:r>
        <w:rPr/>
        <w:t xml:space="preserve">7. Collina, N., Arunachaleswaran, E. R., Jagadeesan, M. (2025). Breaking Algorithmic Collusion in Human-AI Ecosystems. arXiv:2511.21935. </w:t>
      </w:r>
      <w:hyperlink r:id="rId19">
        <w:r>
          <w:rPr>
            <w:color w:val="1155CC"/>
            <w:u w:val="single"/>
          </w:rPr>
          <w:t xml:space="preserve">https://arxiv.org/abs/2511.21935</w:t>
        </w:r>
      </w:hyperlink>
    </w:p>
    <w:p>
      <w:pPr>
        <w:spacing w:after="40"/>
        <w:ind w:left="360"/>
      </w:pPr>
      <w:r>
        <w:rPr/>
        <w:t xml:space="preserve">8. Fish, S., Gonczarowski, Y. A., Shorrer, R. I. (2024). Algorithmic Collusion by Large Language Models. arXiv:2404.00806. </w:t>
      </w:r>
      <w:hyperlink r:id="rId20">
        <w:r>
          <w:rPr>
            <w:color w:val="1155CC"/>
            <w:u w:val="single"/>
          </w:rPr>
          <w:t xml:space="preserve">https://arxiv.org/abs/2404.00806</w:t>
        </w:r>
      </w:hyperlink>
    </w:p>
    <w:p>
      <w:pPr>
        <w:spacing w:after="40"/>
        <w:ind w:left="360"/>
      </w:pPr>
      <w:r>
        <w:rPr/>
        <w:t xml:space="preserve">9. Garra, A. (2026). Mitigating Emergent Collusion in LLM Pricing Agents. arXiv:2609.13037. </w:t>
      </w:r>
      <w:hyperlink r:id="rId21">
        <w:r>
          <w:rPr>
            <w:color w:val="1155CC"/>
            <w:u w:val="single"/>
          </w:rPr>
          <w:t xml:space="preserve">https://arxiv.org/abs/2609.13037</w:t>
        </w:r>
      </w:hyperlink>
    </w:p>
    <w:p>
      <w:pPr>
        <w:spacing w:after="40"/>
        <w:ind w:left="360"/>
      </w:pPr>
      <w:r>
        <w:rPr/>
        <w:t xml:space="preserve">10. Greenblatt, R., Shlegeris, B., Sachan, K., Roger, F. (2024). AI Control: Improving Safety Despite Intentional Subversion. ICML 2024; arXiv:2312.06942. </w:t>
      </w:r>
      <w:hyperlink r:id="rId22">
        <w:r>
          <w:rPr>
            <w:color w:val="1155CC"/>
            <w:u w:val="single"/>
          </w:rPr>
          <w:t xml:space="preserve">https://arxiv.org/abs/2312.06942</w:t>
        </w:r>
      </w:hyperlink>
    </w:p>
    <w:p>
      <w:pPr>
        <w:spacing w:after="40"/>
        <w:ind w:left="360"/>
      </w:pPr>
      <w:r>
        <w:rPr/>
        <w:t xml:space="preserve">11. Keppo, J., Li, Y., Tsoukalas, G., Yuan, N. (2026). On the Fragility of AI Agent Collusion. arXiv:2603.20281. </w:t>
      </w:r>
      <w:hyperlink r:id="rId23">
        <w:r>
          <w:rPr>
            <w:color w:val="1155CC"/>
            <w:u w:val="single"/>
          </w:rPr>
          <w:t xml:space="preserve">https://arxiv.org/abs/2603.20281</w:t>
        </w:r>
      </w:hyperlink>
    </w:p>
    <w:p>
      <w:pPr>
        <w:spacing w:after="40"/>
        <w:ind w:left="360"/>
      </w:pPr>
      <w:r>
        <w:rPr/>
        <w:t xml:space="preserve">12. Nakamura, M., et al. (2026). Colosseum: Auditing Collusion in Cooperative Multi-Agent Systems. arXiv:2602.15198. </w:t>
      </w:r>
      <w:hyperlink r:id="rId24">
        <w:r>
          <w:rPr>
            <w:color w:val="1155CC"/>
            <w:u w:val="single"/>
          </w:rPr>
          <w:t xml:space="preserve">https://arxiv.org/abs/2602.15198</w:t>
        </w:r>
      </w:hyperlink>
    </w:p>
    <w:p>
      <w:pPr>
        <w:spacing w:after="40"/>
        <w:ind w:left="360"/>
      </w:pPr>
      <w:r>
        <w:rPr/>
        <w:t xml:space="preserve">13. Radev, N., Haas, L., Arnav, B., Bernabeu-Pérez, P. (2026). The Best-Laid SCHEMEs: Coordinated Sabotage and Monitoring in Multi-Agent Systems. arXiv:2605.29178. </w:t>
      </w:r>
      <w:hyperlink r:id="rId25">
        <w:r>
          <w:rPr>
            <w:color w:val="1155CC"/>
            <w:u w:val="single"/>
          </w:rPr>
          <w:t xml:space="preserve">https://arxiv.org/abs/2605.29178</w:t>
        </w:r>
      </w:hyperlink>
    </w:p>
    <w:p>
      <w:pPr>
        <w:spacing w:after="40"/>
        <w:ind w:left="360"/>
      </w:pPr>
      <w:r>
        <w:rPr/>
        <w:t xml:space="preserve">14. Riedl, C. (2026). Emergent Coordination in Multi-Agent Language Models. ICLR 2026; arXiv:2510.05174. </w:t>
      </w:r>
      <w:hyperlink r:id="rId26">
        <w:r>
          <w:rPr>
            <w:color w:val="1155CC"/>
            <w:u w:val="single"/>
          </w:rPr>
          <w:t xml:space="preserve">https://arxiv.org/abs/2510.05174</w:t>
        </w:r>
      </w:hyperlink>
    </w:p>
    <w:p>
      <w:pPr>
        <w:spacing w:after="40"/>
        <w:ind w:left="360"/>
      </w:pPr>
      <w:r>
        <w:rPr/>
        <w:t xml:space="preserve">15. Tailor, O. (2025). Audit the Whisper: Detecting Steganographic Collusion in Multi-Agent LLMs. arXiv:2510.04303. </w:t>
      </w:r>
      <w:hyperlink r:id="rId27">
        <w:r>
          <w:rPr>
            <w:color w:val="1155CC"/>
            <w:u w:val="single"/>
          </w:rPr>
          <w:t xml:space="preserve">https://arxiv.org/abs/2510.04303</w:t>
        </w:r>
      </w:hyperlink>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28"/>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29"/>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was used to write and test the analysis and experiment tooling, run experiments under the pre-registered protocol, conduct statistical analyses, check citations against their sources, and draft the Methods, Results, and appendices. M.N.J. wrote the abstract, introduction, related work, results interpretation paragraphs, discussion, and conclusion. All numerical results were regenerated from the logged runs and checked by script against the outputs in the public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manunicholasjacob/llm-collusion-lever-costs" TargetMode="External"/><Relationship Id="rId11" Type="http://schemas.openxmlformats.org/officeDocument/2006/relationships/hyperlink" Target="https://doi.org/10.5281/zenodo.23622463" TargetMode="External"/><Relationship Id="rId12" Type="http://schemas.openxmlformats.org/officeDocument/2006/relationships/hyperlink" Target="https://github.com/andyjliu/llm-agent-collusion" TargetMode="External"/><Relationship Id="rId13" Type="http://schemas.openxmlformats.org/officeDocument/2006/relationships/hyperlink" Target="https://arxiv.org/abs/2507.01413" TargetMode="External"/><Relationship Id="rId14" Type="http://schemas.openxmlformats.org/officeDocument/2006/relationships/hyperlink" Target="https://icml.cc/virtual/2026/67865" TargetMode="External"/><Relationship Id="rId15" Type="http://schemas.openxmlformats.org/officeDocument/2006/relationships/hyperlink" Target="https://arxiv.org/abs/2504.10374" TargetMode="External"/><Relationship Id="rId16" Type="http://schemas.openxmlformats.org/officeDocument/2006/relationships/hyperlink" Target="https://proceedings.mlr.press/v180/bonjour22a.html" TargetMode="External"/><Relationship Id="rId17" Type="http://schemas.openxmlformats.org/officeDocument/2006/relationships/hyperlink" Target="https://arxiv.org/abs/2601.11369" TargetMode="External"/><Relationship Id="rId18" Type="http://schemas.openxmlformats.org/officeDocument/2006/relationships/hyperlink" Target="https://doi.org/10.1257/aer.20190623" TargetMode="External"/><Relationship Id="rId19" Type="http://schemas.openxmlformats.org/officeDocument/2006/relationships/hyperlink" Target="https://arxiv.org/abs/2511.21935" TargetMode="External"/><Relationship Id="rId20" Type="http://schemas.openxmlformats.org/officeDocument/2006/relationships/hyperlink" Target="https://arxiv.org/abs/2404.00806" TargetMode="External"/><Relationship Id="rId21" Type="http://schemas.openxmlformats.org/officeDocument/2006/relationships/hyperlink" Target="https://arxiv.org/abs/2609.13037" TargetMode="External"/><Relationship Id="rId22" Type="http://schemas.openxmlformats.org/officeDocument/2006/relationships/hyperlink" Target="https://arxiv.org/abs/2312.06942" TargetMode="External"/><Relationship Id="rId23" Type="http://schemas.openxmlformats.org/officeDocument/2006/relationships/hyperlink" Target="https://arxiv.org/abs/2603.20281" TargetMode="External"/><Relationship Id="rId24" Type="http://schemas.openxmlformats.org/officeDocument/2006/relationships/hyperlink" Target="https://arxiv.org/abs/2602.15198" TargetMode="External"/><Relationship Id="rId25" Type="http://schemas.openxmlformats.org/officeDocument/2006/relationships/hyperlink" Target="https://arxiv.org/abs/2605.29178" TargetMode="External"/><Relationship Id="rId26" Type="http://schemas.openxmlformats.org/officeDocument/2006/relationships/hyperlink" Target="https://arxiv.org/abs/2510.05174" TargetMode="External"/><Relationship Id="rId27" Type="http://schemas.openxmlformats.org/officeDocument/2006/relationships/hyperlink" Target="https://arxiv.org/abs/2510.04303" TargetMode="External"/><Relationship Id="rId28" Type="http://schemas.openxmlformats.org/officeDocument/2006/relationships/image" Target="media/image3.png"/><Relationship Id="rId2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2026-10-24T18:18:35Z</dcterms:modified>
  <dc:creator>Manu Nicholas Jacob</dc:creator>
  <dc:description/>
</cp:coreProperties>
</file>