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pPr w:leftFromText="180" w:rightFromText="180" w:vertAnchor="text" w:horzAnchor="margin" w:tblpXSpec="center" w:tblpY="-389"/>
        <w:tblW w:w="10348" w:type="dxa"/>
        <w:tblLook w:val="04A0" w:firstRow="1" w:lastRow="0" w:firstColumn="1" w:lastColumn="0" w:noHBand="0" w:noVBand="1"/>
      </w:tblPr>
      <w:tblGrid>
        <w:gridCol w:w="3581"/>
        <w:gridCol w:w="3196"/>
        <w:gridCol w:w="3571"/>
      </w:tblGrid>
      <w:tr w:rsidR="009F5B31" w:rsidRPr="00D846BE" w14:paraId="4DDAD5FB" w14:textId="77777777" w:rsidTr="009F5B31">
        <w:trPr>
          <w:trHeight w:val="710"/>
        </w:trPr>
        <w:tc>
          <w:tcPr>
            <w:tcW w:w="3581" w:type="dxa"/>
          </w:tcPr>
          <w:p w14:paraId="7A58730D" w14:textId="77777777" w:rsidR="009F5B31" w:rsidRDefault="009F5B31" w:rsidP="009F5B31">
            <w:pPr>
              <w:rPr>
                <w:rFonts w:ascii="Times New Roman" w:hAnsi="Times New Roman" w:cs="Times New Roman"/>
                <w:b/>
                <w:sz w:val="24"/>
                <w:szCs w:val="24"/>
              </w:rPr>
            </w:pPr>
          </w:p>
          <w:p w14:paraId="2E42B5F5" w14:textId="77777777" w:rsidR="009F5B31" w:rsidRPr="00D846BE" w:rsidRDefault="009F5B31" w:rsidP="009F5B31">
            <w:pPr>
              <w:rPr>
                <w:rFonts w:ascii="Times New Roman" w:hAnsi="Times New Roman" w:cs="Times New Roman"/>
                <w:b/>
                <w:sz w:val="24"/>
                <w:szCs w:val="24"/>
              </w:rPr>
            </w:pPr>
            <w:r w:rsidRPr="00D846BE">
              <w:rPr>
                <w:rFonts w:ascii="Times New Roman" w:hAnsi="Times New Roman" w:cs="Times New Roman"/>
                <w:b/>
                <w:sz w:val="24"/>
                <w:szCs w:val="24"/>
              </w:rPr>
              <w:t>Student Name with USN’s</w:t>
            </w:r>
          </w:p>
        </w:tc>
        <w:tc>
          <w:tcPr>
            <w:tcW w:w="3196" w:type="dxa"/>
          </w:tcPr>
          <w:p w14:paraId="504B31C6" w14:textId="77777777" w:rsidR="009F5B31" w:rsidRDefault="009F5B31" w:rsidP="009F5B31">
            <w:pPr>
              <w:rPr>
                <w:rFonts w:ascii="Times New Roman" w:hAnsi="Times New Roman" w:cs="Times New Roman"/>
                <w:sz w:val="24"/>
                <w:szCs w:val="24"/>
              </w:rPr>
            </w:pPr>
          </w:p>
          <w:p w14:paraId="6FC1547D" w14:textId="77777777" w:rsidR="009F5B31" w:rsidRPr="0028190A" w:rsidRDefault="009F5B31" w:rsidP="009F5B31">
            <w:pPr>
              <w:rPr>
                <w:rFonts w:ascii="Times New Roman" w:hAnsi="Times New Roman" w:cs="Times New Roman"/>
                <w:sz w:val="24"/>
                <w:szCs w:val="24"/>
              </w:rPr>
            </w:pPr>
            <w:r>
              <w:rPr>
                <w:rFonts w:ascii="Times New Roman" w:hAnsi="Times New Roman" w:cs="Times New Roman"/>
                <w:sz w:val="24"/>
                <w:szCs w:val="24"/>
              </w:rPr>
              <w:t xml:space="preserve">Umang Mishra </w:t>
            </w:r>
          </w:p>
        </w:tc>
        <w:tc>
          <w:tcPr>
            <w:tcW w:w="3571" w:type="dxa"/>
          </w:tcPr>
          <w:p w14:paraId="48785C70" w14:textId="77777777" w:rsidR="00F71D35" w:rsidRDefault="00F71D35" w:rsidP="00F71D35">
            <w:pPr>
              <w:rPr>
                <w:rFonts w:ascii="Times New Roman" w:hAnsi="Times New Roman" w:cs="Times New Roman"/>
                <w:sz w:val="24"/>
                <w:szCs w:val="24"/>
              </w:rPr>
            </w:pPr>
          </w:p>
          <w:p w14:paraId="51087E1C" w14:textId="57F0B5B9" w:rsidR="009F5B31" w:rsidRPr="0028190A" w:rsidRDefault="009F5B31" w:rsidP="00F71D35">
            <w:pPr>
              <w:rPr>
                <w:rFonts w:ascii="Times New Roman" w:hAnsi="Times New Roman" w:cs="Times New Roman"/>
                <w:sz w:val="24"/>
                <w:szCs w:val="24"/>
              </w:rPr>
            </w:pPr>
            <w:r>
              <w:rPr>
                <w:rFonts w:ascii="Times New Roman" w:hAnsi="Times New Roman" w:cs="Times New Roman"/>
                <w:sz w:val="24"/>
                <w:szCs w:val="24"/>
              </w:rPr>
              <w:t>1RV22CS220</w:t>
            </w:r>
          </w:p>
        </w:tc>
      </w:tr>
      <w:tr w:rsidR="009F5B31" w:rsidRPr="00D846BE" w14:paraId="3ACB4868" w14:textId="77777777" w:rsidTr="009F5B31">
        <w:trPr>
          <w:trHeight w:val="530"/>
        </w:trPr>
        <w:tc>
          <w:tcPr>
            <w:tcW w:w="3581" w:type="dxa"/>
          </w:tcPr>
          <w:p w14:paraId="5F4FE7E8" w14:textId="77777777" w:rsidR="009F5B31" w:rsidRPr="00D846BE" w:rsidRDefault="009F5B31" w:rsidP="009F5B31">
            <w:pPr>
              <w:rPr>
                <w:rFonts w:ascii="Times New Roman" w:hAnsi="Times New Roman" w:cs="Times New Roman"/>
                <w:b/>
                <w:sz w:val="24"/>
                <w:szCs w:val="24"/>
              </w:rPr>
            </w:pPr>
            <w:r w:rsidRPr="00D846BE">
              <w:rPr>
                <w:rFonts w:ascii="Times New Roman" w:hAnsi="Times New Roman" w:cs="Times New Roman"/>
                <w:b/>
                <w:sz w:val="24"/>
                <w:szCs w:val="24"/>
              </w:rPr>
              <w:t>Project Title</w:t>
            </w:r>
          </w:p>
        </w:tc>
        <w:tc>
          <w:tcPr>
            <w:tcW w:w="6767" w:type="dxa"/>
            <w:gridSpan w:val="2"/>
          </w:tcPr>
          <w:p w14:paraId="17809470" w14:textId="77777777" w:rsidR="009F5B31" w:rsidRPr="00C357CF" w:rsidRDefault="009F5B31" w:rsidP="009F5B31">
            <w:pPr>
              <w:rPr>
                <w:rFonts w:ascii="Times New Roman" w:hAnsi="Times New Roman" w:cs="Times New Roman"/>
                <w:sz w:val="24"/>
                <w:szCs w:val="24"/>
              </w:rPr>
            </w:pPr>
            <w:r w:rsidRPr="00C357CF">
              <w:rPr>
                <w:rFonts w:ascii="Times New Roman" w:hAnsi="Times New Roman" w:cs="Times New Roman"/>
                <w:sz w:val="24"/>
                <w:szCs w:val="24"/>
              </w:rPr>
              <w:t xml:space="preserve">NHI Governance Agent </w:t>
            </w:r>
          </w:p>
        </w:tc>
      </w:tr>
      <w:tr w:rsidR="009F5B31" w:rsidRPr="00D846BE" w14:paraId="4A712193" w14:textId="77777777" w:rsidTr="009F5B31">
        <w:trPr>
          <w:trHeight w:val="728"/>
        </w:trPr>
        <w:tc>
          <w:tcPr>
            <w:tcW w:w="3581" w:type="dxa"/>
          </w:tcPr>
          <w:p w14:paraId="23A58EB5" w14:textId="77777777" w:rsidR="009F5B31" w:rsidRPr="00D846BE" w:rsidRDefault="009F5B31" w:rsidP="009F5B31">
            <w:pPr>
              <w:rPr>
                <w:rFonts w:ascii="Times New Roman" w:hAnsi="Times New Roman" w:cs="Times New Roman"/>
                <w:b/>
                <w:sz w:val="24"/>
                <w:szCs w:val="24"/>
              </w:rPr>
            </w:pPr>
            <w:r w:rsidRPr="00D846BE">
              <w:rPr>
                <w:rFonts w:ascii="Times New Roman" w:hAnsi="Times New Roman" w:cs="Times New Roman"/>
                <w:b/>
                <w:sz w:val="24"/>
                <w:szCs w:val="24"/>
              </w:rPr>
              <w:t>Internal guide Name with Designation</w:t>
            </w:r>
          </w:p>
        </w:tc>
        <w:tc>
          <w:tcPr>
            <w:tcW w:w="6767" w:type="dxa"/>
            <w:gridSpan w:val="2"/>
          </w:tcPr>
          <w:p w14:paraId="21606FD3" w14:textId="77777777" w:rsidR="009F5B31" w:rsidRPr="00D846BE" w:rsidRDefault="009F5B31" w:rsidP="009F5B31">
            <w:pPr>
              <w:pStyle w:val="Default"/>
            </w:pPr>
          </w:p>
          <w:p w14:paraId="0BAEC2BA" w14:textId="77777777" w:rsidR="009F5B31" w:rsidRPr="00D846BE" w:rsidRDefault="009F5B31" w:rsidP="009F5B31">
            <w:pPr>
              <w:pStyle w:val="Default"/>
            </w:pPr>
            <w:r>
              <w:t xml:space="preserve">Dr Chethana Murthy, Associate Professor </w:t>
            </w:r>
          </w:p>
        </w:tc>
      </w:tr>
      <w:tr w:rsidR="009F5B31" w:rsidRPr="00D846BE" w14:paraId="7525B477" w14:textId="77777777" w:rsidTr="009F5B31">
        <w:trPr>
          <w:trHeight w:val="440"/>
        </w:trPr>
        <w:tc>
          <w:tcPr>
            <w:tcW w:w="3581" w:type="dxa"/>
          </w:tcPr>
          <w:p w14:paraId="7121F398" w14:textId="77777777" w:rsidR="009F5B31" w:rsidRPr="00D846BE" w:rsidRDefault="009F5B31" w:rsidP="009F5B31">
            <w:pPr>
              <w:rPr>
                <w:rFonts w:ascii="Times New Roman" w:hAnsi="Times New Roman" w:cs="Times New Roman"/>
                <w:b/>
                <w:sz w:val="24"/>
                <w:szCs w:val="24"/>
              </w:rPr>
            </w:pPr>
            <w:r w:rsidRPr="00D846BE">
              <w:rPr>
                <w:rFonts w:ascii="Times New Roman" w:hAnsi="Times New Roman" w:cs="Times New Roman"/>
                <w:b/>
                <w:sz w:val="24"/>
                <w:szCs w:val="24"/>
              </w:rPr>
              <w:t>External guide Name with Designation</w:t>
            </w:r>
          </w:p>
        </w:tc>
        <w:tc>
          <w:tcPr>
            <w:tcW w:w="6767" w:type="dxa"/>
            <w:gridSpan w:val="2"/>
          </w:tcPr>
          <w:p w14:paraId="3E8AFD56" w14:textId="77777777" w:rsidR="009F5B31" w:rsidRPr="00D846BE" w:rsidRDefault="009F5B31" w:rsidP="009F5B31">
            <w:pPr>
              <w:autoSpaceDE w:val="0"/>
              <w:autoSpaceDN w:val="0"/>
              <w:adjustRightInd w:val="0"/>
              <w:rPr>
                <w:rFonts w:ascii="Times New Roman" w:hAnsi="Times New Roman" w:cs="Times New Roman"/>
                <w:color w:val="000000"/>
                <w:sz w:val="24"/>
                <w:szCs w:val="24"/>
              </w:rPr>
            </w:pPr>
            <w:r>
              <w:rPr>
                <w:rFonts w:ascii="Times New Roman" w:hAnsi="Times New Roman" w:cs="Times New Roman"/>
                <w:color w:val="000000"/>
                <w:sz w:val="24"/>
                <w:szCs w:val="24"/>
              </w:rPr>
              <w:t xml:space="preserve">Tejeshwar Rao, Manager- </w:t>
            </w:r>
            <w:proofErr w:type="spellStart"/>
            <w:r>
              <w:rPr>
                <w:rFonts w:ascii="Times New Roman" w:hAnsi="Times New Roman" w:cs="Times New Roman"/>
                <w:color w:val="000000"/>
                <w:sz w:val="24"/>
                <w:szCs w:val="24"/>
              </w:rPr>
              <w:t>DevSecOps</w:t>
            </w:r>
            <w:proofErr w:type="spellEnd"/>
            <w:r>
              <w:rPr>
                <w:rFonts w:ascii="Times New Roman" w:hAnsi="Times New Roman" w:cs="Times New Roman"/>
                <w:color w:val="000000"/>
                <w:sz w:val="24"/>
                <w:szCs w:val="24"/>
              </w:rPr>
              <w:t xml:space="preserve"> &amp; Cloud</w:t>
            </w:r>
          </w:p>
        </w:tc>
      </w:tr>
      <w:tr w:rsidR="009F5B31" w:rsidRPr="00D846BE" w14:paraId="623AC8AE" w14:textId="77777777" w:rsidTr="009F5B31">
        <w:trPr>
          <w:trHeight w:val="440"/>
        </w:trPr>
        <w:tc>
          <w:tcPr>
            <w:tcW w:w="3581" w:type="dxa"/>
          </w:tcPr>
          <w:p w14:paraId="42892C78" w14:textId="77777777" w:rsidR="009F5B31" w:rsidRPr="00D846BE" w:rsidRDefault="009F5B31" w:rsidP="009F5B31">
            <w:pPr>
              <w:rPr>
                <w:rFonts w:ascii="Times New Roman" w:hAnsi="Times New Roman" w:cs="Times New Roman"/>
                <w:b/>
                <w:sz w:val="24"/>
                <w:szCs w:val="24"/>
              </w:rPr>
            </w:pPr>
            <w:r>
              <w:rPr>
                <w:rFonts w:ascii="Times New Roman" w:hAnsi="Times New Roman" w:cs="Times New Roman"/>
                <w:b/>
                <w:sz w:val="24"/>
                <w:szCs w:val="24"/>
              </w:rPr>
              <w:t xml:space="preserve">Internship </w:t>
            </w:r>
            <w:r w:rsidRPr="00D846BE">
              <w:rPr>
                <w:rFonts w:ascii="Times New Roman" w:hAnsi="Times New Roman" w:cs="Times New Roman"/>
                <w:b/>
                <w:sz w:val="24"/>
                <w:szCs w:val="24"/>
              </w:rPr>
              <w:t>Company Name &amp; Address</w:t>
            </w:r>
          </w:p>
        </w:tc>
        <w:tc>
          <w:tcPr>
            <w:tcW w:w="6767" w:type="dxa"/>
            <w:gridSpan w:val="2"/>
          </w:tcPr>
          <w:p w14:paraId="237BDF85" w14:textId="77777777" w:rsidR="009F5B31" w:rsidRPr="00D846BE" w:rsidRDefault="009F5B31" w:rsidP="009F5B31">
            <w:pPr>
              <w:rPr>
                <w:rFonts w:ascii="Times New Roman" w:hAnsi="Times New Roman" w:cs="Times New Roman"/>
                <w:sz w:val="24"/>
                <w:szCs w:val="24"/>
              </w:rPr>
            </w:pPr>
            <w:r>
              <w:rPr>
                <w:rFonts w:ascii="Times New Roman" w:hAnsi="Times New Roman" w:cs="Times New Roman"/>
                <w:sz w:val="24"/>
                <w:szCs w:val="24"/>
              </w:rPr>
              <w:t>Honeywell, Bangalore</w:t>
            </w:r>
          </w:p>
        </w:tc>
      </w:tr>
      <w:tr w:rsidR="009F5B31" w:rsidRPr="00D846BE" w14:paraId="152C1CB1" w14:textId="77777777" w:rsidTr="009F5B31">
        <w:trPr>
          <w:trHeight w:val="440"/>
        </w:trPr>
        <w:tc>
          <w:tcPr>
            <w:tcW w:w="3581" w:type="dxa"/>
          </w:tcPr>
          <w:p w14:paraId="0431B37A" w14:textId="77777777" w:rsidR="009F5B31" w:rsidRPr="00D846BE" w:rsidRDefault="009F5B31" w:rsidP="009F5B31">
            <w:pPr>
              <w:rPr>
                <w:rFonts w:ascii="Times New Roman" w:hAnsi="Times New Roman" w:cs="Times New Roman"/>
                <w:b/>
                <w:sz w:val="24"/>
                <w:szCs w:val="24"/>
              </w:rPr>
            </w:pPr>
            <w:r w:rsidRPr="00D846BE">
              <w:rPr>
                <w:rFonts w:ascii="Times New Roman" w:hAnsi="Times New Roman" w:cs="Times New Roman"/>
                <w:b/>
                <w:sz w:val="24"/>
                <w:szCs w:val="24"/>
              </w:rPr>
              <w:t>Year</w:t>
            </w:r>
          </w:p>
        </w:tc>
        <w:tc>
          <w:tcPr>
            <w:tcW w:w="6767" w:type="dxa"/>
            <w:gridSpan w:val="2"/>
          </w:tcPr>
          <w:p w14:paraId="01BEF0E4" w14:textId="77777777" w:rsidR="009F5B31" w:rsidRPr="00D846BE" w:rsidRDefault="009F5B31" w:rsidP="009F5B31">
            <w:pPr>
              <w:rPr>
                <w:rFonts w:ascii="Times New Roman" w:hAnsi="Times New Roman" w:cs="Times New Roman"/>
                <w:sz w:val="24"/>
                <w:szCs w:val="24"/>
              </w:rPr>
            </w:pPr>
            <w:r>
              <w:rPr>
                <w:rFonts w:ascii="Times New Roman" w:hAnsi="Times New Roman" w:cs="Times New Roman"/>
                <w:sz w:val="24"/>
                <w:szCs w:val="24"/>
              </w:rPr>
              <w:t>2025-2026</w:t>
            </w:r>
          </w:p>
        </w:tc>
      </w:tr>
      <w:tr w:rsidR="009F5B31" w:rsidRPr="00D846BE" w14:paraId="0B38924D" w14:textId="77777777" w:rsidTr="009F5B31">
        <w:tc>
          <w:tcPr>
            <w:tcW w:w="10348" w:type="dxa"/>
            <w:gridSpan w:val="3"/>
          </w:tcPr>
          <w:p w14:paraId="58557F2E" w14:textId="77777777" w:rsidR="009F5B31" w:rsidRDefault="009F5B31" w:rsidP="009F5B31">
            <w:pPr>
              <w:jc w:val="both"/>
              <w:rPr>
                <w:rFonts w:ascii="Times New Roman" w:hAnsi="Times New Roman" w:cs="Times New Roman"/>
                <w:b/>
                <w:sz w:val="24"/>
                <w:szCs w:val="24"/>
              </w:rPr>
            </w:pPr>
          </w:p>
          <w:p w14:paraId="62FCE020" w14:textId="77777777" w:rsidR="009F5B31" w:rsidRPr="00D846BE" w:rsidRDefault="009F5B31" w:rsidP="009F5B31">
            <w:pPr>
              <w:jc w:val="both"/>
              <w:rPr>
                <w:rFonts w:ascii="Times New Roman" w:hAnsi="Times New Roman" w:cs="Times New Roman"/>
                <w:b/>
                <w:sz w:val="24"/>
                <w:szCs w:val="24"/>
              </w:rPr>
            </w:pPr>
            <w:r w:rsidRPr="00D846BE">
              <w:rPr>
                <w:rFonts w:ascii="Times New Roman" w:hAnsi="Times New Roman" w:cs="Times New Roman"/>
                <w:b/>
                <w:sz w:val="24"/>
                <w:szCs w:val="24"/>
              </w:rPr>
              <w:t>Abstract:</w:t>
            </w:r>
          </w:p>
          <w:p w14:paraId="1A2F125B" w14:textId="77777777" w:rsidR="009F5B31" w:rsidRDefault="009F5B31" w:rsidP="009F5B31">
            <w:pPr>
              <w:jc w:val="both"/>
              <w:rPr>
                <w:rFonts w:ascii="Times New Roman" w:hAnsi="Times New Roman" w:cs="Times New Roman"/>
                <w:color w:val="000000"/>
                <w:sz w:val="24"/>
                <w:szCs w:val="24"/>
              </w:rPr>
            </w:pPr>
          </w:p>
          <w:p w14:paraId="1ADFE1A9" w14:textId="77777777" w:rsidR="009F5B31" w:rsidRDefault="009F5B31" w:rsidP="009F5B31">
            <w:pPr>
              <w:jc w:val="both"/>
              <w:rPr>
                <w:rFonts w:ascii="Times New Roman" w:hAnsi="Times New Roman" w:cs="Times New Roman"/>
                <w:color w:val="000000"/>
                <w:sz w:val="24"/>
                <w:szCs w:val="24"/>
              </w:rPr>
            </w:pPr>
            <w:r w:rsidRPr="00494442">
              <w:rPr>
                <w:rFonts w:ascii="Times New Roman" w:hAnsi="Times New Roman" w:cs="Times New Roman"/>
                <w:color w:val="000000"/>
                <w:sz w:val="24"/>
                <w:szCs w:val="24"/>
              </w:rPr>
              <w:t>Th</w:t>
            </w:r>
            <w:r>
              <w:rPr>
                <w:rFonts w:ascii="Times New Roman" w:hAnsi="Times New Roman" w:cs="Times New Roman"/>
                <w:color w:val="000000"/>
                <w:sz w:val="24"/>
                <w:szCs w:val="24"/>
              </w:rPr>
              <w:t xml:space="preserve">e </w:t>
            </w:r>
            <w:r w:rsidRPr="00494442">
              <w:rPr>
                <w:rFonts w:ascii="Times New Roman" w:hAnsi="Times New Roman" w:cs="Times New Roman"/>
                <w:color w:val="000000"/>
                <w:sz w:val="24"/>
                <w:szCs w:val="24"/>
              </w:rPr>
              <w:t xml:space="preserve">project presents an AI-driven Non-Human Identity (NHI) Governance platform that integrates </w:t>
            </w:r>
            <w:proofErr w:type="spellStart"/>
            <w:r w:rsidRPr="00494442">
              <w:rPr>
                <w:rFonts w:ascii="Times New Roman" w:hAnsi="Times New Roman" w:cs="Times New Roman"/>
                <w:color w:val="000000"/>
                <w:sz w:val="24"/>
                <w:szCs w:val="24"/>
              </w:rPr>
              <w:t>DevSecOps</w:t>
            </w:r>
            <w:proofErr w:type="spellEnd"/>
            <w:r w:rsidRPr="00494442">
              <w:rPr>
                <w:rFonts w:ascii="Times New Roman" w:hAnsi="Times New Roman" w:cs="Times New Roman"/>
                <w:color w:val="000000"/>
                <w:sz w:val="24"/>
                <w:szCs w:val="24"/>
              </w:rPr>
              <w:t xml:space="preserve"> automation with intelligent multi-agent orchestration. The system continuously discovers and monitors machine identities—including Azure Service Principals, Key Vault secrets, SSL/TLS certificates, and GitHub tokens—across cloud and code environments. A </w:t>
            </w:r>
            <w:proofErr w:type="spellStart"/>
            <w:r w:rsidRPr="00494442">
              <w:rPr>
                <w:rFonts w:ascii="Times New Roman" w:hAnsi="Times New Roman" w:cs="Times New Roman"/>
                <w:color w:val="000000"/>
                <w:sz w:val="24"/>
                <w:szCs w:val="24"/>
              </w:rPr>
              <w:t>LangChain</w:t>
            </w:r>
            <w:proofErr w:type="spellEnd"/>
            <w:r w:rsidRPr="00494442">
              <w:rPr>
                <w:rFonts w:ascii="Times New Roman" w:hAnsi="Times New Roman" w:cs="Times New Roman"/>
                <w:color w:val="000000"/>
                <w:sz w:val="24"/>
                <w:szCs w:val="24"/>
              </w:rPr>
              <w:t>/GPT-4o-powered orchestrator coordinates specialized agents for certificate expiry detection, GitHub NHI discovery, Azure credential auditing, ML-based anomaly detection, and risk scoring, producing unified HTML governance reports and maintaining a full audit trail.</w:t>
            </w:r>
          </w:p>
          <w:p w14:paraId="19E0D781" w14:textId="77777777" w:rsidR="009F5B31" w:rsidRPr="00494442" w:rsidRDefault="009F5B31" w:rsidP="009F5B31">
            <w:pPr>
              <w:jc w:val="both"/>
              <w:rPr>
                <w:rFonts w:ascii="Times New Roman" w:hAnsi="Times New Roman" w:cs="Times New Roman"/>
                <w:color w:val="000000"/>
                <w:sz w:val="24"/>
                <w:szCs w:val="24"/>
              </w:rPr>
            </w:pPr>
          </w:p>
          <w:p w14:paraId="61B831CC" w14:textId="77777777" w:rsidR="009F5B31" w:rsidRPr="00494442" w:rsidRDefault="009F5B31" w:rsidP="009F5B31">
            <w:pPr>
              <w:jc w:val="both"/>
              <w:rPr>
                <w:rFonts w:ascii="Times New Roman" w:hAnsi="Times New Roman" w:cs="Times New Roman"/>
                <w:color w:val="000000"/>
                <w:sz w:val="24"/>
                <w:szCs w:val="24"/>
              </w:rPr>
            </w:pPr>
            <w:r w:rsidRPr="00494442">
              <w:rPr>
                <w:rFonts w:ascii="Times New Roman" w:hAnsi="Times New Roman" w:cs="Times New Roman"/>
                <w:color w:val="000000"/>
                <w:sz w:val="24"/>
                <w:szCs w:val="24"/>
              </w:rPr>
              <w:t>When policy violations or high-risk findings are detected, the platform closes the remediation loop autonomously: alerts are dispatched via SMTP email and Slack, and Jira tickets are automatically raised and tracked</w:t>
            </w:r>
            <w:r>
              <w:rPr>
                <w:rFonts w:ascii="Times New Roman" w:hAnsi="Times New Roman" w:cs="Times New Roman"/>
                <w:color w:val="000000"/>
                <w:sz w:val="24"/>
                <w:szCs w:val="24"/>
              </w:rPr>
              <w:t xml:space="preserve"> </w:t>
            </w:r>
            <w:r w:rsidRPr="00494442">
              <w:rPr>
                <w:rFonts w:ascii="Times New Roman" w:hAnsi="Times New Roman" w:cs="Times New Roman"/>
                <w:color w:val="000000"/>
                <w:sz w:val="24"/>
                <w:szCs w:val="24"/>
              </w:rPr>
              <w:t xml:space="preserve">requiring zero human intervention for </w:t>
            </w:r>
            <w:proofErr w:type="gramStart"/>
            <w:r w:rsidRPr="00494442">
              <w:rPr>
                <w:rFonts w:ascii="Times New Roman" w:hAnsi="Times New Roman" w:cs="Times New Roman"/>
                <w:color w:val="000000"/>
                <w:sz w:val="24"/>
                <w:szCs w:val="24"/>
              </w:rPr>
              <w:t>the majority of</w:t>
            </w:r>
            <w:proofErr w:type="gramEnd"/>
            <w:r w:rsidRPr="00494442">
              <w:rPr>
                <w:rFonts w:ascii="Times New Roman" w:hAnsi="Times New Roman" w:cs="Times New Roman"/>
                <w:color w:val="000000"/>
                <w:sz w:val="24"/>
                <w:szCs w:val="24"/>
              </w:rPr>
              <w:t xml:space="preserve"> findings. For critical or ambiguous cases, human escalation paths are preserved, ensuring the system augments rather than replaces security team judgment. Policy enforcement is handled through both native Python rules and Open Policy Agent (OPA) Rego policies, with all findings and actions surfaced through a React/TypeScript dashboard featuring real-time alerts, audit logs, and ML analytics.</w:t>
            </w:r>
          </w:p>
          <w:p w14:paraId="725B5951" w14:textId="77777777" w:rsidR="009F5B31" w:rsidRDefault="009F5B31" w:rsidP="009F5B31">
            <w:pPr>
              <w:jc w:val="both"/>
              <w:rPr>
                <w:rFonts w:ascii="Times New Roman" w:hAnsi="Times New Roman" w:cs="Times New Roman"/>
                <w:color w:val="000000"/>
                <w:sz w:val="24"/>
                <w:szCs w:val="24"/>
              </w:rPr>
            </w:pPr>
          </w:p>
          <w:p w14:paraId="357E5C15" w14:textId="77777777" w:rsidR="009F5B31" w:rsidRDefault="009F5B31" w:rsidP="009F5B31">
            <w:pPr>
              <w:jc w:val="both"/>
              <w:rPr>
                <w:rFonts w:ascii="Times New Roman" w:hAnsi="Times New Roman" w:cs="Times New Roman"/>
                <w:color w:val="000000"/>
                <w:sz w:val="24"/>
                <w:szCs w:val="24"/>
              </w:rPr>
            </w:pPr>
            <w:r w:rsidRPr="009F5B31">
              <w:rPr>
                <w:rFonts w:ascii="Times New Roman" w:hAnsi="Times New Roman" w:cs="Times New Roman"/>
                <w:color w:val="000000"/>
                <w:sz w:val="24"/>
                <w:szCs w:val="24"/>
              </w:rPr>
              <w:t>The platform is built around a shift-left security philosophy, embedding identity governance directly into the development and deployment lifecycle rather than treating it as a post-deployment concern. By continuously scanning GitHub repositories for exposed tokens and deploy keys, monitoring Azure credential lifetimes against configurable policy thresholds, and correlating findings across sources through a unified risk scoring engine, the system provides security teams with a single pane of glass over their entire non-human identity surface. The modular agent architecture ensures that new identity sources</w:t>
            </w:r>
            <w:r>
              <w:rPr>
                <w:rFonts w:ascii="Times New Roman" w:hAnsi="Times New Roman" w:cs="Times New Roman"/>
                <w:color w:val="000000"/>
                <w:sz w:val="24"/>
                <w:szCs w:val="24"/>
              </w:rPr>
              <w:t xml:space="preserve"> </w:t>
            </w:r>
            <w:r w:rsidRPr="009F5B31">
              <w:rPr>
                <w:rFonts w:ascii="Times New Roman" w:hAnsi="Times New Roman" w:cs="Times New Roman"/>
                <w:color w:val="000000"/>
                <w:sz w:val="24"/>
                <w:szCs w:val="24"/>
              </w:rPr>
              <w:t>cloud providers, CI/CD platforms, or secret managers</w:t>
            </w:r>
            <w:r>
              <w:rPr>
                <w:rFonts w:ascii="Times New Roman" w:hAnsi="Times New Roman" w:cs="Times New Roman"/>
                <w:color w:val="000000"/>
                <w:sz w:val="24"/>
                <w:szCs w:val="24"/>
              </w:rPr>
              <w:t xml:space="preserve"> </w:t>
            </w:r>
            <w:r w:rsidRPr="009F5B31">
              <w:rPr>
                <w:rFonts w:ascii="Times New Roman" w:hAnsi="Times New Roman" w:cs="Times New Roman"/>
                <w:color w:val="000000"/>
                <w:sz w:val="24"/>
                <w:szCs w:val="24"/>
              </w:rPr>
              <w:t xml:space="preserve">can be </w:t>
            </w:r>
            <w:proofErr w:type="gramStart"/>
            <w:r w:rsidRPr="009F5B31">
              <w:rPr>
                <w:rFonts w:ascii="Times New Roman" w:hAnsi="Times New Roman" w:cs="Times New Roman"/>
                <w:color w:val="000000"/>
                <w:sz w:val="24"/>
                <w:szCs w:val="24"/>
              </w:rPr>
              <w:t>onboarded</w:t>
            </w:r>
            <w:proofErr w:type="gramEnd"/>
            <w:r w:rsidRPr="009F5B31">
              <w:rPr>
                <w:rFonts w:ascii="Times New Roman" w:hAnsi="Times New Roman" w:cs="Times New Roman"/>
                <w:color w:val="000000"/>
                <w:sz w:val="24"/>
                <w:szCs w:val="24"/>
              </w:rPr>
              <w:t xml:space="preserve"> without disrupting existing workflows, making the platform extensible to enterprise-scale environments where manual identity hygiene is operationally infeasible.</w:t>
            </w:r>
          </w:p>
          <w:p w14:paraId="4B9F5B95" w14:textId="77777777" w:rsidR="009F5B31" w:rsidRDefault="009F5B31" w:rsidP="009F5B31">
            <w:pPr>
              <w:jc w:val="both"/>
              <w:rPr>
                <w:rFonts w:ascii="Times New Roman" w:hAnsi="Times New Roman" w:cs="Times New Roman"/>
                <w:color w:val="000000"/>
                <w:sz w:val="24"/>
                <w:szCs w:val="24"/>
              </w:rPr>
            </w:pPr>
          </w:p>
          <w:p w14:paraId="3B8947AF" w14:textId="77777777" w:rsidR="009F5B31" w:rsidRDefault="009F5B31" w:rsidP="009F5B31">
            <w:pPr>
              <w:jc w:val="both"/>
              <w:rPr>
                <w:rFonts w:ascii="Times New Roman" w:hAnsi="Times New Roman" w:cs="Times New Roman"/>
                <w:color w:val="000000"/>
                <w:sz w:val="24"/>
                <w:szCs w:val="24"/>
              </w:rPr>
            </w:pPr>
          </w:p>
          <w:p w14:paraId="1C8FD546" w14:textId="77777777" w:rsidR="009F5B31" w:rsidRDefault="009F5B31" w:rsidP="009F5B31">
            <w:pPr>
              <w:jc w:val="both"/>
              <w:rPr>
                <w:rFonts w:ascii="Times New Roman" w:hAnsi="Times New Roman" w:cs="Times New Roman"/>
                <w:color w:val="000000"/>
                <w:sz w:val="24"/>
                <w:szCs w:val="24"/>
              </w:rPr>
            </w:pPr>
          </w:p>
          <w:p w14:paraId="54F5A9F5" w14:textId="77777777" w:rsidR="009F5B31" w:rsidRDefault="009F5B31" w:rsidP="009F5B31">
            <w:pPr>
              <w:jc w:val="both"/>
              <w:rPr>
                <w:rFonts w:ascii="Times New Roman" w:hAnsi="Times New Roman" w:cs="Times New Roman"/>
                <w:color w:val="000000"/>
                <w:sz w:val="24"/>
                <w:szCs w:val="24"/>
              </w:rPr>
            </w:pPr>
          </w:p>
          <w:p w14:paraId="6F85F970" w14:textId="77777777" w:rsidR="009F5B31" w:rsidRDefault="009F5B31" w:rsidP="009F5B31">
            <w:pPr>
              <w:jc w:val="both"/>
              <w:rPr>
                <w:rFonts w:ascii="Times New Roman" w:hAnsi="Times New Roman" w:cs="Times New Roman"/>
                <w:color w:val="000000"/>
                <w:sz w:val="24"/>
                <w:szCs w:val="24"/>
              </w:rPr>
            </w:pPr>
          </w:p>
          <w:p w14:paraId="01BF2AF0" w14:textId="77777777" w:rsidR="009F5B31" w:rsidRPr="00D846BE" w:rsidRDefault="009F5B31" w:rsidP="009F5B31">
            <w:pPr>
              <w:jc w:val="both"/>
              <w:rPr>
                <w:rFonts w:ascii="Times New Roman" w:hAnsi="Times New Roman" w:cs="Times New Roman"/>
                <w:color w:val="000000"/>
                <w:sz w:val="24"/>
                <w:szCs w:val="24"/>
              </w:rPr>
            </w:pPr>
          </w:p>
          <w:p w14:paraId="1DDEE65F" w14:textId="77777777" w:rsidR="009F5B31" w:rsidRPr="00D846BE" w:rsidRDefault="009F5B31" w:rsidP="009F5B31">
            <w:pPr>
              <w:jc w:val="both"/>
              <w:rPr>
                <w:rFonts w:ascii="Times New Roman" w:hAnsi="Times New Roman" w:cs="Times New Roman"/>
                <w:sz w:val="24"/>
                <w:szCs w:val="24"/>
              </w:rPr>
            </w:pPr>
          </w:p>
        </w:tc>
      </w:tr>
    </w:tbl>
    <w:p w14:paraId="33B84960" w14:textId="77777777" w:rsidR="00C357CF" w:rsidRDefault="00C357CF"/>
    <w:p w14:paraId="5BC83F68" w14:textId="77777777" w:rsidR="00D953B6" w:rsidRDefault="00D953B6"/>
    <w:sectPr w:rsidR="00D953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EFC"/>
    <w:rsid w:val="00020AAA"/>
    <w:rsid w:val="000C2D5D"/>
    <w:rsid w:val="003A298B"/>
    <w:rsid w:val="00494442"/>
    <w:rsid w:val="004B0EFC"/>
    <w:rsid w:val="004C1604"/>
    <w:rsid w:val="008E4D3F"/>
    <w:rsid w:val="0090716E"/>
    <w:rsid w:val="009E1622"/>
    <w:rsid w:val="009F5B31"/>
    <w:rsid w:val="00AB1132"/>
    <w:rsid w:val="00AD6E79"/>
    <w:rsid w:val="00C357CF"/>
    <w:rsid w:val="00CF00CC"/>
    <w:rsid w:val="00D953B6"/>
    <w:rsid w:val="00F10D2F"/>
    <w:rsid w:val="00F71D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83F2E"/>
  <w15:chartTrackingRefBased/>
  <w15:docId w15:val="{323EF257-22EE-4E1C-AF0E-FF084854A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EFC"/>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4B0EF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B0EFC"/>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unhideWhenUsed/>
    <w:rsid w:val="004B0EF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B0E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546e5e1-5d42-4630-bacd-c69bfdcbd5e8}" enabled="1" method="Standard" siteId="{96ece526-9c7d-48b0-8daf-8b93c90a5d18}" removed="0"/>
</clbl:labelList>
</file>

<file path=docProps/app.xml><?xml version="1.0" encoding="utf-8"?>
<Properties xmlns="http://schemas.openxmlformats.org/officeDocument/2006/extended-properties" xmlns:vt="http://schemas.openxmlformats.org/officeDocument/2006/docPropsVTypes">
  <Template>Normal</Template>
  <TotalTime>25</TotalTime>
  <Pages>1</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RVCECS</dc:creator>
  <cp:keywords/>
  <dc:description/>
  <cp:lastModifiedBy>Mishra, Umang</cp:lastModifiedBy>
  <cp:revision>15</cp:revision>
  <dcterms:created xsi:type="dcterms:W3CDTF">2022-04-12T06:03:00Z</dcterms:created>
  <dcterms:modified xsi:type="dcterms:W3CDTF">2026-05-19T06:01:00Z</dcterms:modified>
</cp:coreProperties>
</file>