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KubeSage UI/UX and Functionality Review Report</w:t>
      </w:r>
    </w:p>
    <w:p>
      <w:pPr>
        <w:spacing w:after="60"/>
      </w:pPr>
      <w:r/>
      <w:r>
        <w:rPr>
          <w:b/>
        </w:rPr>
        <w:t>Date:</w:t>
      </w:r>
      <w:r>
        <w:t xml:space="preserve"> 27 October 2026 (Asia/Colombo)</w:t>
      </w:r>
    </w:p>
    <w:p>
      <w:pPr>
        <w:spacing w:after="60"/>
      </w:pPr>
      <w:r/>
      <w:r>
        <w:rPr>
          <w:b/>
        </w:rPr>
        <w:t>Repository:</w:t>
      </w:r>
      <w:r>
        <w:t xml:space="preserve"> </w:t>
      </w:r>
      <w:r>
        <w:rPr>
          <w:rFonts w:ascii="Consolas" w:hAnsi="Consolas"/>
          <w:sz w:val="18"/>
        </w:rPr>
        <w:t>manupawickramasinghe/kubesage</w:t>
      </w:r>
      <w:r/>
    </w:p>
    <w:p>
      <w:pPr>
        <w:spacing w:after="60"/>
      </w:pPr>
      <w:r/>
      <w:r>
        <w:rPr>
          <w:b/>
        </w:rPr>
        <w:t>Implementation:</w:t>
      </w:r>
      <w:r>
        <w:t xml:space="preserve"> </w:t>
      </w:r>
      <w:r>
        <w:rPr>
          <w:rFonts w:ascii="Consolas" w:hAnsi="Consolas"/>
          <w:sz w:val="18"/>
        </w:rPr>
        <w:t>b128153</w:t>
      </w:r>
      <w:r>
        <w:t xml:space="preserve">, branch </w:t>
      </w:r>
      <w:r>
        <w:rPr>
          <w:rFonts w:ascii="Consolas" w:hAnsi="Consolas"/>
          <w:sz w:val="18"/>
        </w:rPr>
        <w:t>feat/control-center-ux</w:t>
      </w:r>
      <w:r/>
    </w:p>
    <w:p>
      <w:pPr>
        <w:spacing w:after="60"/>
      </w:pPr>
      <w:r/>
      <w:r>
        <w:rPr>
          <w:b/>
        </w:rPr>
        <w:t>Pull request:</w:t>
      </w:r>
      <w:r>
        <w:t xml:space="preserve"> </w:t>
      </w:r>
      <w:hyperlink r:id="rId11">
        <w:r>
          <w:rPr>
            <w:color w:val="6844C8"/>
            <w:u w:val="single"/>
          </w:rPr>
          <w:t>PR #10</w:t>
        </w:r>
      </w:hyperlink>
      <w:r>
        <w:t xml:space="preserve"> — open and unmerged when this report was prepared</w:t>
      </w:r>
    </w:p>
    <w:p>
      <w:pPr>
        <w:pStyle w:val="Heading1"/>
      </w:pPr>
      <w:r>
        <w:t>1. Outcome</w:t>
      </w:r>
    </w:p>
    <w:p>
      <w:r>
        <w:t>The Control Center now presents a clearer sequence: analyze usage, review and validate a plan, apply it, then examine live scaling and request health. Historical analysis values are explicitly separated from live Kubernetes readings. Application status is reconstructed from cluster objects instead of relying on a browser-session flag.</w:t>
      </w:r>
    </w:p>
    <w:p>
      <w:r>
        <w:t xml:space="preserve">The implementation also adds useful review controls and corrects functional issues in capacity sizing, schedule costing, replica guardrails, report persistence and command failure handling. Validation recorded </w:t>
      </w:r>
      <w:r>
        <w:rPr>
          <w:b/>
        </w:rPr>
        <w:t>73 passing automated tests</w:t>
      </w:r>
      <w:r>
        <w:t xml:space="preserve">, </w:t>
      </w:r>
      <w:r>
        <w:rPr>
          <w:b/>
        </w:rPr>
        <w:t>17 passing browser scenarios</w:t>
      </w:r>
      <w:r>
        <w:t>, and a real two-machine demo run.</w:t>
      </w:r>
    </w:p>
    <w:p>
      <w:r>
        <w:t>The live traffic test confirmed autoscaling but also exposed saturation and HTTP request failures at the replica ceiling. A traffic health panel was added so the dashboard shows that distinction.</w:t>
      </w:r>
    </w:p>
    <w:p>
      <w:pPr>
        <w:pStyle w:val="Heading1"/>
      </w:pPr>
      <w:r>
        <w:t>2. Scope and constraints</w:t>
      </w:r>
    </w:p>
    <w:p>
      <w:r>
        <w:t xml:space="preserve">The review followed </w:t>
      </w:r>
      <w:hyperlink r:id="rId12">
        <w:r>
          <w:rPr>
            <w:color w:val="6844C8"/>
            <w:u w:val="single"/>
          </w:rPr>
          <w:t>HANDOVER.md</w:t>
        </w:r>
      </w:hyperlink>
      <w:r>
        <w:t xml:space="preserve"> and covered the single-file web interface, HTTP API, recommendation guardrails, cost calculations, manifest application and analysis persistence. The demo uses the desktop control-plane machine and laptop worker, with Cerebras for live model calls.</w:t>
      </w:r>
    </w:p>
    <w:p>
      <w:r>
        <w:t>The existing delivery constraints were preserved: vendored Inter and Instrument Serif fonts, one script, no CDN, no frontend build step, light/dark themes, reduced-motion support and escaped external text. Cluster testing ended with a demo reset. Other services and the protected repositories were outside scope.</w:t>
      </w:r>
    </w:p>
    <w:p>
      <w:pPr>
        <w:pStyle w:val="Heading1"/>
      </w:pPr>
      <w:r>
        <w:t>3. Findings and changes</w:t>
      </w:r>
    </w:p>
    <w:tbl>
      <w:tblPr>
        <w:tblStyle w:val="LightShading-Accent1"/>
        <w:tblW w:type="auto" w:w="0"/>
        <w:tblLayout w:type="fixed"/>
        <w:tblLook w:firstColumn="1" w:firstRow="1" w:lastColumn="0" w:lastRow="0" w:noHBand="0" w:noVBand="1" w:val="04A0"/>
      </w:tblPr>
      <w:tblGrid>
        <w:gridCol w:w="2736"/>
        <w:gridCol w:w="7013"/>
      </w:tblGrid>
      <w:tr>
        <w:trPr>
          <w:cantSplit/>
          <w:tblHeader/>
        </w:trPr>
        <w:tc>
          <w:tcPr>
            <w:tcW w:type="dxa" w:w="2736"/>
          </w:tcPr>
          <w:p>
            <w:pPr>
              <w:spacing w:after="80" w:before="80"/>
            </w:pPr>
            <w:r>
              <w:rPr>
                <w:b/>
                <w:sz w:val="18"/>
              </w:rPr>
              <w:t>Finding</w:t>
            </w:r>
          </w:p>
        </w:tc>
        <w:tc>
          <w:tcPr>
            <w:tcW w:type="dxa" w:w="7013"/>
          </w:tcPr>
          <w:p>
            <w:pPr>
              <w:spacing w:after="80" w:before="80"/>
            </w:pPr>
            <w:r>
              <w:rPr>
                <w:b/>
                <w:sz w:val="18"/>
              </w:rPr>
              <w:t>Delivered change</w:t>
            </w:r>
          </w:p>
        </w:tc>
      </w:tr>
      <w:tr>
        <w:trPr>
          <w:cantSplit/>
        </w:trPr>
        <w:tc>
          <w:tcPr>
            <w:tcW w:type="dxa" w:w="2736"/>
          </w:tcPr>
          <w:p>
            <w:pPr>
              <w:spacing w:after="80" w:before="80"/>
            </w:pPr>
            <w:r>
              <w:rPr>
                <w:sz w:val="18"/>
              </w:rPr>
              <w:t>Historical requests were labelled “Reserved now”</w:t>
            </w:r>
          </w:p>
        </w:tc>
        <w:tc>
          <w:tcPr>
            <w:tcW w:type="dxa" w:w="7013"/>
          </w:tcPr>
          <w:p>
            <w:pPr>
              <w:spacing w:after="80" w:before="80"/>
            </w:pPr>
            <w:r>
              <w:rPr>
                <w:sz w:val="18"/>
              </w:rPr>
              <w:t>Charts say “Reserved at analysis”; current requests appear in the live inspector</w:t>
            </w:r>
          </w:p>
        </w:tc>
      </w:tr>
      <w:tr>
        <w:trPr>
          <w:cantSplit/>
        </w:trPr>
        <w:tc>
          <w:tcPr>
            <w:tcW w:type="dxa" w:w="2736"/>
          </w:tcPr>
          <w:p>
            <w:pPr>
              <w:spacing w:after="80" w:before="80"/>
            </w:pPr>
            <w:r>
              <w:rPr>
                <w:sz w:val="18"/>
              </w:rPr>
              <w:t>Applied state disappeared after reload</w:t>
            </w:r>
          </w:p>
        </w:tc>
        <w:tc>
          <w:tcPr>
            <w:tcW w:type="dxa" w:w="7013"/>
          </w:tcPr>
          <w:p>
            <w:pPr>
              <w:spacing w:after="80" w:before="80"/>
            </w:pPr>
            <w:r>
              <w:rPr>
                <w:sz w:val="18"/>
              </w:rPr>
              <w:t>Deployment and ScaledObject fields are compared with the latest analysis; rollout readiness is shown separately</w:t>
            </w:r>
          </w:p>
        </w:tc>
      </w:tr>
      <w:tr>
        <w:trPr>
          <w:cantSplit/>
        </w:trPr>
        <w:tc>
          <w:tcPr>
            <w:tcW w:type="dxa" w:w="2736"/>
          </w:tcPr>
          <w:p>
            <w:pPr>
              <w:spacing w:after="80" w:before="80"/>
            </w:pPr>
            <w:r>
              <w:rPr>
                <w:sz w:val="18"/>
              </w:rPr>
              <w:t>Validation and partial operations could look complete</w:t>
            </w:r>
          </w:p>
        </w:tc>
        <w:tc>
          <w:tcPr>
            <w:tcW w:type="dxa" w:w="7013"/>
          </w:tcPr>
          <w:p>
            <w:pPr>
              <w:spacing w:after="80" w:before="80"/>
            </w:pPr>
            <w:r>
              <w:rPr>
                <w:sz w:val="18"/>
              </w:rPr>
              <w:t>“Validate only” has explicit semantics; failed and skipped steps remain visible</w:t>
            </w:r>
          </w:p>
        </w:tc>
      </w:tr>
      <w:tr>
        <w:trPr>
          <w:cantSplit/>
        </w:trPr>
        <w:tc>
          <w:tcPr>
            <w:tcW w:type="dxa" w:w="2736"/>
          </w:tcPr>
          <w:p>
            <w:pPr>
              <w:spacing w:after="80" w:before="80"/>
            </w:pPr>
            <w:r>
              <w:rPr>
                <w:sz w:val="18"/>
              </w:rPr>
              <w:t>Errors were easy to miss at the bottom of the page</w:t>
            </w:r>
          </w:p>
        </w:tc>
        <w:tc>
          <w:tcPr>
            <w:tcW w:type="dxa" w:w="7013"/>
          </w:tcPr>
          <w:p>
            <w:pPr>
              <w:spacing w:after="80" w:before="80"/>
            </w:pPr>
            <w:r>
              <w:rPr>
                <w:sz w:val="18"/>
              </w:rPr>
              <w:t>Action results and failures appear near the controls as well as in Activity</w:t>
            </w:r>
          </w:p>
        </w:tc>
      </w:tr>
      <w:tr>
        <w:trPr>
          <w:cantSplit/>
        </w:trPr>
        <w:tc>
          <w:tcPr>
            <w:tcW w:type="dxa" w:w="2736"/>
          </w:tcPr>
          <w:p>
            <w:pPr>
              <w:spacing w:after="80" w:before="80"/>
            </w:pPr>
            <w:r>
              <w:rPr>
                <w:sz w:val="18"/>
              </w:rPr>
              <w:t>Polling removed keyboard focus</w:t>
            </w:r>
          </w:p>
        </w:tc>
        <w:tc>
          <w:tcPr>
            <w:tcW w:type="dxa" w:w="7013"/>
          </w:tcPr>
          <w:p>
            <w:pPr>
              <w:spacing w:after="80" w:before="80"/>
            </w:pPr>
            <w:r>
              <w:rPr>
                <w:sz w:val="18"/>
              </w:rPr>
              <w:t>Diagram, legend and inspector updates preserve focus; SVG focus styles and tooltip associations were added</w:t>
            </w:r>
          </w:p>
        </w:tc>
      </w:tr>
      <w:tr>
        <w:trPr>
          <w:cantSplit/>
        </w:trPr>
        <w:tc>
          <w:tcPr>
            <w:tcW w:type="dxa" w:w="2736"/>
          </w:tcPr>
          <w:p>
            <w:pPr>
              <w:spacing w:after="80" w:before="80"/>
            </w:pPr>
            <w:r>
              <w:rPr>
                <w:sz w:val="18"/>
              </w:rPr>
              <w:t>Mobile charts and ledger values were hard to read</w:t>
            </w:r>
          </w:p>
        </w:tc>
        <w:tc>
          <w:tcPr>
            <w:tcW w:type="dxa" w:w="7013"/>
          </w:tcPr>
          <w:p>
            <w:pPr>
              <w:spacing w:after="80" w:before="80"/>
            </w:pPr>
            <w:r>
              <w:rPr>
                <w:sz w:val="18"/>
              </w:rPr>
              <w:t>Compact charts separate labels from bars; ledger numbers stay on one line; layouts were checked at three widths</w:t>
            </w:r>
          </w:p>
        </w:tc>
      </w:tr>
      <w:tr>
        <w:trPr>
          <w:cantSplit/>
        </w:trPr>
        <w:tc>
          <w:tcPr>
            <w:tcW w:type="dxa" w:w="2736"/>
          </w:tcPr>
          <w:p>
            <w:pPr>
              <w:spacing w:after="80" w:before="80"/>
            </w:pPr>
            <w:r>
              <w:rPr>
                <w:sz w:val="18"/>
              </w:rPr>
              <w:t>Traffic controls omitted scaling context</w:t>
            </w:r>
          </w:p>
        </w:tc>
        <w:tc>
          <w:tcPr>
            <w:tcW w:type="dxa" w:w="7013"/>
          </w:tcPr>
          <w:p>
            <w:pPr>
              <w:spacing w:after="80" w:before="80"/>
            </w:pPr>
            <w:r>
              <w:rPr>
                <w:sz w:val="18"/>
              </w:rPr>
              <w:t>Current/max replicas, CPU target, estimated CPU work and replica-limit explanations are visible</w:t>
            </w:r>
          </w:p>
        </w:tc>
      </w:tr>
      <w:tr>
        <w:trPr>
          <w:cantSplit/>
        </w:trPr>
        <w:tc>
          <w:tcPr>
            <w:tcW w:type="dxa" w:w="2736"/>
          </w:tcPr>
          <w:p>
            <w:pPr>
              <w:spacing w:after="80" w:before="80"/>
            </w:pPr>
            <w:r>
              <w:rPr>
                <w:sz w:val="18"/>
              </w:rPr>
              <w:t>A completed load Job could hide failed HTTP requests</w:t>
            </w:r>
          </w:p>
        </w:tc>
        <w:tc>
          <w:tcPr>
            <w:tcW w:type="dxa" w:w="7013"/>
          </w:tcPr>
          <w:p>
            <w:pPr>
              <w:spacing w:after="80" w:before="80"/>
            </w:pPr>
            <w:r>
              <w:rPr>
                <w:sz w:val="18"/>
              </w:rPr>
              <w:t>Traffic results show successful/failed requests and latest p50/p95 latency; missing results remain unknown</w:t>
            </w:r>
          </w:p>
        </w:tc>
      </w:tr>
      <w:tr>
        <w:trPr>
          <w:cantSplit/>
        </w:trPr>
        <w:tc>
          <w:tcPr>
            <w:tcW w:type="dxa" w:w="2736"/>
          </w:tcPr>
          <w:p>
            <w:pPr>
              <w:spacing w:after="80" w:before="80"/>
            </w:pPr>
            <w:r>
              <w:rPr>
                <w:sz w:val="18"/>
              </w:rPr>
              <w:t>CPU-driven maximum replicas were omitted from node demand</w:t>
            </w:r>
          </w:p>
        </w:tc>
        <w:tc>
          <w:tcPr>
            <w:tcW w:type="dxa" w:w="7013"/>
          </w:tcPr>
          <w:p>
            <w:pPr>
              <w:spacing w:after="80" w:before="80"/>
            </w:pPr>
            <w:r>
              <w:rPr>
                <w:sz w:val="18"/>
              </w:rPr>
              <w:t>Pool sizing includes the configured CPU autoscaler ceiling</w:t>
            </w:r>
          </w:p>
        </w:tc>
      </w:tr>
      <w:tr>
        <w:trPr>
          <w:cantSplit/>
        </w:trPr>
        <w:tc>
          <w:tcPr>
            <w:tcW w:type="dxa" w:w="2736"/>
          </w:tcPr>
          <w:p>
            <w:pPr>
              <w:spacing w:after="80" w:before="80"/>
            </w:pPr>
            <w:r>
              <w:rPr>
                <w:sz w:val="18"/>
              </w:rPr>
              <w:t>Cron costs could double-count overlapping targets</w:t>
            </w:r>
          </w:p>
        </w:tc>
        <w:tc>
          <w:tcPr>
            <w:tcW w:type="dxa" w:w="7013"/>
          </w:tcPr>
          <w:p>
            <w:pPr>
              <w:spacing w:after="80" w:before="80"/>
            </w:pPr>
            <w:r>
              <w:rPr>
                <w:sz w:val="18"/>
              </w:rPr>
              <w:t>Costing uses the highest active target and accounts for overnight/weekend schedules</w:t>
            </w:r>
          </w:p>
        </w:tc>
      </w:tr>
      <w:tr>
        <w:trPr>
          <w:cantSplit/>
        </w:trPr>
        <w:tc>
          <w:tcPr>
            <w:tcW w:type="dxa" w:w="2736"/>
          </w:tcPr>
          <w:p>
            <w:pPr>
              <w:spacing w:after="80" w:before="80"/>
            </w:pPr>
            <w:r>
              <w:rPr>
                <w:sz w:val="18"/>
              </w:rPr>
              <w:t>Replica bounds and invalid schedules could escape guardrails</w:t>
            </w:r>
          </w:p>
        </w:tc>
        <w:tc>
          <w:tcPr>
            <w:tcW w:type="dxa" w:w="7013"/>
          </w:tcPr>
          <w:p>
            <w:pPr>
              <w:spacing w:after="80" w:before="80"/>
            </w:pPr>
            <w:r>
              <w:rPr>
                <w:sz w:val="18"/>
              </w:rPr>
              <w:t>Bounds, scaling headroom and accepted cron windows are checked before rendering</w:t>
            </w:r>
          </w:p>
        </w:tc>
      </w:tr>
      <w:tr>
        <w:trPr>
          <w:cantSplit/>
        </w:trPr>
        <w:tc>
          <w:tcPr>
            <w:tcW w:type="dxa" w:w="2736"/>
          </w:tcPr>
          <w:p>
            <w:pPr>
              <w:spacing w:after="80" w:before="80"/>
            </w:pPr>
            <w:r>
              <w:rPr>
                <w:sz w:val="18"/>
              </w:rPr>
              <w:t>Apply could continue after a failed command</w:t>
            </w:r>
          </w:p>
        </w:tc>
        <w:tc>
          <w:tcPr>
            <w:tcW w:type="dxa" w:w="7013"/>
          </w:tcPr>
          <w:p>
            <w:pPr>
              <w:spacing w:after="80" w:before="80"/>
            </w:pPr>
            <w:r>
              <w:rPr>
                <w:sz w:val="18"/>
              </w:rPr>
              <w:t>Commands have timeouts; dependent remaining steps are skipped after failure</w:t>
            </w:r>
          </w:p>
        </w:tc>
      </w:tr>
      <w:tr>
        <w:trPr>
          <w:cantSplit/>
        </w:trPr>
        <w:tc>
          <w:tcPr>
            <w:tcW w:type="dxa" w:w="2736"/>
          </w:tcPr>
          <w:p>
            <w:pPr>
              <w:spacing w:after="80" w:before="80"/>
            </w:pPr>
            <w:r>
              <w:rPr>
                <w:sz w:val="18"/>
              </w:rPr>
              <w:t>Reports could be observed before all files were written</w:t>
            </w:r>
          </w:p>
        </w:tc>
        <w:tc>
          <w:tcPr>
            <w:tcW w:type="dxa" w:w="7013"/>
          </w:tcPr>
          <w:p>
            <w:pPr>
              <w:spacing w:after="80" w:before="80"/>
            </w:pPr>
            <w:r>
              <w:rPr>
                <w:sz w:val="18"/>
              </w:rPr>
              <w:t>Completed runs are published atomically, cannot overwrite existing runs, and use more precise IDs</w:t>
            </w:r>
          </w:p>
        </w:tc>
      </w:tr>
    </w:tbl>
    <w:p>
      <w:pPr>
        <w:spacing w:after="20"/>
      </w:pPr>
    </w:p>
    <w:p>
      <w:pPr>
        <w:pStyle w:val="Heading1"/>
      </w:pPr>
      <w:r>
        <w:t>4. Advanced functionality delivered</w:t>
      </w:r>
    </w:p>
    <w:p>
      <w:pPr>
        <w:pStyle w:val="ListBullet"/>
      </w:pPr>
      <w:r/>
      <w:r>
        <w:rPr>
          <w:b/>
        </w:rPr>
        <w:t>Report history:</w:t>
      </w:r>
      <w:r>
        <w:t xml:space="preserve"> choose completed analyses while live cluster polling continues.</w:t>
      </w:r>
    </w:p>
    <w:p>
      <w:pPr>
        <w:pStyle w:val="ListBullet"/>
      </w:pPr>
      <w:r/>
      <w:r>
        <w:rPr>
          <w:b/>
        </w:rPr>
        <w:t>Pinned writes:</w:t>
      </w:r>
      <w:r>
        <w:t xml:space="preserve"> Apply and GitOps use the selected run ID; namespace mismatches are rejected.</w:t>
      </w:r>
    </w:p>
    <w:p>
      <w:pPr>
        <w:pStyle w:val="ListBullet"/>
      </w:pPr>
      <w:r/>
      <w:r>
        <w:rPr>
          <w:b/>
        </w:rPr>
        <w:t>Exports:</w:t>
      </w:r>
      <w:r>
        <w:t xml:space="preserve"> download a JSON report, all manifests, or a workload's manifests.</w:t>
      </w:r>
    </w:p>
    <w:p>
      <w:pPr>
        <w:pStyle w:val="ListBullet"/>
      </w:pPr>
      <w:r/>
      <w:r>
        <w:rPr>
          <w:b/>
        </w:rPr>
        <w:t>Recommendation filters:</w:t>
      </w:r>
      <w:r>
        <w:t xml:space="preserve"> search by workload and filter by status or proposed changes.</w:t>
      </w:r>
    </w:p>
    <w:p>
      <w:pPr>
        <w:pStyle w:val="ListBullet"/>
      </w:pPr>
      <w:r/>
      <w:r>
        <w:rPr>
          <w:b/>
        </w:rPr>
        <w:t>Plan review:</w:t>
      </w:r>
      <w:r>
        <w:t xml:space="preserve"> inspect machine placement, pricing rationale, guardrail adjustments and migration manifests.</w:t>
      </w:r>
    </w:p>
    <w:p>
      <w:pPr>
        <w:pStyle w:val="ListBullet"/>
      </w:pPr>
      <w:r/>
      <w:r>
        <w:rPr>
          <w:b/>
        </w:rPr>
        <w:t>Live drift inspection:</w:t>
      </w:r>
      <w:r>
        <w:t xml:space="preserve"> inspect differing fields between live objects and the latest plan.</w:t>
      </w:r>
    </w:p>
    <w:p>
      <w:pPr>
        <w:pStyle w:val="ListBullet"/>
      </w:pPr>
      <w:r/>
      <w:r>
        <w:rPr>
          <w:b/>
        </w:rPr>
        <w:t>Rollout and placement checks:</w:t>
      </w:r>
      <w:r>
        <w:t xml:space="preserve"> distinguish matching specs from a ready rollout; skip migrations when there are too few Ready, uncordoned nodes carrying the target SKU label.</w:t>
      </w:r>
    </w:p>
    <w:p>
      <w:pPr>
        <w:pStyle w:val="ListBullet"/>
      </w:pPr>
      <w:r/>
      <w:r>
        <w:rPr>
          <w:b/>
        </w:rPr>
        <w:t>Traffic observability:</w:t>
      </w:r>
      <w:r>
        <w:t xml:space="preserve"> rediscover active jobs after reload and display numeric request results from bounded, cached log reads, including results from completed or failed jobs.</w:t>
      </w:r>
    </w:p>
    <w:p>
      <w:pPr>
        <w:pStyle w:val="ListBullet"/>
      </w:pPr>
      <w:r/>
      <w:r>
        <w:rPr>
          <w:b/>
        </w:rPr>
        <w:t>API reliability:</w:t>
      </w:r>
      <w:r>
        <w:t xml:space="preserve"> validate request bodies and parameter types, serialize mutations within the web server instance, bound subprocesses and redact configured credential values from JSON responses.</w:t>
      </w:r>
    </w:p>
    <w:p>
      <w:pPr>
        <w:pStyle w:val="Heading1"/>
      </w:pPr>
      <w:r>
        <w:t>5. Validation evidence</w:t>
      </w:r>
    </w:p>
    <w:tbl>
      <w:tblPr>
        <w:tblStyle w:val="LightShading-Accent1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3672"/>
        <w:gridCol w:w="3917"/>
      </w:tblGrid>
      <w:tr>
        <w:trPr>
          <w:cantSplit/>
          <w:tblHeader/>
        </w:trPr>
        <w:tc>
          <w:tcPr>
            <w:tcW w:type="dxa" w:w="2160"/>
          </w:tcPr>
          <w:p>
            <w:pPr>
              <w:spacing w:after="80" w:before="80"/>
            </w:pPr>
            <w:r>
              <w:rPr>
                <w:b/>
                <w:sz w:val="18"/>
              </w:rPr>
              <w:t>Validation</w:t>
            </w:r>
          </w:p>
        </w:tc>
        <w:tc>
          <w:tcPr>
            <w:tcW w:type="dxa" w:w="3672"/>
          </w:tcPr>
          <w:p>
            <w:pPr>
              <w:spacing w:after="80" w:before="80"/>
            </w:pPr>
            <w:r>
              <w:rPr>
                <w:b/>
                <w:sz w:val="18"/>
              </w:rPr>
              <w:t>Recorded result</w:t>
            </w:r>
          </w:p>
        </w:tc>
        <w:tc>
          <w:tcPr>
            <w:tcW w:type="dxa" w:w="3917"/>
          </w:tcPr>
          <w:p>
            <w:pPr>
              <w:spacing w:after="80" w:before="80"/>
            </w:pPr>
            <w:r>
              <w:rPr>
                <w:b/>
                <w:sz w:val="18"/>
              </w:rPr>
              <w:t>Coverage limit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after="80" w:before="80"/>
            </w:pPr>
            <w:r>
              <w:rPr>
                <w:sz w:val="18"/>
              </w:rPr>
              <w:t>Python automated suite</w:t>
            </w:r>
          </w:p>
        </w:tc>
        <w:tc>
          <w:tcPr>
            <w:tcW w:type="dxa" w:w="3672"/>
          </w:tcPr>
          <w:p>
            <w:pPr>
              <w:spacing w:after="80" w:before="80"/>
            </w:pPr>
            <w:r>
              <w:rPr>
                <w:sz w:val="18"/>
              </w:rPr>
              <w:t>73 tests passed</w:t>
            </w:r>
          </w:p>
        </w:tc>
        <w:tc>
          <w:tcPr>
            <w:tcW w:type="dxa" w:w="3917"/>
          </w:tcPr>
          <w:p>
            <w:pPr>
              <w:spacing w:after="80" w:before="80"/>
            </w:pPr>
            <w:r>
              <w:rPr>
                <w:sz w:val="18"/>
              </w:rPr>
              <w:t>Deterministic tests; no live model calls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after="80" w:before="80"/>
            </w:pPr>
            <w:r>
              <w:rPr>
                <w:sz w:val="18"/>
              </w:rPr>
              <w:t>Isolated browser suite</w:t>
            </w:r>
          </w:p>
        </w:tc>
        <w:tc>
          <w:tcPr>
            <w:tcW w:type="dxa" w:w="3672"/>
          </w:tcPr>
          <w:p>
            <w:pPr>
              <w:spacing w:after="80" w:before="80"/>
            </w:pPr>
            <w:r>
              <w:rPr>
                <w:sz w:val="18"/>
              </w:rPr>
              <w:t>17 scenarios passed</w:t>
            </w:r>
          </w:p>
        </w:tc>
        <w:tc>
          <w:tcPr>
            <w:tcW w:type="dxa" w:w="3917"/>
          </w:tcPr>
          <w:p>
            <w:pPr>
              <w:spacing w:after="80" w:before="80"/>
            </w:pPr>
            <w:r>
              <w:rPr>
                <w:sz w:val="18"/>
              </w:rPr>
              <w:t>Chromium with mocked API responses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after="80" w:before="80"/>
            </w:pPr>
            <w:r>
              <w:rPr>
                <w:sz w:val="18"/>
              </w:rPr>
              <w:t>Responsive themes</w:t>
            </w:r>
          </w:p>
        </w:tc>
        <w:tc>
          <w:tcPr>
            <w:tcW w:type="dxa" w:w="3672"/>
          </w:tcPr>
          <w:p>
            <w:pPr>
              <w:spacing w:after="80" w:before="80"/>
            </w:pPr>
            <w:r>
              <w:rPr>
                <w:sz w:val="18"/>
              </w:rPr>
              <w:t>390, 768 and 1400 px, light and dark</w:t>
            </w:r>
          </w:p>
        </w:tc>
        <w:tc>
          <w:tcPr>
            <w:tcW w:type="dxa" w:w="3917"/>
          </w:tcPr>
          <w:p>
            <w:pPr>
              <w:spacing w:after="80" w:before="80"/>
            </w:pPr>
            <w:r>
              <w:rPr>
                <w:sz w:val="18"/>
              </w:rPr>
              <w:t>Visual and interaction checks at these widths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after="80" w:before="80"/>
            </w:pPr>
            <w:r>
              <w:rPr>
                <w:sz w:val="18"/>
              </w:rPr>
              <w:t>Larger cluster layout</w:t>
            </w:r>
          </w:p>
        </w:tc>
        <w:tc>
          <w:tcPr>
            <w:tcW w:type="dxa" w:w="3672"/>
          </w:tcPr>
          <w:p>
            <w:pPr>
              <w:spacing w:after="80" w:before="80"/>
            </w:pPr>
            <w:r>
              <w:rPr>
                <w:sz w:val="18"/>
              </w:rPr>
              <w:t>Three machines and 32 pods</w:t>
            </w:r>
          </w:p>
        </w:tc>
        <w:tc>
          <w:tcPr>
            <w:tcW w:type="dxa" w:w="3917"/>
          </w:tcPr>
          <w:p>
            <w:pPr>
              <w:spacing w:after="80" w:before="80"/>
            </w:pPr>
            <w:r>
              <w:rPr>
                <w:sz w:val="18"/>
              </w:rPr>
              <w:t>Synthetic layout stress case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after="80" w:before="80"/>
            </w:pPr>
            <w:r>
              <w:rPr>
                <w:sz w:val="18"/>
              </w:rPr>
              <w:t>Firefox 155</w:t>
            </w:r>
          </w:p>
        </w:tc>
        <w:tc>
          <w:tcPr>
            <w:tcW w:type="dxa" w:w="3672"/>
          </w:tcPr>
          <w:p>
            <w:pPr>
              <w:spacing w:after="80" w:before="80"/>
            </w:pPr>
            <w:r>
              <w:rPr>
                <w:sz w:val="18"/>
              </w:rPr>
              <w:t>Settled DOM rendering snapshots at all three widths and both themes</w:t>
            </w:r>
          </w:p>
        </w:tc>
        <w:tc>
          <w:tcPr>
            <w:tcW w:type="dxa" w:w="3917"/>
          </w:tcPr>
          <w:p>
            <w:pPr>
              <w:spacing w:after="80" w:before="80"/>
            </w:pPr>
            <w:r>
              <w:rPr>
                <w:sz w:val="18"/>
              </w:rPr>
              <w:t>Interactive regression coverage used Chromium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after="80" w:before="80"/>
            </w:pPr>
            <w:r>
              <w:rPr>
                <w:sz w:val="18"/>
              </w:rPr>
              <w:t>Accessibility interactions</w:t>
            </w:r>
          </w:p>
        </w:tc>
        <w:tc>
          <w:tcPr>
            <w:tcW w:type="dxa" w:w="3672"/>
          </w:tcPr>
          <w:p>
            <w:pPr>
              <w:spacing w:after="80" w:before="80"/>
            </w:pPr>
            <w:r>
              <w:rPr>
                <w:sz w:val="18"/>
              </w:rPr>
              <w:t>Focus preservation, SVG focus, tooltip labels, keyboard selection, reduced motion</w:t>
            </w:r>
          </w:p>
        </w:tc>
        <w:tc>
          <w:tcPr>
            <w:tcW w:type="dxa" w:w="3917"/>
          </w:tcPr>
          <w:p>
            <w:pPr>
              <w:spacing w:after="80" w:before="80"/>
            </w:pPr>
            <w:r>
              <w:rPr>
                <w:sz w:val="18"/>
              </w:rPr>
              <w:t>Not a formal screen-reader or WCAG certification audit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after="80" w:before="80"/>
            </w:pPr>
            <w:r>
              <w:rPr>
                <w:sz w:val="18"/>
              </w:rPr>
              <w:t>Untrusted text</w:t>
            </w:r>
          </w:p>
        </w:tc>
        <w:tc>
          <w:tcPr>
            <w:tcW w:type="dxa" w:w="3672"/>
          </w:tcPr>
          <w:p>
            <w:pPr>
              <w:spacing w:after="80" w:before="80"/>
            </w:pPr>
            <w:r>
              <w:rPr>
                <w:sz w:val="18"/>
              </w:rPr>
              <w:t>Model/node text escaping checked</w:t>
            </w:r>
          </w:p>
        </w:tc>
        <w:tc>
          <w:tcPr>
            <w:tcW w:type="dxa" w:w="3917"/>
          </w:tcPr>
          <w:p>
            <w:pPr>
              <w:spacing w:after="80" w:before="80"/>
            </w:pPr>
            <w:r>
              <w:rPr>
                <w:sz w:val="18"/>
              </w:rPr>
              <w:t>Does not replace a full security audit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after="80" w:before="80"/>
            </w:pPr>
            <w:r>
              <w:rPr>
                <w:sz w:val="18"/>
              </w:rPr>
              <w:t>Credentials</w:t>
            </w:r>
          </w:p>
        </w:tc>
        <w:tc>
          <w:tcPr>
            <w:tcW w:type="dxa" w:w="3672"/>
          </w:tcPr>
          <w:p>
            <w:pPr>
              <w:spacing w:after="80" w:before="80"/>
            </w:pPr>
            <w:r>
              <w:rPr>
                <w:sz w:val="18"/>
              </w:rPr>
              <w:t>Tracked/staged files checked before implementation push</w:t>
            </w:r>
          </w:p>
        </w:tc>
        <w:tc>
          <w:tcPr>
            <w:tcW w:type="dxa" w:w="3917"/>
          </w:tcPr>
          <w:p>
            <w:pPr>
              <w:spacing w:after="80" w:before="80"/>
            </w:pPr>
            <w:r>
              <w:rPr>
                <w:sz w:val="18"/>
              </w:rPr>
              <w:t>Secrets remain in the ignored local environment file</w:t>
            </w:r>
          </w:p>
        </w:tc>
      </w:tr>
    </w:tbl>
    <w:p>
      <w:pPr>
        <w:spacing w:after="20"/>
      </w:pPr>
    </w:p>
    <w:p>
      <w:r>
        <w:t>The browser scenarios cover empty/offline states, failed operations, validation versus application, reload/reset behavior, history-pinned actions, download contents, filters, theme persistence, keyboard focus and traffic results. They explicitly check that a completed Job with request failures remains visibly marked and that unavailable logs do not imply zero errors.</w:t>
      </w:r>
    </w:p>
    <w:p>
      <w:pPr>
        <w:pStyle w:val="Heading1"/>
      </w:pPr>
      <w:r>
        <w:t>6. Real-cluster demo</w:t>
      </w:r>
    </w:p>
    <w:tbl>
      <w:tblPr>
        <w:tblStyle w:val="LightShading-Accent1"/>
        <w:tblW w:type="auto" w:w="0"/>
        <w:tblLayout w:type="fixed"/>
        <w:tblLook w:firstColumn="1" w:firstRow="1" w:lastColumn="0" w:lastRow="0" w:noHBand="0" w:noVBand="1" w:val="04A0"/>
      </w:tblPr>
      <w:tblGrid>
        <w:gridCol w:w="2736"/>
        <w:gridCol w:w="7013"/>
      </w:tblGrid>
      <w:tr>
        <w:trPr>
          <w:cantSplit/>
          <w:tblHeader/>
        </w:trPr>
        <w:tc>
          <w:tcPr>
            <w:tcW w:type="dxa" w:w="2736"/>
          </w:tcPr>
          <w:p>
            <w:pPr>
              <w:spacing w:after="80" w:before="80"/>
            </w:pPr>
            <w:r>
              <w:rPr>
                <w:b/>
                <w:sz w:val="18"/>
              </w:rPr>
              <w:t>Step</w:t>
            </w:r>
          </w:p>
        </w:tc>
        <w:tc>
          <w:tcPr>
            <w:tcW w:type="dxa" w:w="7013"/>
          </w:tcPr>
          <w:p>
            <w:pPr>
              <w:spacing w:after="80" w:before="80"/>
            </w:pPr>
            <w:r>
              <w:rPr>
                <w:b/>
                <w:sz w:val="18"/>
              </w:rPr>
              <w:t>Observation</w:t>
            </w:r>
          </w:p>
        </w:tc>
      </w:tr>
      <w:tr>
        <w:trPr>
          <w:cantSplit/>
        </w:trPr>
        <w:tc>
          <w:tcPr>
            <w:tcW w:type="dxa" w:w="2736"/>
          </w:tcPr>
          <w:p>
            <w:pPr>
              <w:spacing w:after="80" w:before="80"/>
            </w:pPr>
            <w:r>
              <w:rPr>
                <w:sz w:val="18"/>
              </w:rPr>
              <w:t>Starting state</w:t>
            </w:r>
          </w:p>
        </w:tc>
        <w:tc>
          <w:tcPr>
            <w:tcW w:type="dxa" w:w="7013"/>
          </w:tcPr>
          <w:p>
            <w:pPr>
              <w:spacing w:after="80" w:before="80"/>
            </w:pPr>
            <w:r>
              <w:rPr>
                <w:sz w:val="18"/>
              </w:rPr>
              <w:t>Eight original workload pods on the desktop; none on the laptop</w:t>
            </w:r>
          </w:p>
        </w:tc>
      </w:tr>
      <w:tr>
        <w:trPr>
          <w:cantSplit/>
        </w:trPr>
        <w:tc>
          <w:tcPr>
            <w:tcW w:type="dxa" w:w="2736"/>
          </w:tcPr>
          <w:p>
            <w:pPr>
              <w:spacing w:after="80" w:before="80"/>
            </w:pPr>
            <w:r>
              <w:rPr>
                <w:sz w:val="18"/>
              </w:rPr>
              <w:t>Analyze</w:t>
            </w:r>
          </w:p>
        </w:tc>
        <w:tc>
          <w:tcPr>
            <w:tcW w:type="dxa" w:w="7013"/>
          </w:tcPr>
          <w:p>
            <w:pPr>
              <w:spacing w:after="80" w:before="80"/>
            </w:pPr>
            <w:r>
              <w:rPr>
                <w:sz w:val="18"/>
              </w:rPr>
              <w:t xml:space="preserve">Live Cerebras run </w:t>
            </w:r>
            <w:r>
              <w:rPr>
                <w:rFonts w:ascii="Consolas" w:hAnsi="Consolas"/>
                <w:sz w:val="18"/>
              </w:rPr>
              <w:t>20261027-222729-780339</w:t>
            </w:r>
            <w:r>
              <w:rPr>
                <w:sz w:val="18"/>
              </w:rPr>
              <w:t>: six calls costing $0.011127</w:t>
            </w:r>
          </w:p>
        </w:tc>
      </w:tr>
      <w:tr>
        <w:trPr>
          <w:cantSplit/>
        </w:trPr>
        <w:tc>
          <w:tcPr>
            <w:tcW w:type="dxa" w:w="2736"/>
          </w:tcPr>
          <w:p>
            <w:pPr>
              <w:spacing w:after="80" w:before="80"/>
            </w:pPr>
            <w:r>
              <w:rPr>
                <w:sz w:val="18"/>
              </w:rPr>
              <w:t>Proposed placement</w:t>
            </w:r>
          </w:p>
        </w:tc>
        <w:tc>
          <w:tcPr>
            <w:tcW w:type="dxa" w:w="7013"/>
          </w:tcPr>
          <w:p>
            <w:pPr>
              <w:spacing w:after="80" w:before="80"/>
            </w:pPr>
            <w:r>
              <w:rPr>
                <w:sz w:val="18"/>
              </w:rPr>
              <w:t>One F8s_v2-labelled machine; configured model cost $246.74/month versus $280.32/month before</w:t>
            </w:r>
          </w:p>
        </w:tc>
      </w:tr>
      <w:tr>
        <w:trPr>
          <w:cantSplit/>
        </w:trPr>
        <w:tc>
          <w:tcPr>
            <w:tcW w:type="dxa" w:w="2736"/>
          </w:tcPr>
          <w:p>
            <w:pPr>
              <w:spacing w:after="80" w:before="80"/>
            </w:pPr>
            <w:r>
              <w:rPr>
                <w:sz w:val="18"/>
              </w:rPr>
              <w:t>Validate only</w:t>
            </w:r>
          </w:p>
        </w:tc>
        <w:tc>
          <w:tcPr>
            <w:tcW w:type="dxa" w:w="7013"/>
          </w:tcPr>
          <w:p>
            <w:pPr>
              <w:spacing w:after="80" w:before="80"/>
            </w:pPr>
            <w:r>
              <w:rPr>
                <w:sz w:val="18"/>
              </w:rPr>
              <w:t>11/11 steps checked, no skips</w:t>
            </w:r>
          </w:p>
        </w:tc>
      </w:tr>
      <w:tr>
        <w:trPr>
          <w:cantSplit/>
        </w:trPr>
        <w:tc>
          <w:tcPr>
            <w:tcW w:type="dxa" w:w="2736"/>
          </w:tcPr>
          <w:p>
            <w:pPr>
              <w:spacing w:after="80" w:before="80"/>
            </w:pPr>
            <w:r>
              <w:rPr>
                <w:sz w:val="18"/>
              </w:rPr>
              <w:t>Apply</w:t>
            </w:r>
          </w:p>
        </w:tc>
        <w:tc>
          <w:tcPr>
            <w:tcW w:type="dxa" w:w="7013"/>
          </w:tcPr>
          <w:p>
            <w:pPr>
              <w:spacing w:after="80" w:before="80"/>
            </w:pPr>
            <w:r>
              <w:rPr>
                <w:sz w:val="18"/>
              </w:rPr>
              <w:t>11/11 commands succeeded; planned workload placement/specs matched and rollout became ready</w:t>
            </w:r>
          </w:p>
        </w:tc>
      </w:tr>
      <w:tr>
        <w:trPr>
          <w:cantSplit/>
        </w:trPr>
        <w:tc>
          <w:tcPr>
            <w:tcW w:type="dxa" w:w="2736"/>
          </w:tcPr>
          <w:p>
            <w:pPr>
              <w:spacing w:after="80" w:before="80"/>
            </w:pPr>
            <w:r>
              <w:rPr>
                <w:sz w:val="18"/>
              </w:rPr>
              <w:t>Browser reload</w:t>
            </w:r>
          </w:p>
        </w:tc>
        <w:tc>
          <w:tcPr>
            <w:tcW w:type="dxa" w:w="7013"/>
          </w:tcPr>
          <w:p>
            <w:pPr>
              <w:spacing w:after="80" w:before="80"/>
            </w:pPr>
            <w:r>
              <w:rPr>
                <w:sz w:val="18"/>
              </w:rPr>
              <w:t>Applied state was recovered from Kubernetes</w:t>
            </w:r>
          </w:p>
        </w:tc>
      </w:tr>
      <w:tr>
        <w:trPr>
          <w:cantSplit/>
        </w:trPr>
        <w:tc>
          <w:tcPr>
            <w:tcW w:type="dxa" w:w="2736"/>
          </w:tcPr>
          <w:p>
            <w:pPr>
              <w:spacing w:after="80" w:before="80"/>
            </w:pPr>
            <w:r>
              <w:rPr>
                <w:sz w:val="18"/>
              </w:rPr>
              <w:t>Traffic</w:t>
            </w:r>
          </w:p>
        </w:tc>
        <w:tc>
          <w:tcPr>
            <w:tcW w:type="dxa" w:w="7013"/>
          </w:tcPr>
          <w:p>
            <w:pPr>
              <w:spacing w:after="80" w:before="80"/>
            </w:pPr>
            <w:r>
              <w:rPr>
                <w:sz w:val="18"/>
              </w:rPr>
              <w:t>One run at 80 requests/second, 50 ms CPU work/request, for 180 seconds</w:t>
            </w:r>
          </w:p>
        </w:tc>
      </w:tr>
      <w:tr>
        <w:trPr>
          <w:cantSplit/>
        </w:trPr>
        <w:tc>
          <w:tcPr>
            <w:tcW w:type="dxa" w:w="2736"/>
          </w:tcPr>
          <w:p>
            <w:pPr>
              <w:spacing w:after="80" w:before="80"/>
            </w:pPr>
            <w:r>
              <w:rPr>
                <w:sz w:val="18"/>
              </w:rPr>
              <w:t>Autoscaling</w:t>
            </w:r>
          </w:p>
        </w:tc>
        <w:tc>
          <w:tcPr>
            <w:tcW w:type="dxa" w:w="7013"/>
          </w:tcPr>
          <w:p>
            <w:pPr>
              <w:spacing w:after="80" w:before="80"/>
            </w:pPr>
            <w:r>
              <w:rPr>
                <w:sz w:val="18"/>
              </w:rPr>
              <w:t>checkout-web increased from three to four replicas; sampled CPU reached 124% against a 70% target</w:t>
            </w:r>
          </w:p>
        </w:tc>
      </w:tr>
      <w:tr>
        <w:trPr>
          <w:cantSplit/>
        </w:trPr>
        <w:tc>
          <w:tcPr>
            <w:tcW w:type="dxa" w:w="2736"/>
          </w:tcPr>
          <w:p>
            <w:pPr>
              <w:spacing w:after="80" w:before="80"/>
            </w:pPr>
            <w:r>
              <w:rPr>
                <w:sz w:val="18"/>
              </w:rPr>
              <w:t>Metrics failure</w:t>
            </w:r>
          </w:p>
        </w:tc>
        <w:tc>
          <w:tcPr>
            <w:tcW w:type="dxa" w:w="7013"/>
          </w:tcPr>
          <w:p>
            <w:pPr>
              <w:spacing w:after="80" w:before="80"/>
            </w:pPr>
            <w:r>
              <w:rPr>
                <w:sz w:val="18"/>
              </w:rPr>
              <w:t>Brief VictoriaMetrics outage produced a readable Analyze 502; the service was restored</w:t>
            </w:r>
          </w:p>
        </w:tc>
      </w:tr>
      <w:tr>
        <w:trPr>
          <w:cantSplit/>
        </w:trPr>
        <w:tc>
          <w:tcPr>
            <w:tcW w:type="dxa" w:w="2736"/>
          </w:tcPr>
          <w:p>
            <w:pPr>
              <w:spacing w:after="80" w:before="80"/>
            </w:pPr>
            <w:r>
              <w:rPr>
                <w:sz w:val="18"/>
              </w:rPr>
              <w:t>Networking</w:t>
            </w:r>
          </w:p>
        </w:tc>
        <w:tc>
          <w:tcPr>
            <w:tcW w:type="dxa" w:w="7013"/>
          </w:tcPr>
          <w:p>
            <w:pPr>
              <w:spacing w:after="80" w:before="80"/>
            </w:pPr>
            <w:r>
              <w:rPr>
                <w:sz w:val="18"/>
              </w:rPr>
              <w:t>A laptop test pod resolved cluster DNS and reached the checkout Service</w:t>
            </w:r>
          </w:p>
        </w:tc>
      </w:tr>
      <w:tr>
        <w:trPr>
          <w:cantSplit/>
        </w:trPr>
        <w:tc>
          <w:tcPr>
            <w:tcW w:type="dxa" w:w="2736"/>
          </w:tcPr>
          <w:p>
            <w:pPr>
              <w:spacing w:after="80" w:before="80"/>
            </w:pPr>
            <w:r>
              <w:rPr>
                <w:sz w:val="18"/>
              </w:rPr>
              <w:t>Final state</w:t>
            </w:r>
          </w:p>
        </w:tc>
        <w:tc>
          <w:tcPr>
            <w:tcW w:type="dxa" w:w="7013"/>
          </w:tcPr>
          <w:p>
            <w:pPr>
              <w:spacing w:after="80" w:before="80"/>
            </w:pPr>
            <w:r>
              <w:rPr>
                <w:sz w:val="18"/>
              </w:rPr>
              <w:t>Demo reset: both machines Ready, eight original desktop pods, no active traffic jobs</w:t>
            </w:r>
          </w:p>
        </w:tc>
      </w:tr>
    </w:tbl>
    <w:p>
      <w:pPr>
        <w:spacing w:after="20"/>
      </w:pPr>
    </w:p>
    <w:p>
      <w:r>
        <w:t xml:space="preserve">The $33.58/month difference is a </w:t>
      </w:r>
      <w:r>
        <w:rPr>
          <w:b/>
        </w:rPr>
        <w:t>configured price-model estimate</w:t>
      </w:r>
      <w:r>
        <w:t>. It is not a measured billing reduction and does not imply that moving pods switches off a machine.</w:t>
      </w:r>
    </w:p>
    <w:p>
      <w:pPr>
        <w:pStyle w:val="Heading2"/>
      </w:pPr>
      <w:r>
        <w:t>Traffic finding</w:t>
      </w:r>
    </w:p>
    <w:p>
      <w:r>
        <w:t>The heavy traffic run reached the four-replica limit and produced HTTP errors and multi-second p95 latency. Observed ten-second log intervals included 12–35 failed requests, with p95 roughly 7–11 seconds. These are interval observations, not a complete request-failure total for the run.</w:t>
      </w:r>
    </w:p>
    <w:p>
      <w:r>
        <w:t>This verified scaling and saturation behavior; it did not establish error-free throughput. The traffic health panel was implemented after this finding. Its parser and UI states were validated with deterministic backend/browser tests; the heavy load was not repeated. Request counters sum available interval samples; displayed latency describes the latest interval.</w:t>
      </w:r>
    </w:p>
    <w:p>
      <w:pPr>
        <w:pStyle w:val="Heading1"/>
      </w:pPr>
      <w:r>
        <w:t>7. Remaining limits</w:t>
      </w:r>
    </w:p>
    <w:p>
      <w:pPr>
        <w:pStyle w:val="ListBullet"/>
      </w:pPr>
      <w:r/>
      <w:r>
        <w:rPr>
          <w:b/>
        </w:rPr>
        <w:t>Historical verification:</w:t>
      </w:r>
      <w:r>
        <w:t xml:space="preserve"> live drift/application checks compare the latest report in the configured namespace. Older selected reports have pinned actions but no historical live-verification badge.</w:t>
      </w:r>
    </w:p>
    <w:p>
      <w:pPr>
        <w:pStyle w:val="ListBullet"/>
      </w:pPr>
      <w:r/>
      <w:r>
        <w:rPr>
          <w:b/>
        </w:rPr>
        <w:t>Modelled evidence:</w:t>
      </w:r>
      <w:r>
        <w:t xml:space="preserve"> usage history combines synthetic backfill and live metrics. Prices come from the configured cloud cost model.</w:t>
      </w:r>
    </w:p>
    <w:p>
      <w:pPr>
        <w:pStyle w:val="ListBullet"/>
      </w:pPr>
      <w:r/>
      <w:r>
        <w:rPr>
          <w:b/>
        </w:rPr>
        <w:t>Placement assurance:</w:t>
      </w:r>
      <w:r>
        <w:t xml:space="preserve"> counting Ready, uncordoned, SKU-labelled nodes is not a complete scheduler or free-capacity guarantee. Taints, competing workloads and placement constraints still matter.</w:t>
      </w:r>
    </w:p>
    <w:p>
      <w:pPr>
        <w:pStyle w:val="ListBullet"/>
      </w:pPr>
      <w:r/>
      <w:r>
        <w:rPr>
          <w:b/>
        </w:rPr>
        <w:t>Operation coordination:</w:t>
      </w:r>
      <w:r>
        <w:t xml:space="preserve"> mutation serialization belongs to one web-server instance; it is not a distributed lock across separate CLI/server processes.</w:t>
      </w:r>
    </w:p>
    <w:p>
      <w:pPr>
        <w:pStyle w:val="ListBullet"/>
      </w:pPr>
      <w:r/>
      <w:r>
        <w:rPr>
          <w:b/>
        </w:rPr>
        <w:t>Access control:</w:t>
      </w:r>
      <w:r>
        <w:t xml:space="preserve"> the existing LAN access model remains. </w:t>
      </w:r>
      <w:r>
        <w:rPr>
          <w:rFonts w:ascii="Consolas" w:hAnsi="Consolas"/>
          <w:sz w:val="18"/>
        </w:rPr>
        <w:t>X-KubeSage</w:t>
      </w:r>
      <w:r>
        <w:t xml:space="preserve"> prevents cross-origin browser POSTs; it does not authenticate a user.</w:t>
      </w:r>
    </w:p>
    <w:p>
      <w:pPr>
        <w:pStyle w:val="ListBullet"/>
      </w:pPr>
      <w:r/>
      <w:r>
        <w:rPr>
          <w:b/>
        </w:rPr>
        <w:t>Traffic evidence:</w:t>
      </w:r>
      <w:r>
        <w:t xml:space="preserve"> a countdown, increased CPU or a completed Job cannot establish successful requests. Results depend on available job logs and the configured replica/machine limits.</w:t>
      </w:r>
    </w:p>
    <w:p>
      <w:pPr>
        <w:pStyle w:val="ListBullet"/>
      </w:pPr>
      <w:r/>
      <w:r>
        <w:rPr>
          <w:b/>
        </w:rPr>
        <w:t>Review status:</w:t>
      </w:r>
      <w:r>
        <w:t xml:space="preserve"> changes are on the feature branch in PR #10; this report does not claim they are merged or production-certified.</w:t>
      </w:r>
    </w:p>
    <w:p>
      <w:pPr>
        <w:pStyle w:val="Heading1"/>
      </w:pPr>
      <w:r>
        <w:t>8. Proposed follow-up priorities</w:t>
      </w:r>
    </w:p>
    <w:p>
      <w:r>
        <w:t>These items are proposed future work, not completed features:</w:t>
      </w:r>
    </w:p>
    <w:p>
      <w:pPr>
        <w:pStyle w:val="ListNumber"/>
      </w:pPr>
      <w:r>
        <w:t>Add authentication/authorization before widening access beyond the current trusted environment.</w:t>
      </w:r>
    </w:p>
    <w:p>
      <w:pPr>
        <w:pStyle w:val="ListNumber"/>
      </w:pPr>
      <w:r>
        <w:t>Make live verification selectable by historical run ID.</w:t>
      </w:r>
    </w:p>
    <w:p>
      <w:pPr>
        <w:pStyle w:val="ListNumber"/>
      </w:pPr>
      <w:r>
        <w:t>Extend placement checks to account for pod constraints and existing resource demand.</w:t>
      </w:r>
    </w:p>
    <w:p>
      <w:pPr>
        <w:pStyle w:val="ListNumber"/>
      </w:pPr>
      <w:r>
        <w:t>Persist request-health summaries beyond job-log retention and demo resets.</w:t>
      </w:r>
    </w:p>
    <w:p>
      <w:pPr>
        <w:pStyle w:val="ListNumber"/>
      </w:pPr>
      <w:r>
        <w:t>Establish explicit latency/error-rate goals and test lower traffic levels to measure sustainable throughput.</w:t>
      </w:r>
    </w:p>
    <w:p>
      <w:pPr>
        <w:pStyle w:val="ListNumber"/>
      </w:pPr>
      <w:r>
        <w:t>Add native Firefox interaction and screen-reader coverage.</w:t>
      </w:r>
    </w:p>
    <w:p>
      <w:pPr>
        <w:pStyle w:val="Heading1"/>
      </w:pPr>
      <w:r>
        <w:t>9. Files and reproduction</w:t>
      </w:r>
    </w:p>
    <w:tbl>
      <w:tblPr>
        <w:tblStyle w:val="LightShading-Accent1"/>
        <w:tblW w:type="auto" w:w="0"/>
        <w:tblLayout w:type="fixed"/>
        <w:tblLook w:firstColumn="1" w:firstRow="1" w:lastColumn="0" w:lastRow="0" w:noHBand="0" w:noVBand="1" w:val="04A0"/>
      </w:tblPr>
      <w:tblGrid>
        <w:gridCol w:w="2736"/>
        <w:gridCol w:w="7013"/>
      </w:tblGrid>
      <w:tr>
        <w:trPr>
          <w:cantSplit/>
          <w:tblHeader/>
        </w:trPr>
        <w:tc>
          <w:tcPr>
            <w:tcW w:type="dxa" w:w="2736"/>
          </w:tcPr>
          <w:p>
            <w:pPr>
              <w:spacing w:after="80" w:before="80"/>
            </w:pPr>
            <w:r>
              <w:rPr>
                <w:b/>
                <w:sz w:val="18"/>
              </w:rPr>
              <w:t>Area</w:t>
            </w:r>
          </w:p>
        </w:tc>
        <w:tc>
          <w:tcPr>
            <w:tcW w:type="dxa" w:w="7013"/>
          </w:tcPr>
          <w:p>
            <w:pPr>
              <w:spacing w:after="80" w:before="80"/>
            </w:pPr>
            <w:r>
              <w:rPr>
                <w:b/>
                <w:sz w:val="18"/>
              </w:rPr>
              <w:t>Main files</w:t>
            </w:r>
          </w:p>
        </w:tc>
      </w:tr>
      <w:tr>
        <w:trPr>
          <w:cantSplit/>
        </w:trPr>
        <w:tc>
          <w:tcPr>
            <w:tcW w:type="dxa" w:w="2736"/>
          </w:tcPr>
          <w:p>
            <w:pPr>
              <w:spacing w:after="80" w:before="80"/>
            </w:pPr>
            <w:r>
              <w:rPr>
                <w:sz w:val="18"/>
              </w:rPr>
              <w:t>Dashboard</w:t>
            </w:r>
          </w:p>
        </w:tc>
        <w:tc>
          <w:tcPr>
            <w:tcW w:type="dxa" w:w="7013"/>
          </w:tcPr>
          <w:p>
            <w:pPr>
              <w:spacing w:after="80" w:before="8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kubesage/web/static/index.html</w:t>
            </w:r>
            <w:r>
              <w:rPr>
                <w:sz w:val="18"/>
              </w:rPr>
            </w:r>
          </w:p>
        </w:tc>
      </w:tr>
      <w:tr>
        <w:trPr>
          <w:cantSplit/>
        </w:trPr>
        <w:tc>
          <w:tcPr>
            <w:tcW w:type="dxa" w:w="2736"/>
          </w:tcPr>
          <w:p>
            <w:pPr>
              <w:spacing w:after="80" w:before="80"/>
            </w:pPr>
            <w:r>
              <w:rPr>
                <w:sz w:val="18"/>
              </w:rPr>
              <w:t>HTTP API and cluster/traffic state</w:t>
            </w:r>
          </w:p>
        </w:tc>
        <w:tc>
          <w:tcPr>
            <w:tcW w:type="dxa" w:w="7013"/>
          </w:tcPr>
          <w:p>
            <w:pPr>
              <w:spacing w:after="80" w:before="8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kubesage/web/server.py</w:t>
            </w:r>
            <w:r>
              <w:rPr>
                <w:sz w:val="18"/>
              </w:rPr>
            </w:r>
          </w:p>
        </w:tc>
      </w:tr>
      <w:tr>
        <w:trPr>
          <w:cantSplit/>
        </w:trPr>
        <w:tc>
          <w:tcPr>
            <w:tcW w:type="dxa" w:w="2736"/>
          </w:tcPr>
          <w:p>
            <w:pPr>
              <w:spacing w:after="80" w:before="80"/>
            </w:pPr>
            <w:r>
              <w:rPr>
                <w:sz w:val="18"/>
              </w:rPr>
              <w:t>Applying and traffic startup</w:t>
            </w:r>
          </w:p>
        </w:tc>
        <w:tc>
          <w:tcPr>
            <w:tcW w:type="dxa" w:w="7013"/>
          </w:tcPr>
          <w:p>
            <w:pPr>
              <w:spacing w:after="80" w:before="8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kubesage/apply.py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kubesage/cli.py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kubesage/live.py</w:t>
            </w:r>
            <w:r>
              <w:rPr>
                <w:sz w:val="18"/>
              </w:rPr>
            </w:r>
          </w:p>
        </w:tc>
      </w:tr>
      <w:tr>
        <w:trPr>
          <w:cantSplit/>
        </w:trPr>
        <w:tc>
          <w:tcPr>
            <w:tcW w:type="dxa" w:w="2736"/>
          </w:tcPr>
          <w:p>
            <w:pPr>
              <w:spacing w:after="80" w:before="80"/>
            </w:pPr>
            <w:r>
              <w:rPr>
                <w:sz w:val="18"/>
              </w:rPr>
              <w:t>Guardrails and costing</w:t>
            </w:r>
          </w:p>
        </w:tc>
        <w:tc>
          <w:tcPr>
            <w:tcW w:type="dxa" w:w="7013"/>
          </w:tcPr>
          <w:p>
            <w:pPr>
              <w:spacing w:after="80" w:before="8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kubesage/recommend/guardrails.py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cron.py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costing.py</w:t>
            </w:r>
            <w:r>
              <w:rPr>
                <w:sz w:val="18"/>
              </w:rPr>
            </w:r>
          </w:p>
        </w:tc>
      </w:tr>
      <w:tr>
        <w:trPr>
          <w:cantSplit/>
        </w:trPr>
        <w:tc>
          <w:tcPr>
            <w:tcW w:type="dxa" w:w="2736"/>
          </w:tcPr>
          <w:p>
            <w:pPr>
              <w:spacing w:after="80" w:before="80"/>
            </w:pPr>
            <w:r>
              <w:rPr>
                <w:sz w:val="18"/>
              </w:rPr>
              <w:t>Analysis persistence</w:t>
            </w:r>
          </w:p>
        </w:tc>
        <w:tc>
          <w:tcPr>
            <w:tcW w:type="dxa" w:w="7013"/>
          </w:tcPr>
          <w:p>
            <w:pPr>
              <w:spacing w:after="80" w:before="8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kubesage/pipeline.py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kubesage/service.py</w:t>
            </w:r>
            <w:r>
              <w:rPr>
                <w:sz w:val="18"/>
              </w:rPr>
            </w:r>
          </w:p>
        </w:tc>
      </w:tr>
      <w:tr>
        <w:trPr>
          <w:cantSplit/>
        </w:trPr>
        <w:tc>
          <w:tcPr>
            <w:tcW w:type="dxa" w:w="2736"/>
          </w:tcPr>
          <w:p>
            <w:pPr>
              <w:spacing w:after="80" w:before="80"/>
            </w:pPr>
            <w:r>
              <w:rPr>
                <w:sz w:val="18"/>
              </w:rPr>
              <w:t>Regression coverage</w:t>
            </w:r>
          </w:p>
        </w:tc>
        <w:tc>
          <w:tcPr>
            <w:tcW w:type="dxa" w:w="7013"/>
          </w:tcPr>
          <w:p>
            <w:pPr>
              <w:spacing w:after="80" w:before="8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tests/test_web.py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test_apply.py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test_pipeline.py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test_service.py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browser_smoke.py</w:t>
            </w:r>
            <w:r>
              <w:rPr>
                <w:sz w:val="18"/>
              </w:rPr>
            </w:r>
          </w:p>
        </w:tc>
      </w:tr>
    </w:tbl>
    <w:p>
      <w:pPr>
        <w:spacing w:after="20"/>
      </w:pPr>
    </w:p>
    <w:p>
      <w:r>
        <w:t>Run the automated suite without using the cluster or spending LLM credit:</w:t>
      </w:r>
    </w:p>
    <w:p>
      <w:pPr>
        <w:spacing w:after="40"/>
      </w:pPr>
      <w:r>
        <w:rPr>
          <w:rFonts w:ascii="Consolas" w:hAnsi="Consolas"/>
          <w:sz w:val="17"/>
        </w:rPr>
        <w:t>.venv/bin/python -m pytest -q</w:t>
      </w:r>
    </w:p>
    <w:p>
      <w:r>
        <w:t>Run the optional browser suite with Playwright and an installed Chromium browser:</w:t>
      </w:r>
    </w:p>
    <w:p>
      <w:pPr>
        <w:spacing w:after="40"/>
      </w:pPr>
      <w:r>
        <w:rPr>
          <w:rFonts w:ascii="Consolas" w:hAnsi="Consolas"/>
          <w:sz w:val="17"/>
        </w:rPr>
        <w:t>.venv/bin/python tests/browser_smoke.py --executable /path/to/chromium --output-dir /tmp/kubesage-browser</w:t>
      </w:r>
    </w:p>
    <w:p>
      <w:r>
        <w:t xml:space="preserve">This report records the completed implementation's validation; preparing the document did not rerun live analysis or traffic tests. See the </w:t>
      </w:r>
      <w:hyperlink r:id="rId13">
        <w:r>
          <w:rPr>
            <w:color w:val="6844C8"/>
            <w:u w:val="single"/>
          </w:rPr>
          <w:t>UI guide</w:t>
        </w:r>
      </w:hyperlink>
      <w:r>
        <w:t xml:space="preserve">, </w:t>
      </w:r>
      <w:hyperlink r:id="rId14">
        <w:r>
          <w:rPr>
            <w:color w:val="6844C8"/>
            <w:u w:val="single"/>
          </w:rPr>
          <w:t>API reference</w:t>
        </w:r>
      </w:hyperlink>
      <w:r>
        <w:t xml:space="preserve">, </w:t>
      </w:r>
      <w:hyperlink r:id="rId15">
        <w:r>
          <w:rPr>
            <w:color w:val="6844C8"/>
            <w:u w:val="single"/>
          </w:rPr>
          <w:t>testing guide</w:t>
        </w:r>
      </w:hyperlink>
      <w:r>
        <w:t xml:space="preserve"> and </w:t>
      </w:r>
      <w:hyperlink r:id="rId16">
        <w:r>
          <w:rPr>
            <w:color w:val="6844C8"/>
            <w:u w:val="single"/>
          </w:rPr>
          <w:t>short review with screenshots</w:t>
        </w:r>
      </w:hyperlink>
      <w:r>
        <w:t xml:space="preserve"> for supporting detail.</w:t>
      </w:r>
    </w:p>
    <w:p>
      <w:r>
        <w:t xml:space="preserve">Screenshots: </w:t>
      </w:r>
      <w:hyperlink r:id="rId17">
        <w:r>
          <w:rPr>
            <w:color w:val="6844C8"/>
            <w:u w:val="single"/>
          </w:rPr>
          <w:t>desktop</w:t>
        </w:r>
      </w:hyperlink>
      <w:r>
        <w:t xml:space="preserve"> · </w:t>
      </w:r>
      <w:hyperlink r:id="rId18">
        <w:r>
          <w:rPr>
            <w:color w:val="6844C8"/>
            <w:u w:val="single"/>
          </w:rPr>
          <w:t>phone, dark theme</w:t>
        </w:r>
      </w:hyperlink>
      <w:r>
        <w:t>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1008" w:right="1080" w:bottom="1008" w:left="108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27 October 2026  ·  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75756E"/>
        <w:sz w:val="16"/>
      </w:rPr>
      <w:t>KubeSage  |  UI/UX and functionality review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69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40"/>
      <w:outlineLvl w:val="0"/>
    </w:pPr>
    <w:rPr>
      <w:rFonts w:asciiTheme="majorHAnsi" w:eastAsiaTheme="majorEastAsia" w:hAnsiTheme="majorHAnsi" w:cstheme="majorBidi" w:ascii="Calibri" w:hAnsi="Calibri"/>
      <w:b/>
      <w:bCs/>
      <w:color w:val="22221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0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2221F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40" w:line="240" w:lineRule="auto" w:before="300"/>
      <w:contextualSpacing/>
    </w:pPr>
    <w:rPr>
      <w:rFonts w:asciiTheme="majorHAnsi" w:eastAsiaTheme="majorEastAsia" w:hAnsiTheme="majorHAnsi" w:cstheme="majorBidi" w:ascii="Calibri" w:hAnsi="Calibri"/>
      <w:color w:val="22221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github.com/manupawickramasinghe/kubesage/pull/10" TargetMode="External"/><Relationship Id="rId12" Type="http://schemas.openxmlformats.org/officeDocument/2006/relationships/hyperlink" Target="https://github.com/manupawickramasinghe/kubesage/blob/b128153/docs/HANDOVER.md" TargetMode="External"/><Relationship Id="rId13" Type="http://schemas.openxmlformats.org/officeDocument/2006/relationships/hyperlink" Target="https://github.com/manupawickramasinghe/kubesage/blob/b128153/docs/ui-guide.md" TargetMode="External"/><Relationship Id="rId14" Type="http://schemas.openxmlformats.org/officeDocument/2006/relationships/hyperlink" Target="https://github.com/manupawickramasinghe/kubesage/blob/b128153/docs/api.md" TargetMode="External"/><Relationship Id="rId15" Type="http://schemas.openxmlformats.org/officeDocument/2006/relationships/hyperlink" Target="https://github.com/manupawickramasinghe/kubesage/blob/b128153/docs/testing.md" TargetMode="External"/><Relationship Id="rId16" Type="http://schemas.openxmlformats.org/officeDocument/2006/relationships/hyperlink" Target="https://github.com/manupawickramasinghe/kubesage/blob/b128153/docs/ui-review.md" TargetMode="External"/><Relationship Id="rId17" Type="http://schemas.openxmlformats.org/officeDocument/2006/relationships/hyperlink" Target="https://github.com/manupawickramasinghe/kubesage/blob/b128153/docs/images/ui-control-center.png" TargetMode="External"/><Relationship Id="rId18" Type="http://schemas.openxmlformats.org/officeDocument/2006/relationships/hyperlink" Target="https://github.com/manupawickramasinghe/kubesage/blob/b128153/docs/images/ui-control-center-phone.p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KubeSage UI/UX and Functionality Review Report</dc:title>
  <dc:subject>Delivered changes, validation evidence, live findings and remaining limits</dc:subject>
  <dc:creator>M.N Wickramasinghe</dc:creator>
  <cp:keywords>KubeSage, UI/UX, Kubernetes, FinOps, review, testing</cp:keywords>
  <dc:description/>
  <cp:lastModifiedBy>M.N Wickramasinghe</cp:lastModifiedBy>
  <cp:revision>1</cp:revision>
  <dcterms:created xsi:type="dcterms:W3CDTF">2026-10-27T17:16:29Z</dcterms:created>
  <dcterms:modified xsi:type="dcterms:W3CDTF">2026-10-27T17:16:29Z</dcterms:modified>
  <cp:category/>
  <dc:language>en</dc:language>
</cp:coreProperties>
</file>