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23A7A"/>
          <w:sz w:val="40"/>
        </w:rPr>
        <w:t>Cuestionario de repaso — Definiciones de autores por tipo de diagrama UML</w:t>
      </w:r>
    </w:p>
    <w:p>
      <w:pPr>
        <w:spacing w:after="120"/>
      </w:pPr>
      <w:r>
        <w:t>Formato resumido: para cada uno de los 5 diagramas usados en la tesis (Casos de Uso, Clases, Secuencia, Actividades, Despliegue), cinco autores/fuentes que lo definen, y cuál se acerca más al enfoque que seguimos en el trabajo (formato boundary/control/entity legacy, piscinas por agencia real, mensajes verificados contra el código, un solo inicio/final, etc.), con el porqué.</w:t>
      </w:r>
    </w:p>
    <w:p>
      <w:pPr>
        <w:spacing w:after="120"/>
      </w:pPr>
      <w:r>
        <w:rPr>
          <w:b/>
        </w:rPr>
        <w:t>Nota de honestidad académica:</w:t>
      </w:r>
      <w:r>
        <w:t xml:space="preserve"> las definiciones de abajo son </w:t>
      </w:r>
      <w:r>
        <w:rPr>
          <w:b/>
        </w:rPr>
        <w:t>paráfrasis</w:t>
      </w:r>
      <w:r>
        <w:t xml:space="preserve"> de la postura general de cada autor en su obra más conocida, redactadas para repaso — no son citas textuales con número de página verificado. Antes de citar a alguno textualmente en la tesis (formato APA), buscá la frase exacta y la página en tu propia edición del libro. La lista de referencias completa está al final.</w:t>
      </w:r>
    </w:p>
    <w:p>
      <w:pPr>
        <w:spacing w:before="80" w:after="80"/>
        <w:pBdr>
          <w:bottom w:val="single" w:sz="6" w:space="1" w:color="C9C2B3"/>
        </w:pBdr>
      </w:pPr>
    </w:p>
    <w:p>
      <w:pPr>
        <w:pStyle w:val="Heading2"/>
      </w:pPr>
      <w:r>
        <w:rPr>
          <w:color w:val="123A7A"/>
          <w:sz w:val="30"/>
        </w:rPr>
        <w:t>1. Diagrama de Casos de Uso</w:t>
      </w:r>
    </w:p>
    <w:p>
      <w:pPr>
        <w:spacing w:after="120"/>
      </w:pPr>
      <w:r>
        <w:t xml:space="preserve">1. </w:t>
      </w:r>
      <w:r>
        <w:rPr>
          <w:b/>
        </w:rPr>
        <w:t>Jacobson (1992)</w:t>
      </w:r>
      <w:r>
        <w:t xml:space="preserve"> — el creador del enfoque: un caso de uso es una secuencia de acciones que el sistema ejecuta y que produce un resultado observable de valor para un actor concreto; es la unidad base de todo el proceso de desarrollo "dirigido por casos de uso" (use-case driven).</w:t>
      </w:r>
    </w:p>
    <w:p>
      <w:pPr>
        <w:spacing w:after="120"/>
      </w:pPr>
      <w:r>
        <w:t>2. *</w:t>
      </w:r>
      <w:r>
        <w:rPr>
          <w:i/>
        </w:rPr>
        <w:t xml:space="preserve">Booch, Rumbaugh y Jacobson (1999, </w:t>
      </w:r>
      <w:r>
        <w:t>El Lenguaje Unificado de Modelado</w:t>
      </w:r>
      <w:r>
        <w:rPr>
          <w:i/>
        </w:rPr>
        <w:t>)</w:t>
      </w:r>
      <w:r>
        <w:t>* — lo definen como la especificación de una secuencia de acciones, incluidas variantes, que un sistema puede ejecutar interactuando con actores externos al sistema.</w:t>
      </w:r>
    </w:p>
    <w:p>
      <w:pPr>
        <w:spacing w:after="120"/>
      </w:pPr>
      <w:r>
        <w:t>3. *</w:t>
      </w:r>
      <w:r>
        <w:rPr>
          <w:i/>
        </w:rPr>
        <w:t xml:space="preserve">Larman (2003, </w:t>
      </w:r>
      <w:r>
        <w:t>UML 2 y Patrones</w:t>
      </w:r>
      <w:r>
        <w:rPr>
          <w:i/>
        </w:rPr>
        <w:t>)</w:t>
      </w:r>
      <w:r>
        <w:t>* — lo describe como un texto narrativo de los pasos de un proceso, centrado en el objetivo del actor primario, y remarca que documentar bien el caso de uso importa más que dibujar bien el diagrama, que es solo un índice visual de esos textos.</w:t>
      </w:r>
    </w:p>
    <w:p>
      <w:pPr>
        <w:spacing w:after="120"/>
      </w:pPr>
      <w:r>
        <w:t>4. *</w:t>
      </w:r>
      <w:r>
        <w:rPr>
          <w:i/>
        </w:rPr>
        <w:t xml:space="preserve">Fowler (2004, </w:t>
      </w:r>
      <w:r>
        <w:t>UML Distilled</w:t>
      </w:r>
      <w:r>
        <w:rPr>
          <w:i/>
        </w:rPr>
        <w:t>)</w:t>
      </w:r>
      <w:r>
        <w:rPr>
          <w:i/>
        </w:rPr>
        <w:t xml:space="preserve"> — lo trata como una técnica ante todo de </w:t>
      </w:r>
      <w:r>
        <w:t>captura de requisitos*, y advierte que el diagrama en sí (los óvalos) aporta poco valor si no está acompañado de una buena descripción textual del flujo.</w:t>
      </w:r>
    </w:p>
    <w:p>
      <w:pPr>
        <w:spacing w:after="120"/>
      </w:pPr>
      <w:r>
        <w:t>5. *</w:t>
      </w:r>
      <w:r>
        <w:rPr>
          <w:i/>
        </w:rPr>
        <w:t xml:space="preserve">Pressman (2010, </w:t>
      </w:r>
      <w:r>
        <w:t>Ingeniería del Software</w:t>
      </w:r>
      <w:r>
        <w:rPr>
          <w:i/>
        </w:rPr>
        <w:t>)</w:t>
      </w:r>
      <w:r>
        <w:t>* — lo integra dentro del "modelado basado en escenarios", como una forma de describir una interacción específica entre un usuario (actor) y el sistema, en un formato de fácil comprensión.</w:t>
      </w:r>
    </w:p>
    <w:p>
      <w:pPr>
        <w:spacing w:after="120"/>
      </w:pPr>
      <w:r>
        <w:t xml:space="preserve">★ </w:t>
      </w:r>
      <w:r>
        <w:rPr>
          <w:b/>
        </w:rPr>
        <w:t>Autor más cercano a nuestro enfoque: Jacobson.</w:t>
      </w:r>
      <w:r>
        <w:t xml:space="preserve"> No es casualidad — el patrón boundary/control/entity que pidió seguir el profesor en los diagramas de clase es la misma metodología de Jacobson (Object-Oriented Software Engineering, 1992): él originó tanto los casos de uso como la clasificación de clases en las tres capas, como partes de un mismo método coherente. Además, la regla que aplicamos de que el actor debe ser quien realmente inicia/participa del caso de uso (no un dato ni un lugar) es exactamente la definición de actor de Jacobson.</w:t>
      </w:r>
    </w:p>
    <w:p>
      <w:pPr>
        <w:spacing w:before="80" w:after="80"/>
        <w:pBdr>
          <w:bottom w:val="single" w:sz="6" w:space="1" w:color="C9C2B3"/>
        </w:pBdr>
      </w:pPr>
    </w:p>
    <w:p>
      <w:pPr>
        <w:pStyle w:val="Heading2"/>
      </w:pPr>
      <w:r>
        <w:rPr>
          <w:color w:val="123A7A"/>
          <w:sz w:val="30"/>
        </w:rPr>
        <w:t>2. Diagrama de Clases</w:t>
      </w:r>
    </w:p>
    <w:p>
      <w:pPr>
        <w:spacing w:after="120"/>
      </w:pPr>
      <w:r>
        <w:t xml:space="preserve">1. </w:t>
      </w:r>
      <w:r>
        <w:rPr>
          <w:b/>
        </w:rPr>
        <w:t>Booch, Rumbaugh y Jacobson (1999)</w:t>
      </w:r>
      <w:r>
        <w:t xml:space="preserve"> — una clase es la descripción de un conjunto de objetos que comparten los mismos atributos, operaciones, relaciones y semántica; el diagrama de clases muestra ese conjunto de clases con sus relaciones estructurales.</w:t>
      </w:r>
    </w:p>
    <w:p>
      <w:pPr>
        <w:spacing w:after="120"/>
      </w:pPr>
      <w:r>
        <w:t xml:space="preserve">2. </w:t>
      </w:r>
      <w:r>
        <w:rPr>
          <w:b/>
        </w:rPr>
        <w:t>Jacobson (1992)</w:t>
      </w:r>
      <w:r>
        <w:t xml:space="preserve"> — dentro de su método, clasifica las clases de análisis en tres estereotipos según su responsabilidad: </w:t>
      </w:r>
      <w:r>
        <w:rPr>
          <w:i/>
        </w:rPr>
        <w:t>interface</w:t>
      </w:r>
      <w:r>
        <w:t xml:space="preserve"> (boundary), </w:t>
      </w:r>
      <w:r>
        <w:rPr>
          <w:i/>
        </w:rPr>
        <w:t>control</w:t>
      </w:r>
      <w:r>
        <w:t xml:space="preserve"> y </w:t>
      </w:r>
      <w:r>
        <w:rPr>
          <w:i/>
        </w:rPr>
        <w:t>entity</w:t>
      </w:r>
      <w:r>
        <w:t xml:space="preserve"> — origen directo del patrón de 3 capas.</w:t>
      </w:r>
    </w:p>
    <w:p>
      <w:pPr>
        <w:spacing w:after="120"/>
      </w:pPr>
      <w:r>
        <w:t xml:space="preserve">3. </w:t>
      </w:r>
      <w:r>
        <w:rPr>
          <w:b/>
        </w:rPr>
        <w:t>Larman (2003)</w:t>
      </w:r>
      <w:r>
        <w:t xml:space="preserve"> — distingue explícitamente entre un diagrama de clases de </w:t>
      </w:r>
      <w:r>
        <w:rPr>
          <w:i/>
        </w:rPr>
        <w:t>diseño</w:t>
      </w:r>
      <w:r>
        <w:t xml:space="preserve"> (con detalle de tipos, visibilidad, métodos completos) y uno de </w:t>
      </w:r>
      <w:r>
        <w:rPr>
          <w:i/>
        </w:rPr>
        <w:t>análisis conceptual</w:t>
      </w:r>
      <w:r>
        <w:t xml:space="preserve"> (solo conceptos del dominio y sus asociaciones), y advierte contra mezclar ambos niveles en un mismo diagrama.</w:t>
      </w:r>
    </w:p>
    <w:p>
      <w:pPr>
        <w:spacing w:after="120"/>
      </w:pPr>
      <w:r>
        <w:t xml:space="preserve">4. </w:t>
      </w:r>
      <w:r>
        <w:rPr>
          <w:b/>
        </w:rPr>
        <w:t>Fowler (2004)</w:t>
      </w:r>
      <w:r>
        <w:t xml:space="preserve"> — remarca que el diagrama de clases es el más usado y el más flexible de UML, y que puede dibujarse con distinto nivel de detalle (conceptual, de especificación, de implementación) según la audiencia del diagrama.</w:t>
      </w:r>
    </w:p>
    <w:p>
      <w:pPr>
        <w:spacing w:after="120"/>
      </w:pPr>
      <w:r>
        <w:t>5. *</w:t>
      </w:r>
      <w:r>
        <w:rPr>
          <w:i/>
        </w:rPr>
        <w:t xml:space="preserve">Sommerville (2011, </w:t>
      </w:r>
      <w:r>
        <w:t>Ingeniería de Software</w:t>
      </w:r>
      <w:r>
        <w:rPr>
          <w:i/>
        </w:rPr>
        <w:t>)</w:t>
      </w:r>
      <w:r>
        <w:t>* — lo presenta como el diagrama estructural central de un diseño orientado a objetos, del que se derivan luego los diagramas de secuencia para mostrar cómo colaboran esas clases.</w:t>
      </w:r>
    </w:p>
    <w:p>
      <w:pPr>
        <w:spacing w:after="120"/>
      </w:pPr>
      <w:r>
        <w:t xml:space="preserve">★ </w:t>
      </w:r>
      <w:r>
        <w:rPr>
          <w:b/>
        </w:rPr>
        <w:t>Autor más cercano a nuestro enfoque: Jacobson.</w:t>
      </w:r>
      <w:r>
        <w:t xml:space="preserve"> Su clasificación boundary/control/entity es literalmente el patrón que se nos pidió aplicar (clase </w:t>
      </w:r>
      <w:r>
        <w:rPr>
          <w:rFonts w:ascii="Consolas" w:hAnsi="Consolas"/>
          <w:color w:val="123A7A"/>
          <w:sz w:val="19"/>
        </w:rPr>
        <w:t>GUI_X</w:t>
      </w:r>
      <w:r>
        <w:t xml:space="preserve"> como boundary, </w:t>
      </w:r>
      <w:r>
        <w:rPr>
          <w:rFonts w:ascii="Consolas" w:hAnsi="Consolas"/>
          <w:color w:val="123A7A"/>
          <w:sz w:val="19"/>
        </w:rPr>
        <w:t>Conexion</w:t>
      </w:r>
      <w:r>
        <w:t xml:space="preserve"> compartida como control, la entidad de negocio como entity) — no es una convención genérica de "cualquier diagrama de clases", sino específicamente el modelo de análisis de Jacobson.</w:t>
      </w:r>
    </w:p>
    <w:p>
      <w:pPr>
        <w:spacing w:before="80" w:after="80"/>
        <w:pBdr>
          <w:bottom w:val="single" w:sz="6" w:space="1" w:color="C9C2B3"/>
        </w:pBdr>
      </w:pPr>
    </w:p>
    <w:p>
      <w:pPr>
        <w:pStyle w:val="Heading2"/>
      </w:pPr>
      <w:r>
        <w:rPr>
          <w:color w:val="123A7A"/>
          <w:sz w:val="30"/>
        </w:rPr>
        <w:t>3. Diagrama de Secuencia</w:t>
      </w:r>
    </w:p>
    <w:p>
      <w:pPr>
        <w:spacing w:after="120"/>
      </w:pPr>
      <w:r>
        <w:t xml:space="preserve">1. </w:t>
      </w:r>
      <w:r>
        <w:rPr>
          <w:b/>
        </w:rPr>
        <w:t>Booch, Rumbaugh y Jacobson (1999)</w:t>
      </w:r>
      <w:r>
        <w:t xml:space="preserve"> — un diagrama de interacción que enfatiza la ordenación temporal de los mensajes entre objetos.</w:t>
      </w:r>
    </w:p>
    <w:p>
      <w:pPr>
        <w:spacing w:after="120"/>
      </w:pPr>
      <w:r>
        <w:t xml:space="preserve">2. </w:t>
      </w:r>
      <w:r>
        <w:rPr>
          <w:b/>
        </w:rPr>
        <w:t>Larman (2003)</w:t>
      </w:r>
      <w:r>
        <w:t xml:space="preserve"> — lo liga directamente a la </w:t>
      </w:r>
      <w:r>
        <w:rPr>
          <w:i/>
        </w:rPr>
        <w:t>realización</w:t>
      </w:r>
      <w:r>
        <w:t xml:space="preserve"> de un caso de uso: cada operación del caso de uso (Alta, Modificación, Baja) debería tener su propio diagrama de secuencia que muestre, mensaje a mensaje, cómo los objetos colaboran para cumplir esa operación puntual.</w:t>
      </w:r>
    </w:p>
    <w:p>
      <w:pPr>
        <w:spacing w:after="120"/>
      </w:pPr>
      <w:r>
        <w:t xml:space="preserve">3. </w:t>
      </w:r>
      <w:r>
        <w:rPr>
          <w:b/>
        </w:rPr>
        <w:t>Fowler (2004)</w:t>
      </w:r>
      <w:r>
        <w:t xml:space="preserve"> — destaca la línea de vida y el foco de control (activación) como los dos elementos que permiten leer, de arriba hacia abajo, el orden exacto de ejecución.</w:t>
      </w:r>
    </w:p>
    <w:p>
      <w:pPr>
        <w:spacing w:after="120"/>
      </w:pPr>
      <w:r>
        <w:t xml:space="preserve">4. </w:t>
      </w:r>
      <w:r>
        <w:rPr>
          <w:b/>
        </w:rPr>
        <w:t>Pressman (2010)</w:t>
      </w:r>
      <w:r>
        <w:t xml:space="preserve"> — lo ubica dentro del "modelado de comportamiento", como el diagrama que muestra cómo los objetos se comunican en tiempo de ejecución para llevar a cabo un escenario concreto del caso de uso.</w:t>
      </w:r>
    </w:p>
    <w:p>
      <w:pPr>
        <w:spacing w:after="120"/>
      </w:pPr>
      <w:r>
        <w:t xml:space="preserve">5. </w:t>
      </w:r>
      <w:r>
        <w:rPr>
          <w:b/>
        </w:rPr>
        <w:t>Sommerville (2011)</w:t>
      </w:r>
      <w:r>
        <w:t xml:space="preserve"> — advierte que el valor real del diagrama de secuencia está en verificar la viabilidad del diseño de clases: si un mensaje no puede resolverse con las operaciones ya definidas en el diagrama de clases, hay que corregir el diseño.</w:t>
      </w:r>
    </w:p>
    <w:p>
      <w:pPr>
        <w:spacing w:after="120"/>
      </w:pPr>
      <w:r>
        <w:t xml:space="preserve">★ </w:t>
      </w:r>
      <w:r>
        <w:rPr>
          <w:b/>
        </w:rPr>
        <w:t>Autor más cercano a nuestro enfoque: Larman.</w:t>
      </w:r>
      <w:r>
        <w:t xml:space="preserve"> Su idea de que cada operación de un caso de uso (no el caso de uso completo) merece su propio diagrama de secuencia es exactamente el criterio que seguimos (un Ds para Alta, otro para Modificación, otro para Baja/Anular) — y su énfasis en verificar el diagrama contra el comportamiento real del sistema coincide con la regla que aplicamos de tomar los mensajes del Flujo Básico/Alternativo ya verificado contra el código, no de una plantilla genérica.</w:t>
      </w:r>
    </w:p>
    <w:p>
      <w:pPr>
        <w:spacing w:before="80" w:after="80"/>
        <w:pBdr>
          <w:bottom w:val="single" w:sz="6" w:space="1" w:color="C9C2B3"/>
        </w:pBdr>
      </w:pPr>
    </w:p>
    <w:p>
      <w:pPr>
        <w:pStyle w:val="Heading2"/>
      </w:pPr>
      <w:r>
        <w:rPr>
          <w:color w:val="123A7A"/>
          <w:sz w:val="30"/>
        </w:rPr>
        <w:t>4. Diagrama de Actividades</w:t>
      </w:r>
    </w:p>
    <w:p>
      <w:pPr>
        <w:spacing w:after="120"/>
      </w:pPr>
      <w:r>
        <w:t xml:space="preserve">1. </w:t>
      </w:r>
      <w:r>
        <w:rPr>
          <w:b/>
        </w:rPr>
        <w:t>Booch, Rumbaugh y Jacobson (1999)</w:t>
      </w:r>
      <w:r>
        <w:t xml:space="preserve"> — lo definen como una variante del diagrama de estados donde los estados representan la ejecución de acciones o subactividades, con foco en el flujo de control entre ellas.</w:t>
      </w:r>
    </w:p>
    <w:p>
      <w:pPr>
        <w:spacing w:after="120"/>
      </w:pPr>
      <w:r>
        <w:t xml:space="preserve">2. </w:t>
      </w:r>
      <w:r>
        <w:rPr>
          <w:b/>
        </w:rPr>
        <w:t>OMG (especificación UML, versiones 2.x)</w:t>
      </w:r>
      <w:r>
        <w:t xml:space="preserve"> — la fuente normativa: define formalmente los nodos de control (inicial, final, decisión, </w:t>
      </w:r>
      <w:r>
        <w:rPr>
          <w:i/>
        </w:rPr>
        <w:t>fork</w:t>
      </w:r>
      <w:r>
        <w:t>/</w:t>
      </w:r>
      <w:r>
        <w:rPr>
          <w:i/>
        </w:rPr>
        <w:t>join</w:t>
      </w:r>
      <w:r>
        <w:t xml:space="preserve">), exige que las particiones (piscinas) agrupen actividades según la entidad responsable de ejecutarlas, y especifica la semántica de sincronización (un </w:t>
      </w:r>
      <w:r>
        <w:rPr>
          <w:i/>
        </w:rPr>
        <w:t>join</w:t>
      </w:r>
      <w:r>
        <w:t xml:space="preserve"> no continúa hasta que llegan </w:t>
      </w:r>
      <w:r>
        <w:rPr>
          <w:b/>
        </w:rPr>
        <w:t>todas</w:t>
      </w:r>
      <w:r>
        <w:t xml:space="preserve"> sus ramas de entrada).</w:t>
      </w:r>
    </w:p>
    <w:p>
      <w:pPr>
        <w:spacing w:after="120"/>
      </w:pPr>
      <w:r>
        <w:t xml:space="preserve">3. </w:t>
      </w:r>
      <w:r>
        <w:rPr>
          <w:b/>
        </w:rPr>
        <w:t>Larman (2003)</w:t>
      </w:r>
      <w:r>
        <w:t xml:space="preserve"> — lo recomienda especialmente para modelar procesos de negocio con actividades paralelas y múltiples participantes, más que para modelar la lógica interna de un solo método.</w:t>
      </w:r>
    </w:p>
    <w:p>
      <w:pPr>
        <w:spacing w:after="120"/>
      </w:pPr>
      <w:r>
        <w:t xml:space="preserve">4. </w:t>
      </w:r>
      <w:r>
        <w:rPr>
          <w:b/>
        </w:rPr>
        <w:t>Fowler (2004)</w:t>
      </w:r>
      <w:r>
        <w:t xml:space="preserve"> — señala que las piscinas (swimlanes) sirven para mostrar qué parte del proceso ejecuta cada actor u organización, y que es un error común dibujarlas como si fueran solo una forma de agrupar visualmente sin ese criterio de responsabilidad.</w:t>
      </w:r>
    </w:p>
    <w:p>
      <w:pPr>
        <w:spacing w:after="120"/>
      </w:pPr>
      <w:r>
        <w:t xml:space="preserve">5. </w:t>
      </w:r>
      <w:r>
        <w:rPr>
          <w:b/>
        </w:rPr>
        <w:t>Sommerville (2011)</w:t>
      </w:r>
      <w:r>
        <w:t xml:space="preserve"> — lo presenta como el diagrama más cercano a un diagrama de flujo tradicional, útil para especificar procesos de negocio antes de decidir qué parte se automatiza.</w:t>
      </w:r>
    </w:p>
    <w:p>
      <w:pPr>
        <w:spacing w:after="120"/>
      </w:pPr>
      <w:r>
        <w:t xml:space="preserve">★ </w:t>
      </w:r>
      <w:r>
        <w:rPr>
          <w:b/>
        </w:rPr>
        <w:t>Autor más cercano a nuestro enfoque: OMG (especificación oficial).</w:t>
      </w:r>
      <w:r>
        <w:t xml:space="preserve"> Las reglas puntuales que nos exigió el tutor —un solo inicio y un solo final por diagrama, la semántica estricta de </w:t>
      </w:r>
      <w:r>
        <w:rPr>
          <w:i/>
        </w:rPr>
        <w:t>fork</w:t>
      </w:r>
      <w:r>
        <w:t>/</w:t>
      </w:r>
      <w:r>
        <w:rPr>
          <w:i/>
        </w:rPr>
        <w:t>join</w:t>
      </w:r>
      <w:r>
        <w:t xml:space="preserve"> (una barra de sincronización no libera su salida hasta que llegan todas las entradas, la llamada "disparidad AND"), y que cada piscina represente a quien realmente ejecuta la acción— no son una interpretación de un autor en particular: son la semántica formal tal como la fija el propio estándar UML. Fowler es quien mejor explica en palabras simples el criterio de piscinas por responsabilidad, pero la fuente normativa de las reglas de sincronización es la especificación OMG.</w:t>
      </w:r>
    </w:p>
    <w:p>
      <w:pPr>
        <w:spacing w:before="80" w:after="80"/>
        <w:pBdr>
          <w:bottom w:val="single" w:sz="6" w:space="1" w:color="C9C2B3"/>
        </w:pBdr>
      </w:pPr>
    </w:p>
    <w:p>
      <w:pPr>
        <w:pStyle w:val="Heading2"/>
      </w:pPr>
      <w:r>
        <w:rPr>
          <w:color w:val="123A7A"/>
          <w:sz w:val="30"/>
        </w:rPr>
        <w:t>5. Diagrama de Despliegue</w:t>
      </w:r>
    </w:p>
    <w:p>
      <w:pPr>
        <w:spacing w:after="120"/>
      </w:pPr>
      <w:r>
        <w:t xml:space="preserve">1. </w:t>
      </w:r>
      <w:r>
        <w:rPr>
          <w:b/>
        </w:rPr>
        <w:t>Booch, Rumbaugh y Jacobson (1999)</w:t>
      </w:r>
      <w:r>
        <w:t xml:space="preserve"> — muestra la configuración de nodos de procesamiento en tiempo de ejecución y los componentes/artefactos que residen en ellos — es el único diagrama UML que representa hardware real, no solo software.</w:t>
      </w:r>
    </w:p>
    <w:p>
      <w:pPr>
        <w:spacing w:after="120"/>
      </w:pPr>
      <w:r>
        <w:t xml:space="preserve">2. </w:t>
      </w:r>
      <w:r>
        <w:rPr>
          <w:b/>
        </w:rPr>
        <w:t>OMG (especificación UML 2.x)</w:t>
      </w:r>
      <w:r>
        <w:t xml:space="preserve"> — formaliza los dos elementos centrales: el </w:t>
      </w:r>
      <w:r>
        <w:rPr>
          <w:b/>
        </w:rPr>
        <w:t>nodo</w:t>
      </w:r>
      <w:r>
        <w:t xml:space="preserve"> (recurso computacional en tiempo de ejecución) y el </w:t>
      </w:r>
      <w:r>
        <w:rPr>
          <w:b/>
        </w:rPr>
        <w:t>artefacto</w:t>
      </w:r>
      <w:r>
        <w:t xml:space="preserve"> (la pieza de software concreta desplegada dentro de un nodo), unidos por </w:t>
      </w:r>
      <w:r>
        <w:rPr>
          <w:i/>
        </w:rPr>
        <w:t>communication paths</w:t>
      </w:r>
      <w:r>
        <w:t>.</w:t>
      </w:r>
    </w:p>
    <w:p>
      <w:pPr>
        <w:spacing w:after="120"/>
      </w:pPr>
      <w:r>
        <w:t xml:space="preserve">3. </w:t>
      </w:r>
      <w:r>
        <w:rPr>
          <w:b/>
        </w:rPr>
        <w:t>Larman (2003)</w:t>
      </w:r>
      <w:r>
        <w:t xml:space="preserve"> — lo trata como un diagrama de uso opcional y tardío en el proceso, útil recién cuando la arquitectura física de despliegue (servidores, distribución) ya está decidida — no antes.</w:t>
      </w:r>
    </w:p>
    <w:p>
      <w:pPr>
        <w:spacing w:after="120"/>
      </w:pPr>
      <w:r>
        <w:t xml:space="preserve">4. </w:t>
      </w:r>
      <w:r>
        <w:rPr>
          <w:b/>
        </w:rPr>
        <w:t>Pressman (2010)</w:t>
      </w:r>
      <w:r>
        <w:t xml:space="preserve"> — lo asocia a la fase de "diseño de la arquitectura física" del sistema, distinguiéndolo explícitamente de la arquitectura lógica que ya modelan los diagramas de clase y componentes.</w:t>
      </w:r>
    </w:p>
    <w:p>
      <w:pPr>
        <w:spacing w:after="120"/>
      </w:pPr>
      <w:r>
        <w:t xml:space="preserve">5. </w:t>
      </w:r>
      <w:r>
        <w:rPr>
          <w:b/>
        </w:rPr>
        <w:t>Sommerville (2011)</w:t>
      </w:r>
      <w:r>
        <w:t xml:space="preserve"> — lo recomienda especialmente para sistemas distribuidos, donde mostrar en qué nodo físico corre cada parte del sistema es información crítica que ningún otro diagrama UML captura.</w:t>
      </w:r>
    </w:p>
    <w:p>
      <w:pPr>
        <w:spacing w:after="120"/>
      </w:pPr>
      <w:r>
        <w:t xml:space="preserve">★ </w:t>
      </w:r>
      <w:r>
        <w:rPr>
          <w:b/>
        </w:rPr>
        <w:t>Autor más cercano a nuestro enfoque: OMG (especificación oficial), en la misma línea que Booch/Rumbaugh/Jacobson.</w:t>
      </w:r>
      <w:r>
        <w:t xml:space="preserve"> Al ser el diagrama menos trabajado hasta ahora en el proyecto, no hay todavía una decisión propia de diseño que comparar contra un autor — conviene partir directamente de la definición normativa de nodo/artefacto/camino de comunicación antes de aplicar el criterio de cualquier autor en particular.</w:t>
      </w:r>
    </w:p>
    <w:p>
      <w:pPr>
        <w:spacing w:before="80" w:after="80"/>
        <w:pBdr>
          <w:bottom w:val="single" w:sz="6" w:space="1" w:color="C9C2B3"/>
        </w:pBdr>
      </w:pPr>
    </w:p>
    <w:p>
      <w:pPr>
        <w:pStyle w:val="Heading2"/>
      </w:pPr>
      <w:r>
        <w:rPr>
          <w:color w:val="123A7A"/>
          <w:sz w:val="30"/>
        </w:rPr>
        <w:t>Referencias (formato APA — verificar página exacta antes de citar textual)</w:t>
      </w:r>
    </w:p>
    <w:p>
      <w:pPr>
        <w:spacing w:after="120"/>
      </w:pPr>
      <w:r>
        <w:t xml:space="preserve">Booch, G., Rumbaugh, J., &amp; Jacobson, I. (1999). </w:t>
      </w:r>
      <w:r>
        <w:rPr>
          <w:i/>
        </w:rPr>
        <w:t>El lenguaje unificado de modelado: Manual de referencia</w:t>
      </w:r>
      <w:r>
        <w:t>. Addison Wesley.</w:t>
      </w:r>
    </w:p>
    <w:p>
      <w:pPr>
        <w:spacing w:after="120"/>
      </w:pPr>
      <w:r>
        <w:t xml:space="preserve">Fowler, M. (2004). </w:t>
      </w:r>
      <w:r>
        <w:rPr>
          <w:i/>
        </w:rPr>
        <w:t>UML distilled: A brief guide to the standard object modeling language</w:t>
      </w:r>
      <w:r>
        <w:t xml:space="preserve"> (3.ª ed.). Addison-Wesley.</w:t>
      </w:r>
    </w:p>
    <w:p>
      <w:pPr>
        <w:spacing w:after="120"/>
      </w:pPr>
      <w:r>
        <w:t xml:space="preserve">Jacobson, I. (1992). </w:t>
      </w:r>
      <w:r>
        <w:rPr>
          <w:i/>
        </w:rPr>
        <w:t>Object-oriented software engineering: A use case driven approach</w:t>
      </w:r>
      <w:r>
        <w:t>. Addison-Wesley.</w:t>
      </w:r>
    </w:p>
    <w:p>
      <w:pPr>
        <w:spacing w:after="120"/>
      </w:pPr>
      <w:r>
        <w:t xml:space="preserve">Larman, C. (2003). </w:t>
      </w:r>
      <w:r>
        <w:rPr>
          <w:i/>
        </w:rPr>
        <w:t>UML 2 y patrones: Introducción al análisis y diseño orientado a objetos y al proceso unificado</w:t>
      </w:r>
      <w:r>
        <w:t xml:space="preserve"> (2.ª ed.). Prentice Hall.</w:t>
      </w:r>
    </w:p>
    <w:p>
      <w:pPr>
        <w:spacing w:after="120"/>
      </w:pPr>
      <w:r>
        <w:t xml:space="preserve">Object Management Group. (2015). </w:t>
      </w:r>
      <w:r>
        <w:rPr>
          <w:i/>
        </w:rPr>
        <w:t>OMG Unified Modeling Language (OMG UML), version 2.5</w:t>
      </w:r>
      <w:r>
        <w:t>. https://www.omg.org/spec/UML/</w:t>
      </w:r>
    </w:p>
    <w:p>
      <w:pPr>
        <w:spacing w:after="120"/>
      </w:pPr>
      <w:r>
        <w:t xml:space="preserve">Pressman, R. S. (2010). </w:t>
      </w:r>
      <w:r>
        <w:rPr>
          <w:i/>
        </w:rPr>
        <w:t>Ingeniería del software: Un enfoque práctico</w:t>
      </w:r>
      <w:r>
        <w:t xml:space="preserve"> (7.ª ed.). McGraw-Hill.</w:t>
      </w:r>
    </w:p>
    <w:p>
      <w:pPr>
        <w:spacing w:after="120"/>
      </w:pPr>
      <w:r>
        <w:t xml:space="preserve">Sommerville, I. (2011). </w:t>
      </w:r>
      <w:r>
        <w:rPr>
          <w:i/>
        </w:rPr>
        <w:t>Ingeniería de software</w:t>
      </w:r>
      <w:r>
        <w:t xml:space="preserve"> (9.ª ed.). Pearson Educación.</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UML - Autores por Diagrama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