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D6EF" w14:textId="7515C472" w:rsidR="00577FB6" w:rsidRPr="00BF6D63" w:rsidRDefault="00086AC3" w:rsidP="00BF6D63">
      <w:pPr>
        <w:jc w:val="center"/>
        <w:rPr>
          <w:rFonts w:asciiTheme="minorHAnsi" w:hAnsiTheme="minorHAnsi"/>
          <w:b/>
          <w:bCs/>
          <w:sz w:val="28"/>
          <w:szCs w:val="28"/>
        </w:rPr>
      </w:pPr>
      <w:r>
        <w:rPr>
          <w:rFonts w:asciiTheme="minorHAnsi" w:hAnsiTheme="minorHAnsi"/>
          <w:b/>
          <w:bCs/>
          <w:sz w:val="28"/>
          <w:szCs w:val="28"/>
        </w:rPr>
        <w:t>R</w:t>
      </w:r>
      <w:r w:rsidR="00000000">
        <w:rPr>
          <w:rFonts w:asciiTheme="minorHAnsi" w:hAnsiTheme="minorHAnsi"/>
          <w:b/>
          <w:bCs/>
          <w:sz w:val="28"/>
          <w:szCs w:val="28"/>
        </w:rPr>
        <w:t>evisión de literatura y marco teórico</w:t>
      </w:r>
    </w:p>
    <w:p w14:paraId="3FB15987" w14:textId="77777777" w:rsidR="00577FB6" w:rsidRDefault="00BF6D63">
      <w:pPr>
        <w:rPr>
          <w:rFonts w:asciiTheme="minorHAnsi" w:hAnsiTheme="minorHAnsi"/>
          <w:sz w:val="24"/>
          <w:szCs w:val="24"/>
        </w:rPr>
      </w:pPr>
      <w:r>
        <w:rPr>
          <w:rFonts w:asciiTheme="minorHAnsi" w:hAnsiTheme="minorHAnsi"/>
          <w:b/>
          <w:sz w:val="24"/>
          <w:szCs w:val="24"/>
        </w:rPr>
        <w:t>Nombres:</w:t>
      </w:r>
      <w:r>
        <w:rPr>
          <w:rFonts w:asciiTheme="minorHAnsi" w:hAnsiTheme="minorHAnsi"/>
          <w:sz w:val="24"/>
          <w:szCs w:val="24"/>
        </w:rPr>
        <w:t xml:space="preserve"> Alejandro Cotrino, Samuel Mora, Sara Vásquez y Manuela Vergara.</w:t>
      </w:r>
    </w:p>
    <w:p w14:paraId="11C46D8E" w14:textId="77777777" w:rsidR="002D4C52" w:rsidRPr="00BF6D63" w:rsidRDefault="002D4C52">
      <w:pPr>
        <w:rPr>
          <w:rFonts w:asciiTheme="minorHAnsi" w:hAnsiTheme="minorHAnsi"/>
          <w:sz w:val="24"/>
          <w:szCs w:val="24"/>
        </w:rPr>
      </w:pPr>
    </w:p>
    <w:p w14:paraId="37ABAE70" w14:textId="77777777" w:rsidR="00BF6D63" w:rsidRPr="00BF6D63" w:rsidRDefault="00BF6D63" w:rsidP="00BF6D63">
      <w:pPr>
        <w:rPr>
          <w:rFonts w:asciiTheme="minorHAnsi" w:hAnsiTheme="minorHAnsi"/>
          <w:sz w:val="24"/>
          <w:szCs w:val="24"/>
        </w:rPr>
      </w:pPr>
      <w:r>
        <w:rPr>
          <w:rFonts w:asciiTheme="minorHAnsi" w:hAnsiTheme="minorHAnsi"/>
          <w:b/>
          <w:bCs/>
          <w:sz w:val="24"/>
          <w:szCs w:val="24"/>
        </w:rPr>
        <w:t xml:space="preserve">Enfoque: </w:t>
      </w:r>
      <w:r>
        <w:rPr>
          <w:rFonts w:asciiTheme="minorHAnsi" w:hAnsiTheme="minorHAnsi"/>
          <w:sz w:val="24"/>
          <w:szCs w:val="24"/>
        </w:rPr>
        <w:t>Demanda</w:t>
      </w:r>
    </w:p>
    <w:p w14:paraId="504FCDF6" w14:textId="5F1E4F29" w:rsidR="00E8050D" w:rsidRPr="00E8050D" w:rsidRDefault="00BF6D63" w:rsidP="00E8050D">
      <w:pPr>
        <w:rPr>
          <w:rFonts w:asciiTheme="minorHAnsi" w:hAnsiTheme="minorHAnsi"/>
          <w:sz w:val="24"/>
          <w:szCs w:val="24"/>
        </w:rPr>
      </w:pPr>
      <w:r>
        <w:rPr>
          <w:rFonts w:asciiTheme="minorHAnsi" w:hAnsiTheme="minorHAnsi"/>
          <w:b/>
          <w:bCs/>
          <w:sz w:val="24"/>
          <w:szCs w:val="24"/>
        </w:rPr>
        <w:t xml:space="preserve">Pregunta: </w:t>
      </w:r>
      <w:r>
        <w:rPr>
          <w:rFonts w:asciiTheme="minorHAnsi" w:hAnsiTheme="minorHAnsi"/>
          <w:sz w:val="24"/>
          <w:szCs w:val="24"/>
        </w:rPr>
        <w:t>¿De qué manera se relaciona la edad con las formas de consumir café de especialidad, medidas por frecuencia de visita y gasto por visita, en las cafeterías de especialidad de la zona norte de Bogotá (Chicó, Parque 93 y Zona T) y qué motivos y atributos de la oferta se asocian con esas diferencias?</w:t>
      </w:r>
    </w:p>
    <w:p w14:paraId="209D36F4" w14:textId="77777777" w:rsidR="00577FB6" w:rsidRPr="002D4C52" w:rsidRDefault="00000000" w:rsidP="00BF6D63">
      <w:pPr>
        <w:rPr>
          <w:rFonts w:asciiTheme="minorHAnsi" w:hAnsiTheme="minorHAnsi"/>
          <w:b/>
          <w:bCs/>
          <w:sz w:val="24"/>
          <w:szCs w:val="24"/>
        </w:rPr>
      </w:pPr>
      <w:r>
        <w:rPr>
          <w:rFonts w:asciiTheme="minorHAnsi" w:hAnsiTheme="minorHAnsi"/>
          <w:b/>
          <w:bCs/>
          <w:sz w:val="24"/>
          <w:szCs w:val="24"/>
        </w:rPr>
        <w:t>Introducción y revisión de literatura</w:t>
      </w:r>
    </w:p>
    <w:p w14:paraId="4A51E749" w14:textId="77777777" w:rsidR="003C6232" w:rsidRDefault="00000000">
      <w:pPr>
        <w:rPr>
          <w:rFonts w:asciiTheme="minorHAnsi" w:hAnsiTheme="minorHAnsi"/>
        </w:rPr>
      </w:pPr>
      <w:r>
        <w:rPr>
          <w:rFonts w:asciiTheme="minorHAnsi" w:hAnsiTheme="minorHAnsi"/>
        </w:rPr>
        <w:t xml:space="preserve">Colombia es conocida por producir café, pero también lo toma cada vez más: entre 2015 y 2021 la proporción de colombianos que consume café pasó de 86 % a 96 % (Acosta, 2021). En Bogotá, el café de especialidad ganó un lugar propio. La ruta Coffee </w:t>
      </w:r>
      <w:proofErr w:type="gramStart"/>
      <w:r>
        <w:rPr>
          <w:rFonts w:asciiTheme="minorHAnsi" w:hAnsiTheme="minorHAnsi"/>
        </w:rPr>
        <w:t>Master</w:t>
      </w:r>
      <w:proofErr w:type="gramEnd"/>
      <w:r>
        <w:rPr>
          <w:rFonts w:asciiTheme="minorHAnsi" w:hAnsiTheme="minorHAnsi"/>
        </w:rPr>
        <w:t xml:space="preserve"> de 2026 reunió a más de 50 tiendas de especialidad de la ciudad y la Sabana (El Tiempo, 2026), y en 2025 el Distrito reconoció a 25 de ellas como embajadoras del café colombiano (Alcaldía de Bogotá, 2025).</w:t>
      </w:r>
    </w:p>
    <w:p w14:paraId="4322C1A6" w14:textId="77777777" w:rsidR="003C6232" w:rsidRDefault="00000000">
      <w:pPr>
        <w:rPr>
          <w:rFonts w:asciiTheme="minorHAnsi" w:hAnsiTheme="minorHAnsi"/>
        </w:rPr>
      </w:pPr>
      <w:r>
        <w:rPr>
          <w:rFonts w:asciiTheme="minorHAnsi" w:hAnsiTheme="minorHAnsi"/>
        </w:rPr>
        <w:t>Entender quién sostiene esta demanda importa porque no todos los clientes compran lo mismo. Pensemos en una estudiante de 22 años que pasa la tarde estudiando con un capuchino y en un ejecutivo de 50 que entra por un café filtrado de origen: dejan ingresos distintos, buscan cosas distintas en el local y reaccionan distinto a un cambio de precio. Si la edad marca formas diferentes de consumir, las cafeterías necesitan saberlo para decidir precios, espacios y oferta, y para anticipar cómo cambiará su clientela a medida que envejece. Por eso nos interesa mirar las diferencias por edad, y no solo cuánto café se vende.</w:t>
      </w:r>
    </w:p>
    <w:p w14:paraId="276BC6E3" w14:textId="77777777" w:rsidR="00577FB6" w:rsidRPr="00BF6D63" w:rsidRDefault="00000000">
      <w:pPr>
        <w:rPr>
          <w:rFonts w:asciiTheme="minorHAnsi" w:hAnsiTheme="minorHAnsi"/>
        </w:rPr>
      </w:pPr>
      <w:r>
        <w:rPr>
          <w:rFonts w:asciiTheme="minorHAnsi" w:hAnsiTheme="minorHAnsi"/>
        </w:rPr>
        <w:t>Los jóvenes visitan más las cafeterías, mientras que los mayores gastan más en cada visita. En Kuwait, entre 618 clientes de cadenas de cafeterías, la edad se asocia con menos visitas al año y con más gasto por visita (</w:t>
      </w:r>
      <w:proofErr w:type="spellStart"/>
      <w:r>
        <w:rPr>
          <w:rFonts w:asciiTheme="minorHAnsi" w:hAnsiTheme="minorHAnsi"/>
        </w:rPr>
        <w:t>Heiens</w:t>
      </w:r>
      <w:proofErr w:type="spellEnd"/>
      <w:r>
        <w:rPr>
          <w:rFonts w:asciiTheme="minorHAnsi" w:hAnsiTheme="minorHAnsi"/>
        </w:rPr>
        <w:t xml:space="preserve"> y </w:t>
      </w:r>
      <w:proofErr w:type="spellStart"/>
      <w:r>
        <w:rPr>
          <w:rFonts w:asciiTheme="minorHAnsi" w:hAnsiTheme="minorHAnsi"/>
        </w:rPr>
        <w:t>Pleshko</w:t>
      </w:r>
      <w:proofErr w:type="spellEnd"/>
      <w:r>
        <w:rPr>
          <w:rFonts w:asciiTheme="minorHAnsi" w:hAnsiTheme="minorHAnsi"/>
        </w:rPr>
        <w:t xml:space="preserve">, 2017). En Indonesia, los consumidores de la generación Z van cada semana y gastan menos de 50.000 rupias por visita, mientras que los </w:t>
      </w:r>
      <w:proofErr w:type="spellStart"/>
      <w:r>
        <w:rPr>
          <w:rFonts w:asciiTheme="minorHAnsi" w:hAnsiTheme="minorHAnsi"/>
        </w:rPr>
        <w:t>millennials</w:t>
      </w:r>
      <w:proofErr w:type="spellEnd"/>
      <w:r>
        <w:rPr>
          <w:rFonts w:asciiTheme="minorHAnsi" w:hAnsiTheme="minorHAnsi"/>
        </w:rPr>
        <w:t xml:space="preserve"> van cada mes y parte de ellos gasta entre 50.000 y 100.000 (</w:t>
      </w:r>
      <w:proofErr w:type="spellStart"/>
      <w:r>
        <w:rPr>
          <w:rFonts w:asciiTheme="minorHAnsi" w:hAnsiTheme="minorHAnsi"/>
        </w:rPr>
        <w:t>Muflikh</w:t>
      </w:r>
      <w:proofErr w:type="spellEnd"/>
      <w:r>
        <w:rPr>
          <w:rFonts w:asciiTheme="minorHAnsi" w:hAnsiTheme="minorHAnsi"/>
        </w:rPr>
        <w:t xml:space="preserve"> et al., 2024). En Corea del Sur, una menor edad también aumenta el número de visitas (Kim y Lee, 2021).</w:t>
      </w:r>
    </w:p>
    <w:p w14:paraId="6CB9B42D" w14:textId="77777777" w:rsidR="00577FB6" w:rsidRPr="00BF6D63" w:rsidRDefault="00000000">
      <w:pPr>
        <w:rPr>
          <w:rFonts w:asciiTheme="minorHAnsi" w:hAnsiTheme="minorHAnsi"/>
        </w:rPr>
      </w:pPr>
      <w:r>
        <w:rPr>
          <w:rFonts w:asciiTheme="minorHAnsi" w:hAnsiTheme="minorHAnsi"/>
        </w:rPr>
        <w:t xml:space="preserve">Este contraste sugiere dos formas de consumir café en una cafetería. En la primera, la cafetería es un lugar para estar: se visita para socializar, estudiar o trabajar, y cada visita cuesta poco. En la segunda, la cafetería es un lugar para tomar un buen café: se visita menos, pero cada visita vale más. </w:t>
      </w:r>
      <w:proofErr w:type="spellStart"/>
      <w:r>
        <w:rPr>
          <w:rFonts w:asciiTheme="minorHAnsi" w:hAnsiTheme="minorHAnsi"/>
        </w:rPr>
        <w:t>Heiens</w:t>
      </w:r>
      <w:proofErr w:type="spellEnd"/>
      <w:r>
        <w:rPr>
          <w:rFonts w:asciiTheme="minorHAnsi" w:hAnsiTheme="minorHAnsi"/>
        </w:rPr>
        <w:t xml:space="preserve"> y </w:t>
      </w:r>
      <w:proofErr w:type="spellStart"/>
      <w:r>
        <w:rPr>
          <w:rFonts w:asciiTheme="minorHAnsi" w:hAnsiTheme="minorHAnsi"/>
        </w:rPr>
        <w:t>Pleshko</w:t>
      </w:r>
      <w:proofErr w:type="spellEnd"/>
      <w:r>
        <w:rPr>
          <w:rFonts w:asciiTheme="minorHAnsi" w:hAnsiTheme="minorHAnsi"/>
        </w:rPr>
        <w:t xml:space="preserve"> (2017) explican que con la edad sube el ingreso y baja la movilidad, y los mayores se enfocan más en la experiencia del café, en vez de hacer paradas rápidas y frecuentes. </w:t>
      </w:r>
    </w:p>
    <w:p w14:paraId="2B4207A7" w14:textId="77777777" w:rsidR="00577FB6" w:rsidRPr="00BF6D63" w:rsidRDefault="00000000">
      <w:pPr>
        <w:rPr>
          <w:rFonts w:asciiTheme="minorHAnsi" w:hAnsiTheme="minorHAnsi"/>
        </w:rPr>
      </w:pPr>
      <w:r>
        <w:rPr>
          <w:rFonts w:asciiTheme="minorHAnsi" w:hAnsiTheme="minorHAnsi"/>
        </w:rPr>
        <w:t xml:space="preserve">Los estudios guían hacia el porqué de cada forma. Los motivos cambian entre generaciones: la generación Z asocia el café con placer y socialización y prefiere locales de marca, la Y valora el café fuerte y recién molido, y la X busca practicidad y lugares tranquilos (Doğan y </w:t>
      </w:r>
      <w:proofErr w:type="spellStart"/>
      <w:r>
        <w:rPr>
          <w:rFonts w:asciiTheme="minorHAnsi" w:hAnsiTheme="minorHAnsi"/>
        </w:rPr>
        <w:t>Atsız</w:t>
      </w:r>
      <w:proofErr w:type="spellEnd"/>
      <w:r>
        <w:rPr>
          <w:rFonts w:asciiTheme="minorHAnsi" w:hAnsiTheme="minorHAnsi"/>
        </w:rPr>
        <w:t xml:space="preserve">, 2026). Los atributos valorados también cambian: los jóvenes valoran el </w:t>
      </w:r>
      <w:proofErr w:type="spellStart"/>
      <w:r>
        <w:rPr>
          <w:rFonts w:asciiTheme="minorHAnsi" w:hAnsiTheme="minorHAnsi"/>
        </w:rPr>
        <w:t>WiFi</w:t>
      </w:r>
      <w:proofErr w:type="spellEnd"/>
      <w:r>
        <w:rPr>
          <w:rFonts w:asciiTheme="minorHAnsi" w:hAnsiTheme="minorHAnsi"/>
        </w:rPr>
        <w:t xml:space="preserve"> y los enchufes para trabajar, y los </w:t>
      </w:r>
      <w:proofErr w:type="spellStart"/>
      <w:r>
        <w:rPr>
          <w:rFonts w:asciiTheme="minorHAnsi" w:hAnsiTheme="minorHAnsi"/>
        </w:rPr>
        <w:t>millennials</w:t>
      </w:r>
      <w:proofErr w:type="spellEnd"/>
      <w:r>
        <w:rPr>
          <w:rFonts w:asciiTheme="minorHAnsi" w:hAnsiTheme="minorHAnsi"/>
        </w:rPr>
        <w:t xml:space="preserve"> priorizan la interacción social (</w:t>
      </w:r>
      <w:proofErr w:type="spellStart"/>
      <w:r>
        <w:rPr>
          <w:rFonts w:asciiTheme="minorHAnsi" w:hAnsiTheme="minorHAnsi"/>
        </w:rPr>
        <w:t>Muflikh</w:t>
      </w:r>
      <w:proofErr w:type="spellEnd"/>
      <w:r>
        <w:rPr>
          <w:rFonts w:asciiTheme="minorHAnsi" w:hAnsiTheme="minorHAnsi"/>
        </w:rPr>
        <w:t xml:space="preserve"> et al., 2024). La calidad de la preparación y el trato del barista pesan en la elección de la cafetería, y su valoración se relaciona con la edad </w:t>
      </w:r>
      <w:r>
        <w:rPr>
          <w:rFonts w:asciiTheme="minorHAnsi" w:hAnsiTheme="minorHAnsi"/>
        </w:rPr>
        <w:lastRenderedPageBreak/>
        <w:t>(</w:t>
      </w:r>
      <w:proofErr w:type="spellStart"/>
      <w:r>
        <w:rPr>
          <w:rFonts w:asciiTheme="minorHAnsi" w:hAnsiTheme="minorHAnsi"/>
        </w:rPr>
        <w:t>Drábeková</w:t>
      </w:r>
      <w:proofErr w:type="spellEnd"/>
      <w:r>
        <w:rPr>
          <w:rFonts w:asciiTheme="minorHAnsi" w:hAnsiTheme="minorHAnsi"/>
        </w:rPr>
        <w:t xml:space="preserve"> y </w:t>
      </w:r>
      <w:proofErr w:type="spellStart"/>
      <w:r>
        <w:rPr>
          <w:rFonts w:asciiTheme="minorHAnsi" w:hAnsiTheme="minorHAnsi"/>
        </w:rPr>
        <w:t>Spiššáková</w:t>
      </w:r>
      <w:proofErr w:type="spellEnd"/>
      <w:r>
        <w:rPr>
          <w:rFonts w:asciiTheme="minorHAnsi" w:hAnsiTheme="minorHAnsi"/>
        </w:rPr>
        <w:t>, 2023). Con la edad, el café gana importancia como motivo de la visita y crece el consumo en casa (</w:t>
      </w:r>
      <w:proofErr w:type="spellStart"/>
      <w:r>
        <w:rPr>
          <w:rFonts w:asciiTheme="minorHAnsi" w:hAnsiTheme="minorHAnsi"/>
        </w:rPr>
        <w:t>Pleshko</w:t>
      </w:r>
      <w:proofErr w:type="spellEnd"/>
      <w:r>
        <w:rPr>
          <w:rFonts w:asciiTheme="minorHAnsi" w:hAnsiTheme="minorHAnsi"/>
        </w:rPr>
        <w:t xml:space="preserve"> y </w:t>
      </w:r>
      <w:proofErr w:type="spellStart"/>
      <w:r>
        <w:rPr>
          <w:rFonts w:asciiTheme="minorHAnsi" w:hAnsiTheme="minorHAnsi"/>
        </w:rPr>
        <w:t>Heiens</w:t>
      </w:r>
      <w:proofErr w:type="spellEnd"/>
      <w:r>
        <w:rPr>
          <w:rFonts w:asciiTheme="minorHAnsi" w:hAnsiTheme="minorHAnsi"/>
        </w:rPr>
        <w:t xml:space="preserve">, 2015). El precio frena a todas las generaciones, aunque la X es la que más reduce su consumo (Doğan y </w:t>
      </w:r>
      <w:proofErr w:type="spellStart"/>
      <w:r>
        <w:rPr>
          <w:rFonts w:asciiTheme="minorHAnsi" w:hAnsiTheme="minorHAnsi"/>
        </w:rPr>
        <w:t>Atsız</w:t>
      </w:r>
      <w:proofErr w:type="spellEnd"/>
      <w:r>
        <w:rPr>
          <w:rFonts w:asciiTheme="minorHAnsi" w:hAnsiTheme="minorHAnsi"/>
        </w:rPr>
        <w:t>, 2026). Entre los jóvenes, el café de especialidad se percibe como caro y no se compra con regularidad, y la visita se asocia con estatus en redes sociales (Wang et al., 2024).</w:t>
      </w:r>
    </w:p>
    <w:p w14:paraId="1F2C5B53" w14:textId="77777777" w:rsidR="00577FB6" w:rsidRPr="00BF6D63" w:rsidRDefault="00703FE7">
      <w:pPr>
        <w:rPr>
          <w:rFonts w:asciiTheme="minorHAnsi" w:hAnsiTheme="minorHAnsi"/>
        </w:rPr>
      </w:pPr>
      <w:r>
        <w:rPr>
          <w:rFonts w:asciiTheme="minorHAnsi" w:hAnsiTheme="minorHAnsi"/>
        </w:rPr>
        <w:t>Es importante distinguir de qué café habla cada resultado. Los estudios de consumo total miden el café tomado en cualquier lugar, sobre todo en casa, y encuentran que aumenta con la edad (</w:t>
      </w:r>
      <w:proofErr w:type="spellStart"/>
      <w:r>
        <w:rPr>
          <w:rFonts w:asciiTheme="minorHAnsi" w:hAnsiTheme="minorHAnsi"/>
        </w:rPr>
        <w:t>Loftfield</w:t>
      </w:r>
      <w:proofErr w:type="spellEnd"/>
      <w:r>
        <w:rPr>
          <w:rFonts w:asciiTheme="minorHAnsi" w:hAnsiTheme="minorHAnsi"/>
        </w:rPr>
        <w:t xml:space="preserve"> et al., 2016; Rehm et al., 2020; Sousa et al., 2016). Los estudios de visitas y gasto se hicieron en cafeterías en general, en buena parte cadenas (</w:t>
      </w:r>
      <w:proofErr w:type="spellStart"/>
      <w:r>
        <w:rPr>
          <w:rFonts w:asciiTheme="minorHAnsi" w:hAnsiTheme="minorHAnsi"/>
        </w:rPr>
        <w:t>Heiens</w:t>
      </w:r>
      <w:proofErr w:type="spellEnd"/>
      <w:r>
        <w:rPr>
          <w:rFonts w:asciiTheme="minorHAnsi" w:hAnsiTheme="minorHAnsi"/>
        </w:rPr>
        <w:t xml:space="preserve"> y </w:t>
      </w:r>
      <w:proofErr w:type="spellStart"/>
      <w:r>
        <w:rPr>
          <w:rFonts w:asciiTheme="minorHAnsi" w:hAnsiTheme="minorHAnsi"/>
        </w:rPr>
        <w:t>Pleshko</w:t>
      </w:r>
      <w:proofErr w:type="spellEnd"/>
      <w:r>
        <w:rPr>
          <w:rFonts w:asciiTheme="minorHAnsi" w:hAnsiTheme="minorHAnsi"/>
        </w:rPr>
        <w:t>, 2017; Kim y Lee, 2021). La disposición a pagar se ha medido para café orgánico o de comercio justo, donde la edad aparece entre sus determinantes (Mamani Tudela, 2024; Saraswati et al., 2023). Solo unos pocos estudios tratan el café de especialidad: en Corea del Sur, la experiencia que valoran sus clientes cambia con la edad (Park y Joo, 2023), y en Taiwán la generación Z lo asocia con estatus (Wang et al., 2024). Ninguno de los estudios revisados es de Colombia. La selección de estos estudios siguió la guía PRISMA 2020 (Page et al., 2021), y su flujo se presenta en el Anexo 1.</w:t>
      </w:r>
    </w:p>
    <w:p w14:paraId="03B847D6" w14:textId="77777777" w:rsidR="00577FB6" w:rsidRPr="00BF6D63" w:rsidRDefault="00000000">
      <w:pPr>
        <w:rPr>
          <w:rFonts w:asciiTheme="minorHAnsi" w:hAnsiTheme="minorHAnsi"/>
        </w:rPr>
      </w:pPr>
      <w:r>
        <w:rPr>
          <w:rFonts w:asciiTheme="minorHAnsi" w:hAnsiTheme="minorHAnsi"/>
        </w:rPr>
        <w:t>Queremos saber si este contraste se mantiene en las cafeterías de especialidad de la zona norte de Bogotá y qué lo explica. Si los jóvenes visitan más, pero gastan menos por visita, la pregunta relevante no es qué grupo demanda más, sino cómo se reparte su demanda entre frecuencia y gasto, y qué motivos y atributos de la oferta están detrás de cada forma de consumir.</w:t>
      </w:r>
    </w:p>
    <w:p w14:paraId="4FA8978F" w14:textId="77777777" w:rsidR="00577FB6" w:rsidRPr="00BF6D63" w:rsidRDefault="00000000">
      <w:pPr>
        <w:rPr>
          <w:rFonts w:asciiTheme="minorHAnsi" w:hAnsiTheme="minorHAnsi"/>
        </w:rPr>
      </w:pPr>
      <w:r>
        <w:rPr>
          <w:rFonts w:asciiTheme="minorHAnsi" w:hAnsiTheme="minorHAnsi"/>
          <w:b/>
        </w:rPr>
        <w:t>Preguntas específicas:</w:t>
      </w:r>
    </w:p>
    <w:p w14:paraId="11CB3958" w14:textId="77777777" w:rsidR="00577FB6" w:rsidRPr="00BF6D63" w:rsidRDefault="00000000">
      <w:pPr>
        <w:pStyle w:val="ListParagraph"/>
        <w:numPr>
          <w:ilvl w:val="0"/>
          <w:numId w:val="2"/>
        </w:numPr>
        <w:rPr>
          <w:rFonts w:asciiTheme="minorHAnsi" w:hAnsiTheme="minorHAnsi"/>
        </w:rPr>
      </w:pPr>
      <w:r>
        <w:rPr>
          <w:rFonts w:asciiTheme="minorHAnsi" w:hAnsiTheme="minorHAnsi"/>
        </w:rPr>
        <w:t>¿Cómo varía la frecuencia de visita a cafeterías de especialidad entre grupos de edad?</w:t>
      </w:r>
    </w:p>
    <w:p w14:paraId="3C63AA21" w14:textId="77777777" w:rsidR="00577FB6" w:rsidRPr="00BF6D63" w:rsidRDefault="00000000">
      <w:pPr>
        <w:pStyle w:val="ListParagraph"/>
        <w:numPr>
          <w:ilvl w:val="0"/>
          <w:numId w:val="2"/>
        </w:numPr>
        <w:rPr>
          <w:rFonts w:asciiTheme="minorHAnsi" w:hAnsiTheme="minorHAnsi"/>
        </w:rPr>
      </w:pPr>
      <w:r>
        <w:rPr>
          <w:rFonts w:asciiTheme="minorHAnsi" w:hAnsiTheme="minorHAnsi"/>
        </w:rPr>
        <w:t>¿Cómo varía el gasto por visita entre grupos de edad, y en qué se gasta: bebida, comida o café para llevar a casa?</w:t>
      </w:r>
    </w:p>
    <w:p w14:paraId="56828090" w14:textId="77777777" w:rsidR="00577FB6" w:rsidRPr="00BF6D63" w:rsidRDefault="00000000">
      <w:pPr>
        <w:pStyle w:val="ListParagraph"/>
        <w:numPr>
          <w:ilvl w:val="0"/>
          <w:numId w:val="2"/>
        </w:numPr>
        <w:rPr>
          <w:rFonts w:asciiTheme="minorHAnsi" w:hAnsiTheme="minorHAnsi"/>
        </w:rPr>
      </w:pPr>
      <w:r>
        <w:rPr>
          <w:rFonts w:asciiTheme="minorHAnsi" w:hAnsiTheme="minorHAnsi"/>
        </w:rPr>
        <w:t>¿Difiere el gasto mensual entre grupos de edad, o la mayor frecuencia de unos compensa el mayor gasto por visita de otros?</w:t>
      </w:r>
    </w:p>
    <w:p w14:paraId="678B0693" w14:textId="77777777" w:rsidR="00577FB6" w:rsidRPr="00BF6D63" w:rsidRDefault="00000000">
      <w:pPr>
        <w:pStyle w:val="ListParagraph"/>
        <w:numPr>
          <w:ilvl w:val="0"/>
          <w:numId w:val="2"/>
        </w:numPr>
        <w:rPr>
          <w:rFonts w:asciiTheme="minorHAnsi" w:hAnsiTheme="minorHAnsi"/>
        </w:rPr>
      </w:pPr>
      <w:r>
        <w:rPr>
          <w:rFonts w:asciiTheme="minorHAnsi" w:hAnsiTheme="minorHAnsi"/>
        </w:rPr>
        <w:t>¿Qué motivos de visita y qué atributos de la oferta predominan en cada grupo de edad, y cómo se relacionan con la frecuencia y el gasto?</w:t>
      </w:r>
    </w:p>
    <w:p w14:paraId="5B8835AE" w14:textId="77777777" w:rsidR="00577FB6" w:rsidRPr="00BF6D63" w:rsidRDefault="00000000">
      <w:pPr>
        <w:pStyle w:val="Heading2"/>
        <w:rPr>
          <w:rFonts w:asciiTheme="minorHAnsi" w:hAnsiTheme="minorHAnsi"/>
        </w:rPr>
      </w:pPr>
      <w:r>
        <w:rPr>
          <w:rFonts w:asciiTheme="minorHAnsi" w:hAnsiTheme="minorHAnsi"/>
        </w:rPr>
        <w:t>Marco teórico</w:t>
      </w:r>
    </w:p>
    <w:p w14:paraId="13802CDB" w14:textId="77777777" w:rsidR="00577FB6" w:rsidRPr="00BF6D63" w:rsidRDefault="00E8050D">
      <w:pPr>
        <w:rPr>
          <w:rFonts w:asciiTheme="minorHAnsi" w:hAnsiTheme="minorHAnsi"/>
        </w:rPr>
      </w:pPr>
      <w:r>
        <w:rPr>
          <w:rFonts w:asciiTheme="minorHAnsi" w:hAnsiTheme="minorHAnsi"/>
        </w:rPr>
        <w:t>Tomamos la visita a una cafetería de especialidad como un bien que combina café, tiempo y espacio. Cuatro ideas de la teoría económica explican por qué esa combinación puede demandarse de forma distinta según la edad. Partimos de que los rasgos sociodemográficos, entre ellos la edad, son uno de los grupos de determinantes del consumo de café (</w:t>
      </w:r>
      <w:proofErr w:type="spellStart"/>
      <w:r>
        <w:rPr>
          <w:rFonts w:asciiTheme="minorHAnsi" w:hAnsiTheme="minorHAnsi"/>
        </w:rPr>
        <w:t>Samoggia</w:t>
      </w:r>
      <w:proofErr w:type="spellEnd"/>
      <w:r>
        <w:rPr>
          <w:rFonts w:asciiTheme="minorHAnsi" w:hAnsiTheme="minorHAnsi"/>
        </w:rPr>
        <w:t xml:space="preserve"> y Riedel, 2018).</w:t>
      </w:r>
    </w:p>
    <w:p w14:paraId="37457C77" w14:textId="77777777" w:rsidR="00577FB6" w:rsidRPr="00BF6D63" w:rsidRDefault="00000000">
      <w:pPr>
        <w:rPr>
          <w:rFonts w:asciiTheme="minorHAnsi" w:hAnsiTheme="minorHAnsi"/>
        </w:rPr>
      </w:pPr>
      <w:r>
        <w:rPr>
          <w:rFonts w:asciiTheme="minorHAnsi" w:hAnsiTheme="minorHAnsi"/>
          <w:b/>
        </w:rPr>
        <w:t>El precio completo incluye el tiempo.</w:t>
      </w:r>
      <w:r>
        <w:rPr>
          <w:rFonts w:asciiTheme="minorHAnsi" w:hAnsiTheme="minorHAnsi"/>
        </w:rPr>
        <w:t xml:space="preserve"> En la teoría de Becker (1965), los hogares producen actividades de consumo combinando bienes de mercado y tiempo, y el precio de una actividad incluye el valor del tiempo que exige. Quien tiene un costo del tiempo bajo, como un estudiante, puede visitar más y quedarse más. Quien tiene un ingreso mayor, y por eso un tiempo más caro, tendería a visitar menos, pero a gastar más en cada visita. </w:t>
      </w:r>
    </w:p>
    <w:p w14:paraId="7FC4AFD4" w14:textId="77777777" w:rsidR="00577FB6" w:rsidRPr="00BF6D63" w:rsidRDefault="00000000">
      <w:pPr>
        <w:rPr>
          <w:rFonts w:asciiTheme="minorHAnsi" w:hAnsiTheme="minorHAnsi"/>
        </w:rPr>
      </w:pPr>
      <w:r>
        <w:rPr>
          <w:rFonts w:asciiTheme="minorHAnsi" w:hAnsiTheme="minorHAnsi"/>
          <w:b/>
        </w:rPr>
        <w:lastRenderedPageBreak/>
        <w:t>Se demandan atributos, no solo productos.</w:t>
      </w:r>
      <w:r>
        <w:rPr>
          <w:rFonts w:asciiTheme="minorHAnsi" w:hAnsiTheme="minorHAnsi"/>
        </w:rPr>
        <w:t xml:space="preserve"> Para Lancaster (1966), los consumidores valoran las características de los bienes. Una cafetería ofrece varias a la vez: calidad del café, servicio del barista, ambiente, </w:t>
      </w:r>
      <w:proofErr w:type="spellStart"/>
      <w:r>
        <w:rPr>
          <w:rFonts w:asciiTheme="minorHAnsi" w:hAnsiTheme="minorHAnsi"/>
        </w:rPr>
        <w:t>WiFi</w:t>
      </w:r>
      <w:proofErr w:type="spellEnd"/>
      <w:r>
        <w:rPr>
          <w:rFonts w:asciiTheme="minorHAnsi" w:hAnsiTheme="minorHAnsi"/>
        </w:rPr>
        <w:t xml:space="preserve">, tranquilidad y precio. Si cada grupo de edad pondera distinto esos atributos, elegirá cafeterías distintas y las usará de forma distinta, como sugieren los estudios por generación (Doğan y </w:t>
      </w:r>
      <w:proofErr w:type="spellStart"/>
      <w:r>
        <w:rPr>
          <w:rFonts w:asciiTheme="minorHAnsi" w:hAnsiTheme="minorHAnsi"/>
        </w:rPr>
        <w:t>Atsız</w:t>
      </w:r>
      <w:proofErr w:type="spellEnd"/>
      <w:r>
        <w:rPr>
          <w:rFonts w:asciiTheme="minorHAnsi" w:hAnsiTheme="minorHAnsi"/>
        </w:rPr>
        <w:t xml:space="preserve">, 2026; </w:t>
      </w:r>
      <w:proofErr w:type="spellStart"/>
      <w:r>
        <w:rPr>
          <w:rFonts w:asciiTheme="minorHAnsi" w:hAnsiTheme="minorHAnsi"/>
        </w:rPr>
        <w:t>Muflikh</w:t>
      </w:r>
      <w:proofErr w:type="spellEnd"/>
      <w:r>
        <w:rPr>
          <w:rFonts w:asciiTheme="minorHAnsi" w:hAnsiTheme="minorHAnsi"/>
        </w:rPr>
        <w:t xml:space="preserve"> et al., 2024).</w:t>
      </w:r>
    </w:p>
    <w:p w14:paraId="379A469C" w14:textId="77777777" w:rsidR="00577FB6" w:rsidRPr="00BF6D63" w:rsidRDefault="00000000">
      <w:pPr>
        <w:rPr>
          <w:rFonts w:asciiTheme="minorHAnsi" w:hAnsiTheme="minorHAnsi"/>
        </w:rPr>
      </w:pPr>
      <w:r>
        <w:rPr>
          <w:rFonts w:asciiTheme="minorHAnsi" w:hAnsiTheme="minorHAnsi"/>
          <w:b/>
        </w:rPr>
        <w:t>La cafetería como espacio y como experiencia.</w:t>
      </w:r>
      <w:r>
        <w:rPr>
          <w:rFonts w:asciiTheme="minorHAnsi" w:hAnsiTheme="minorHAnsi"/>
        </w:rPr>
        <w:t xml:space="preserve"> Oldenburg (1989) describe los «terceros lugares», espacios fuera de la casa y del trabajo donde la gente se reúne, y la cafetería es uno de ellos. Pine y Gilmore (1998) proponen que las empresas venden experiencias, con cuatro dimensiones: entretenimiento, educación, estética y escape. Park y Joo (2023) usan ese marco en cafeterías de especialidad y encuentran que la valoración de la experiencia cambia con la edad. Las dos formas de consumir que proponemos corresponden a estas dos ideas: la cafetería como lugar para estar y la cafetería como experiencia del café.</w:t>
      </w:r>
    </w:p>
    <w:p w14:paraId="3493AC68" w14:textId="77777777" w:rsidR="00577FB6" w:rsidRPr="00BF6D63" w:rsidRDefault="00000000">
      <w:pPr>
        <w:rPr>
          <w:rFonts w:asciiTheme="minorHAnsi" w:hAnsiTheme="minorHAnsi"/>
        </w:rPr>
      </w:pPr>
      <w:r>
        <w:rPr>
          <w:rFonts w:asciiTheme="minorHAnsi" w:hAnsiTheme="minorHAnsi"/>
          <w:b/>
        </w:rPr>
        <w:t>El gusto se aprende.</w:t>
      </w:r>
      <w:r>
        <w:rPr>
          <w:rFonts w:asciiTheme="minorHAnsi" w:hAnsiTheme="minorHAnsi"/>
        </w:rPr>
        <w:t xml:space="preserve"> Stigler y Becker (1977) explican los cambios en el consumo por la acumulación de «capital de consumo»: cuanto más se conoce un bien, más se disfruta. En el café de especialidad, el conocimiento sobre origen, tueste y preparación podría crecer con la experiencia y la edad, y elevar la disposición a pagar. Kim y Lee (2021) muestran que un mayor involucramiento con el café aumenta las visitas, pero ningún estudio revisado prueba esta relación con la edad en café de especialidad, así que la dejamos abierta.</w:t>
      </w:r>
    </w:p>
    <w:p w14:paraId="2049F48A" w14:textId="77777777" w:rsidR="00577FB6" w:rsidRPr="00BF6D63" w:rsidRDefault="00000000">
      <w:pPr>
        <w:pStyle w:val="Heading2"/>
        <w:rPr>
          <w:rFonts w:asciiTheme="minorHAnsi" w:hAnsiTheme="minorHAnsi"/>
        </w:rPr>
      </w:pPr>
      <w:r>
        <w:rPr>
          <w:rFonts w:asciiTheme="minorHAnsi" w:hAnsiTheme="minorHAnsi"/>
        </w:rPr>
        <w:t>Diagrama: teoría del cambio de la demanda</w:t>
      </w:r>
    </w:p>
    <w:p w14:paraId="5037150B" w14:textId="77777777" w:rsidR="00577FB6" w:rsidRPr="00BF6D63" w:rsidRDefault="00000000">
      <w:pPr>
        <w:rPr>
          <w:rFonts w:asciiTheme="minorHAnsi" w:hAnsiTheme="minorHAnsi"/>
        </w:rPr>
      </w:pPr>
      <w:r>
        <w:rPr>
          <w:rFonts w:asciiTheme="minorHAnsi" w:hAnsiTheme="minorHAnsi"/>
        </w:rPr>
        <w:t>Siguiendo la lógica de la teoría del cambio (Taplin y Clark, 2012), la Figura 1 ordena lo encontrado en la revisión: cada grupo de edad tiene motivos distintos, esos motivos buscan atributos distintos de la oferta, y los atributos se reflejan en la frecuencia de visita y el gasto.</w:t>
      </w:r>
    </w:p>
    <w:p w14:paraId="6C2F28B3" w14:textId="77777777" w:rsidR="00417D52" w:rsidRDefault="00417D52" w:rsidP="00417D52">
      <w:pPr>
        <w:jc w:val="center"/>
        <w:rPr>
          <w:rFonts w:asciiTheme="minorHAnsi" w:hAnsiTheme="minorHAnsi"/>
        </w:rPr>
      </w:pPr>
      <w:r>
        <w:rPr>
          <w:rFonts w:asciiTheme="minorHAnsi" w:hAnsiTheme="minorHAnsi"/>
          <w:noProof/>
        </w:rPr>
        <w:drawing>
          <wp:inline distT="0" distB="0" distL="0" distR="0" wp14:anchorId="0A64B7A2" wp14:editId="04E92D90">
            <wp:extent cx="5040000" cy="3219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40000" cy="3219300"/>
                    </a:xfrm>
                    <a:prstGeom prst="rect">
                      <a:avLst/>
                    </a:prstGeom>
                    <a:noFill/>
                  </pic:spPr>
                </pic:pic>
              </a:graphicData>
            </a:graphic>
          </wp:inline>
        </w:drawing>
      </w:r>
    </w:p>
    <w:p w14:paraId="683955D5" w14:textId="77777777" w:rsidR="003C6232" w:rsidRDefault="00000000">
      <w:pPr>
        <w:jc w:val="center"/>
        <w:rPr>
          <w:rFonts w:asciiTheme="minorHAnsi" w:hAnsiTheme="minorHAnsi"/>
        </w:rPr>
      </w:pPr>
      <w:r>
        <w:rPr>
          <w:rFonts w:asciiTheme="minorHAnsi" w:hAnsiTheme="minorHAnsi"/>
          <w:b/>
          <w:bCs/>
        </w:rPr>
        <w:lastRenderedPageBreak/>
        <w:t xml:space="preserve">Figura 1. </w:t>
      </w:r>
      <w:r>
        <w:rPr>
          <w:rFonts w:asciiTheme="minorHAnsi" w:hAnsiTheme="minorHAnsi"/>
          <w:i/>
        </w:rPr>
        <w:t>Teoría del cambio: edad y formas de consumir café de especialidad. Elaboración propia con base en la revisión de literatura.</w:t>
      </w:r>
    </w:p>
    <w:p w14:paraId="7A9EC17D" w14:textId="77777777" w:rsidR="00577FB6" w:rsidRPr="00BF6D63" w:rsidRDefault="00000000">
      <w:pPr>
        <w:pStyle w:val="Heading2"/>
        <w:rPr>
          <w:rFonts w:asciiTheme="minorHAnsi" w:hAnsiTheme="minorHAnsi"/>
        </w:rPr>
      </w:pPr>
      <w:r>
        <w:rPr>
          <w:rFonts w:asciiTheme="minorHAnsi" w:hAnsiTheme="minorHAnsi"/>
        </w:rPr>
        <w:t>Referencias</w:t>
      </w:r>
    </w:p>
    <w:p w14:paraId="3771D4F1" w14:textId="77777777" w:rsidR="003C6232" w:rsidRDefault="00000000">
      <w:pPr>
        <w:rPr>
          <w:rFonts w:asciiTheme="minorHAnsi" w:hAnsiTheme="minorHAnsi"/>
        </w:rPr>
      </w:pPr>
      <w:r>
        <w:rPr>
          <w:rFonts w:asciiTheme="minorHAnsi" w:hAnsiTheme="minorHAnsi"/>
        </w:rPr>
        <w:t xml:space="preserve">Acosta, J. (2021, 1 de diciembre). Aumentaría el consumo interno de café a 2,8 kg per cápita. </w:t>
      </w:r>
      <w:r>
        <w:rPr>
          <w:rFonts w:asciiTheme="minorHAnsi" w:hAnsiTheme="minorHAnsi"/>
          <w:i/>
        </w:rPr>
        <w:t>Portafolio</w:t>
      </w:r>
      <w:r>
        <w:rPr>
          <w:rFonts w:asciiTheme="minorHAnsi" w:hAnsiTheme="minorHAnsi"/>
        </w:rPr>
        <w:t>. https://www.portafolio.co/economia/aumentaria-el-consumo-interno-de-cafe-aumentaria-a-2-8-kg-per-capita-559179</w:t>
      </w:r>
    </w:p>
    <w:p w14:paraId="2502F732" w14:textId="77777777" w:rsidR="00577FB6" w:rsidRPr="00BF6D63" w:rsidRDefault="00000000">
      <w:pPr>
        <w:rPr>
          <w:rFonts w:asciiTheme="minorHAnsi" w:hAnsiTheme="minorHAnsi"/>
        </w:rPr>
      </w:pPr>
      <w:r>
        <w:rPr>
          <w:rFonts w:asciiTheme="minorHAnsi" w:hAnsiTheme="minorHAnsi"/>
        </w:rPr>
        <w:t xml:space="preserve">Alcaldía de Bogotá. (2025, 9 de diciembre). </w:t>
      </w:r>
      <w:r>
        <w:rPr>
          <w:rFonts w:asciiTheme="minorHAnsi" w:hAnsiTheme="minorHAnsi"/>
          <w:i/>
        </w:rPr>
        <w:t>Bogotá lanza ‘Conexión Bogotá: Experiencias de Café’: la capital de experiencias cafeteras en Colombia</w:t>
      </w:r>
      <w:r>
        <w:rPr>
          <w:rFonts w:asciiTheme="minorHAnsi" w:hAnsiTheme="minorHAnsi"/>
        </w:rPr>
        <w:t>. https://bogota.gov.co/mi-ciudad/desarrollo-economico/bogota-lanza-conexion-bogota-experiencias-de-cafe-en-turismo</w:t>
      </w:r>
    </w:p>
    <w:p w14:paraId="7DD2043D" w14:textId="77777777" w:rsidR="00577FB6" w:rsidRPr="00086AC3" w:rsidRDefault="00000000">
      <w:pPr>
        <w:rPr>
          <w:rFonts w:asciiTheme="minorHAnsi" w:hAnsiTheme="minorHAnsi"/>
          <w:lang w:val="en-US"/>
        </w:rPr>
      </w:pPr>
      <w:r w:rsidRPr="00086AC3">
        <w:rPr>
          <w:rFonts w:asciiTheme="minorHAnsi" w:hAnsiTheme="minorHAnsi"/>
          <w:lang w:val="en-US"/>
        </w:rPr>
        <w:t xml:space="preserve">Becker, G. S. (1965). A theory of the allocation of time. </w:t>
      </w:r>
      <w:r w:rsidRPr="00086AC3">
        <w:rPr>
          <w:rFonts w:asciiTheme="minorHAnsi" w:hAnsiTheme="minorHAnsi"/>
          <w:i/>
          <w:lang w:val="en-US"/>
        </w:rPr>
        <w:t>The Economic Journal, 75</w:t>
      </w:r>
      <w:r w:rsidRPr="00086AC3">
        <w:rPr>
          <w:rFonts w:asciiTheme="minorHAnsi" w:hAnsiTheme="minorHAnsi"/>
          <w:lang w:val="en-US"/>
        </w:rPr>
        <w:t>(299), 493–517. https://doi.org/10.2307/2228949</w:t>
      </w:r>
    </w:p>
    <w:p w14:paraId="7CF99882" w14:textId="77777777" w:rsidR="00577FB6" w:rsidRPr="00086AC3" w:rsidRDefault="00000000">
      <w:pPr>
        <w:rPr>
          <w:rFonts w:asciiTheme="minorHAnsi" w:hAnsiTheme="minorHAnsi"/>
          <w:lang w:val="en-US"/>
        </w:rPr>
      </w:pPr>
      <w:r>
        <w:rPr>
          <w:rFonts w:asciiTheme="minorHAnsi" w:hAnsiTheme="minorHAnsi"/>
        </w:rPr>
        <w:t xml:space="preserve">Doğan, T., y </w:t>
      </w:r>
      <w:proofErr w:type="spellStart"/>
      <w:r>
        <w:rPr>
          <w:rFonts w:asciiTheme="minorHAnsi" w:hAnsiTheme="minorHAnsi"/>
        </w:rPr>
        <w:t>Atsız</w:t>
      </w:r>
      <w:proofErr w:type="spellEnd"/>
      <w:r>
        <w:rPr>
          <w:rFonts w:asciiTheme="minorHAnsi" w:hAnsiTheme="minorHAnsi"/>
        </w:rPr>
        <w:t xml:space="preserve">, O. (2026). </w:t>
      </w:r>
      <w:r w:rsidRPr="00086AC3">
        <w:rPr>
          <w:rFonts w:asciiTheme="minorHAnsi" w:hAnsiTheme="minorHAnsi"/>
          <w:lang w:val="en-US"/>
        </w:rPr>
        <w:t xml:space="preserve">Coffee consumption across generations: Consumer habits, motivations and constraints. </w:t>
      </w:r>
      <w:r w:rsidRPr="00086AC3">
        <w:rPr>
          <w:rFonts w:asciiTheme="minorHAnsi" w:hAnsiTheme="minorHAnsi"/>
          <w:i/>
          <w:lang w:val="en-US"/>
        </w:rPr>
        <w:t>Journal of Hospitality and Tourism Horizons, 2</w:t>
      </w:r>
      <w:r w:rsidRPr="00086AC3">
        <w:rPr>
          <w:rFonts w:asciiTheme="minorHAnsi" w:hAnsiTheme="minorHAnsi"/>
          <w:lang w:val="en-US"/>
        </w:rPr>
        <w:t>(4), 509–526. https://doi.org/10.1108/jhth-02-2026-0040</w:t>
      </w:r>
    </w:p>
    <w:p w14:paraId="0E5CB947" w14:textId="77777777" w:rsidR="00577FB6" w:rsidRPr="00086AC3" w:rsidRDefault="00000000">
      <w:pPr>
        <w:rPr>
          <w:rFonts w:asciiTheme="minorHAnsi" w:hAnsiTheme="minorHAnsi"/>
          <w:lang w:val="en-US"/>
        </w:rPr>
      </w:pPr>
      <w:r>
        <w:rPr>
          <w:rFonts w:asciiTheme="minorHAnsi" w:hAnsiTheme="minorHAnsi"/>
        </w:rPr>
        <w:t xml:space="preserve">Drábeková, J., y </w:t>
      </w:r>
      <w:proofErr w:type="spellStart"/>
      <w:r>
        <w:rPr>
          <w:rFonts w:asciiTheme="minorHAnsi" w:hAnsiTheme="minorHAnsi"/>
        </w:rPr>
        <w:t>Spiššáková</w:t>
      </w:r>
      <w:proofErr w:type="spellEnd"/>
      <w:r>
        <w:rPr>
          <w:rFonts w:asciiTheme="minorHAnsi" w:hAnsiTheme="minorHAnsi"/>
        </w:rPr>
        <w:t xml:space="preserve">, A. (2023). </w:t>
      </w:r>
      <w:r w:rsidRPr="00086AC3">
        <w:rPr>
          <w:rFonts w:asciiTheme="minorHAnsi" w:hAnsiTheme="minorHAnsi"/>
          <w:lang w:val="en-US"/>
        </w:rPr>
        <w:t xml:space="preserve">Consumers, cafes, baristas, and statistical analysis of their interactions. </w:t>
      </w:r>
      <w:r w:rsidRPr="00086AC3">
        <w:rPr>
          <w:rFonts w:asciiTheme="minorHAnsi" w:hAnsiTheme="minorHAnsi"/>
          <w:i/>
          <w:lang w:val="en-US"/>
        </w:rPr>
        <w:t>Mathematics in Education, Research and Applications, 9</w:t>
      </w:r>
      <w:r w:rsidRPr="00086AC3">
        <w:rPr>
          <w:rFonts w:asciiTheme="minorHAnsi" w:hAnsiTheme="minorHAnsi"/>
          <w:lang w:val="en-US"/>
        </w:rPr>
        <w:t>(1), 1–8. https://doi.org/10.15414/meraa.2023.09.01.1-8</w:t>
      </w:r>
    </w:p>
    <w:p w14:paraId="163C8AA0" w14:textId="77777777" w:rsidR="003C6232" w:rsidRDefault="00000000">
      <w:pPr>
        <w:rPr>
          <w:rFonts w:asciiTheme="minorHAnsi" w:hAnsiTheme="minorHAnsi"/>
        </w:rPr>
      </w:pPr>
      <w:r>
        <w:rPr>
          <w:rFonts w:asciiTheme="minorHAnsi" w:hAnsiTheme="minorHAnsi"/>
        </w:rPr>
        <w:t xml:space="preserve">El Tiempo. (2026). Coffee </w:t>
      </w:r>
      <w:proofErr w:type="gramStart"/>
      <w:r>
        <w:rPr>
          <w:rFonts w:asciiTheme="minorHAnsi" w:hAnsiTheme="minorHAnsi"/>
        </w:rPr>
        <w:t>Master</w:t>
      </w:r>
      <w:proofErr w:type="gramEnd"/>
      <w:r>
        <w:rPr>
          <w:rFonts w:asciiTheme="minorHAnsi" w:hAnsiTheme="minorHAnsi"/>
        </w:rPr>
        <w:t xml:space="preserve"> 2026 regresa a Bogotá con más de 50 cafeterías y una ruta para descubrir el café de especialidad colombiano. </w:t>
      </w:r>
      <w:r>
        <w:rPr>
          <w:rFonts w:asciiTheme="minorHAnsi" w:hAnsiTheme="minorHAnsi"/>
          <w:i/>
        </w:rPr>
        <w:t>El Tiempo</w:t>
      </w:r>
      <w:r>
        <w:rPr>
          <w:rFonts w:asciiTheme="minorHAnsi" w:hAnsiTheme="minorHAnsi"/>
        </w:rPr>
        <w:t>. https://www.eltiempo.com/cultura/gastronomia/coffee-master-2026-regresa-a-bogota-con-mas-de-50-cafeterias-y-una-ruta-para-descubrir-el-cafe-de-especialidad-colombiano-3573325</w:t>
      </w:r>
    </w:p>
    <w:p w14:paraId="2B9EC796" w14:textId="77777777" w:rsidR="00577FB6" w:rsidRPr="00086AC3" w:rsidRDefault="00000000">
      <w:pPr>
        <w:rPr>
          <w:rFonts w:asciiTheme="minorHAnsi" w:hAnsiTheme="minorHAnsi"/>
          <w:lang w:val="en-US"/>
        </w:rPr>
      </w:pPr>
      <w:r w:rsidRPr="00086AC3">
        <w:rPr>
          <w:rFonts w:asciiTheme="minorHAnsi" w:hAnsiTheme="minorHAnsi"/>
          <w:lang w:val="en-US"/>
        </w:rPr>
        <w:t xml:space="preserve">Heiens, R. A., y </w:t>
      </w:r>
      <w:proofErr w:type="spellStart"/>
      <w:r w:rsidRPr="00086AC3">
        <w:rPr>
          <w:rFonts w:asciiTheme="minorHAnsi" w:hAnsiTheme="minorHAnsi"/>
          <w:lang w:val="en-US"/>
        </w:rPr>
        <w:t>Pleshko</w:t>
      </w:r>
      <w:proofErr w:type="spellEnd"/>
      <w:r w:rsidRPr="00086AC3">
        <w:rPr>
          <w:rFonts w:asciiTheme="minorHAnsi" w:hAnsiTheme="minorHAnsi"/>
          <w:lang w:val="en-US"/>
        </w:rPr>
        <w:t xml:space="preserve">, L. P. (2017). An empirical validation of the methodology for measuring self-perceived age in the Middle Eastern market. </w:t>
      </w:r>
      <w:r w:rsidRPr="00086AC3">
        <w:rPr>
          <w:rFonts w:asciiTheme="minorHAnsi" w:hAnsiTheme="minorHAnsi"/>
          <w:i/>
          <w:lang w:val="en-US"/>
        </w:rPr>
        <w:t>PEOPLE: International Journal of Social Sciences, 3</w:t>
      </w:r>
      <w:r w:rsidRPr="00086AC3">
        <w:rPr>
          <w:rFonts w:asciiTheme="minorHAnsi" w:hAnsiTheme="minorHAnsi"/>
          <w:lang w:val="en-US"/>
        </w:rPr>
        <w:t>(2), 495–511. https://doi.org/10.20319/pijss.2017.32.495511</w:t>
      </w:r>
    </w:p>
    <w:p w14:paraId="055B8675" w14:textId="77777777" w:rsidR="00577FB6" w:rsidRPr="00086AC3" w:rsidRDefault="00000000">
      <w:pPr>
        <w:rPr>
          <w:rFonts w:asciiTheme="minorHAnsi" w:hAnsiTheme="minorHAnsi"/>
          <w:lang w:val="en-US"/>
        </w:rPr>
      </w:pPr>
      <w:r w:rsidRPr="00086AC3">
        <w:rPr>
          <w:rFonts w:asciiTheme="minorHAnsi" w:hAnsiTheme="minorHAnsi"/>
          <w:lang w:val="en-US"/>
        </w:rPr>
        <w:t xml:space="preserve">Kim, H., y Lee, H. (2021). A study on the determinants of </w:t>
      </w:r>
      <w:proofErr w:type="gramStart"/>
      <w:r w:rsidRPr="00086AC3">
        <w:rPr>
          <w:rFonts w:asciiTheme="minorHAnsi" w:hAnsiTheme="minorHAnsi"/>
          <w:lang w:val="en-US"/>
        </w:rPr>
        <w:t>visit</w:t>
      </w:r>
      <w:proofErr w:type="gramEnd"/>
      <w:r w:rsidRPr="00086AC3">
        <w:rPr>
          <w:rFonts w:asciiTheme="minorHAnsi" w:hAnsiTheme="minorHAnsi"/>
          <w:lang w:val="en-US"/>
        </w:rPr>
        <w:t xml:space="preserve"> demand for coffee </w:t>
      </w:r>
      <w:proofErr w:type="gramStart"/>
      <w:r w:rsidRPr="00086AC3">
        <w:rPr>
          <w:rFonts w:asciiTheme="minorHAnsi" w:hAnsiTheme="minorHAnsi"/>
          <w:lang w:val="en-US"/>
        </w:rPr>
        <w:t>shop</w:t>
      </w:r>
      <w:proofErr w:type="gramEnd"/>
      <w:r w:rsidRPr="00086AC3">
        <w:rPr>
          <w:rFonts w:asciiTheme="minorHAnsi" w:hAnsiTheme="minorHAnsi"/>
          <w:lang w:val="en-US"/>
        </w:rPr>
        <w:t xml:space="preserve">. </w:t>
      </w:r>
      <w:r w:rsidRPr="00086AC3">
        <w:rPr>
          <w:rFonts w:asciiTheme="minorHAnsi" w:hAnsiTheme="minorHAnsi"/>
          <w:i/>
          <w:lang w:val="en-US"/>
        </w:rPr>
        <w:t>Journal of Tourism Management Research, 25</w:t>
      </w:r>
      <w:r w:rsidRPr="00086AC3">
        <w:rPr>
          <w:rFonts w:asciiTheme="minorHAnsi" w:hAnsiTheme="minorHAnsi"/>
          <w:lang w:val="en-US"/>
        </w:rPr>
        <w:t>(2), 147–166. https://doi.org/10.18604/tmro.2021.25.2.8</w:t>
      </w:r>
    </w:p>
    <w:p w14:paraId="2341FC7D" w14:textId="77777777" w:rsidR="00577FB6" w:rsidRPr="00086AC3" w:rsidRDefault="00000000">
      <w:pPr>
        <w:rPr>
          <w:rFonts w:asciiTheme="minorHAnsi" w:hAnsiTheme="minorHAnsi"/>
          <w:lang w:val="en-US"/>
        </w:rPr>
      </w:pPr>
      <w:r w:rsidRPr="00086AC3">
        <w:rPr>
          <w:rFonts w:asciiTheme="minorHAnsi" w:hAnsiTheme="minorHAnsi"/>
          <w:lang w:val="en-US"/>
        </w:rPr>
        <w:t xml:space="preserve">Lancaster, K. J. (1966). A new approach to consumer theory. </w:t>
      </w:r>
      <w:r w:rsidRPr="00086AC3">
        <w:rPr>
          <w:rFonts w:asciiTheme="minorHAnsi" w:hAnsiTheme="minorHAnsi"/>
          <w:i/>
          <w:lang w:val="en-US"/>
        </w:rPr>
        <w:t>Journal of Political Economy, 74</w:t>
      </w:r>
      <w:r w:rsidRPr="00086AC3">
        <w:rPr>
          <w:rFonts w:asciiTheme="minorHAnsi" w:hAnsiTheme="minorHAnsi"/>
          <w:lang w:val="en-US"/>
        </w:rPr>
        <w:t>(2), 132–157. https://doi.org/10.1086/259131</w:t>
      </w:r>
    </w:p>
    <w:p w14:paraId="358013EA" w14:textId="77777777" w:rsidR="00577FB6" w:rsidRPr="00086AC3" w:rsidRDefault="00000000">
      <w:pPr>
        <w:rPr>
          <w:rFonts w:asciiTheme="minorHAnsi" w:hAnsiTheme="minorHAnsi"/>
          <w:lang w:val="en-US"/>
        </w:rPr>
      </w:pPr>
      <w:proofErr w:type="spellStart"/>
      <w:r w:rsidRPr="00086AC3">
        <w:rPr>
          <w:rFonts w:asciiTheme="minorHAnsi" w:hAnsiTheme="minorHAnsi"/>
          <w:lang w:val="en-US"/>
        </w:rPr>
        <w:t>Loftfield</w:t>
      </w:r>
      <w:proofErr w:type="spellEnd"/>
      <w:r w:rsidRPr="00086AC3">
        <w:rPr>
          <w:rFonts w:asciiTheme="minorHAnsi" w:hAnsiTheme="minorHAnsi"/>
          <w:lang w:val="en-US"/>
        </w:rPr>
        <w:t xml:space="preserve">, E., Freedman, N. D., Dodd, K. W., Vogtmann, E., Xiao, Q., Sinha, R., y Graubard, B. I. (2016). Coffee drinking is widespread in the United States, but usual intake varies by key demographic and lifestyle factors. </w:t>
      </w:r>
      <w:r w:rsidRPr="00086AC3">
        <w:rPr>
          <w:rFonts w:asciiTheme="minorHAnsi" w:hAnsiTheme="minorHAnsi"/>
          <w:i/>
          <w:lang w:val="en-US"/>
        </w:rPr>
        <w:t>The Journal of Nutrition, 146</w:t>
      </w:r>
      <w:r w:rsidRPr="00086AC3">
        <w:rPr>
          <w:rFonts w:asciiTheme="minorHAnsi" w:hAnsiTheme="minorHAnsi"/>
          <w:lang w:val="en-US"/>
        </w:rPr>
        <w:t>(9), 1762–1768. https://doi.org/10.3945/jn.116.233940</w:t>
      </w:r>
    </w:p>
    <w:p w14:paraId="0D88BCF2" w14:textId="77777777" w:rsidR="00577FB6" w:rsidRPr="00BF6D63" w:rsidRDefault="00000000">
      <w:pPr>
        <w:rPr>
          <w:rFonts w:asciiTheme="minorHAnsi" w:hAnsiTheme="minorHAnsi"/>
        </w:rPr>
      </w:pPr>
      <w:r w:rsidRPr="00086AC3">
        <w:rPr>
          <w:rFonts w:asciiTheme="minorHAnsi" w:hAnsiTheme="minorHAnsi"/>
          <w:lang w:val="en-US"/>
        </w:rPr>
        <w:t xml:space="preserve">Mamani Tudela, R. W. (2024). </w:t>
      </w:r>
      <w:r>
        <w:rPr>
          <w:rFonts w:asciiTheme="minorHAnsi" w:hAnsiTheme="minorHAnsi"/>
        </w:rPr>
        <w:t xml:space="preserve">Estimación de la disposición a pagar por el café orgánico en el distrito de Puno, 2022. </w:t>
      </w:r>
      <w:r>
        <w:rPr>
          <w:rFonts w:asciiTheme="minorHAnsi" w:hAnsiTheme="minorHAnsi"/>
          <w:i/>
        </w:rPr>
        <w:t>Revista de Ciencias Agrarias</w:t>
      </w:r>
      <w:r>
        <w:rPr>
          <w:rFonts w:asciiTheme="minorHAnsi" w:hAnsiTheme="minorHAnsi"/>
        </w:rPr>
        <w:t>. https://doi.org/10.53719/rca.2024.864</w:t>
      </w:r>
    </w:p>
    <w:p w14:paraId="51C54796" w14:textId="77777777" w:rsidR="00577FB6" w:rsidRPr="00086AC3" w:rsidRDefault="00000000">
      <w:pPr>
        <w:rPr>
          <w:rFonts w:asciiTheme="minorHAnsi" w:hAnsiTheme="minorHAnsi"/>
          <w:lang w:val="en-US"/>
        </w:rPr>
      </w:pPr>
      <w:proofErr w:type="spellStart"/>
      <w:r>
        <w:rPr>
          <w:rFonts w:asciiTheme="minorHAnsi" w:hAnsiTheme="minorHAnsi"/>
        </w:rPr>
        <w:t>Muflikh</w:t>
      </w:r>
      <w:proofErr w:type="spellEnd"/>
      <w:r>
        <w:rPr>
          <w:rFonts w:asciiTheme="minorHAnsi" w:hAnsiTheme="minorHAnsi"/>
        </w:rPr>
        <w:t xml:space="preserve">, Y. N., </w:t>
      </w:r>
      <w:proofErr w:type="spellStart"/>
      <w:r>
        <w:rPr>
          <w:rFonts w:asciiTheme="minorHAnsi" w:hAnsiTheme="minorHAnsi"/>
        </w:rPr>
        <w:t>Zamborita</w:t>
      </w:r>
      <w:proofErr w:type="spellEnd"/>
      <w:r>
        <w:rPr>
          <w:rFonts w:asciiTheme="minorHAnsi" w:hAnsiTheme="minorHAnsi"/>
        </w:rPr>
        <w:t xml:space="preserve">, D. Z., y Burhani, A.-M. A. I. (2024). </w:t>
      </w:r>
      <w:r w:rsidRPr="00086AC3">
        <w:rPr>
          <w:rFonts w:asciiTheme="minorHAnsi" w:hAnsiTheme="minorHAnsi"/>
          <w:lang w:val="en-US"/>
        </w:rPr>
        <w:t xml:space="preserve">Purchasing decisions and consumer preferences of millennials and </w:t>
      </w:r>
      <w:proofErr w:type="spellStart"/>
      <w:r w:rsidRPr="00086AC3">
        <w:rPr>
          <w:rFonts w:asciiTheme="minorHAnsi" w:hAnsiTheme="minorHAnsi"/>
          <w:lang w:val="en-US"/>
        </w:rPr>
        <w:t>zoomers</w:t>
      </w:r>
      <w:proofErr w:type="spellEnd"/>
      <w:r w:rsidRPr="00086AC3">
        <w:rPr>
          <w:rFonts w:asciiTheme="minorHAnsi" w:hAnsiTheme="minorHAnsi"/>
          <w:lang w:val="en-US"/>
        </w:rPr>
        <w:t xml:space="preserve"> at coffee shops. </w:t>
      </w:r>
      <w:r w:rsidRPr="00086AC3">
        <w:rPr>
          <w:rFonts w:asciiTheme="minorHAnsi" w:hAnsiTheme="minorHAnsi"/>
          <w:i/>
          <w:lang w:val="en-US"/>
        </w:rPr>
        <w:t>Journal of Consumer Sciences, 9</w:t>
      </w:r>
      <w:r w:rsidRPr="00086AC3">
        <w:rPr>
          <w:rFonts w:asciiTheme="minorHAnsi" w:hAnsiTheme="minorHAnsi"/>
          <w:lang w:val="en-US"/>
        </w:rPr>
        <w:t>(1), 102–121. https://doi.org/10.29244/jcs.9.1.102-121</w:t>
      </w:r>
    </w:p>
    <w:p w14:paraId="18581DC3" w14:textId="77777777" w:rsidR="00577FB6" w:rsidRPr="00086AC3" w:rsidRDefault="00000000">
      <w:pPr>
        <w:rPr>
          <w:rFonts w:asciiTheme="minorHAnsi" w:hAnsiTheme="minorHAnsi"/>
          <w:lang w:val="en-US"/>
        </w:rPr>
      </w:pPr>
      <w:r w:rsidRPr="00086AC3">
        <w:rPr>
          <w:rFonts w:asciiTheme="minorHAnsi" w:hAnsiTheme="minorHAnsi"/>
          <w:lang w:val="en-US"/>
        </w:rPr>
        <w:lastRenderedPageBreak/>
        <w:t xml:space="preserve">Oldenburg, R. (1989). </w:t>
      </w:r>
      <w:r w:rsidRPr="00086AC3">
        <w:rPr>
          <w:rFonts w:asciiTheme="minorHAnsi" w:hAnsiTheme="minorHAnsi"/>
          <w:i/>
          <w:lang w:val="en-US"/>
        </w:rPr>
        <w:t xml:space="preserve">The </w:t>
      </w:r>
      <w:proofErr w:type="gramStart"/>
      <w:r w:rsidRPr="00086AC3">
        <w:rPr>
          <w:rFonts w:asciiTheme="minorHAnsi" w:hAnsiTheme="minorHAnsi"/>
          <w:i/>
          <w:lang w:val="en-US"/>
        </w:rPr>
        <w:t>great good</w:t>
      </w:r>
      <w:proofErr w:type="gramEnd"/>
      <w:r w:rsidRPr="00086AC3">
        <w:rPr>
          <w:rFonts w:asciiTheme="minorHAnsi" w:hAnsiTheme="minorHAnsi"/>
          <w:i/>
          <w:lang w:val="en-US"/>
        </w:rPr>
        <w:t xml:space="preserve"> </w:t>
      </w:r>
      <w:proofErr w:type="gramStart"/>
      <w:r w:rsidRPr="00086AC3">
        <w:rPr>
          <w:rFonts w:asciiTheme="minorHAnsi" w:hAnsiTheme="minorHAnsi"/>
          <w:i/>
          <w:lang w:val="en-US"/>
        </w:rPr>
        <w:t>place</w:t>
      </w:r>
      <w:proofErr w:type="gramEnd"/>
      <w:r w:rsidRPr="00086AC3">
        <w:rPr>
          <w:rFonts w:asciiTheme="minorHAnsi" w:hAnsiTheme="minorHAnsi"/>
          <w:i/>
          <w:lang w:val="en-US"/>
        </w:rPr>
        <w:t>: Cafes, coffee shops, community centers, beauty parlors, general stores, bars, hangouts, and how they get you through the day</w:t>
      </w:r>
      <w:r w:rsidRPr="00086AC3">
        <w:rPr>
          <w:rFonts w:asciiTheme="minorHAnsi" w:hAnsiTheme="minorHAnsi"/>
          <w:lang w:val="en-US"/>
        </w:rPr>
        <w:t>. Paragon House.</w:t>
      </w:r>
    </w:p>
    <w:p w14:paraId="077A7445" w14:textId="77777777" w:rsidR="00577FB6" w:rsidRPr="00BF6D63" w:rsidRDefault="00000000">
      <w:pPr>
        <w:rPr>
          <w:rFonts w:asciiTheme="minorHAnsi" w:hAnsiTheme="minorHAnsi"/>
        </w:rPr>
      </w:pPr>
      <w:r w:rsidRPr="00086AC3">
        <w:rPr>
          <w:rFonts w:asciiTheme="minorHAnsi" w:hAnsiTheme="minorHAnsi"/>
          <w:lang w:val="en-US"/>
        </w:rPr>
        <w:t xml:space="preserve">Page, M. J., McKenzie, J. E., Bossuyt, P. M., </w:t>
      </w:r>
      <w:proofErr w:type="spellStart"/>
      <w:r w:rsidRPr="00086AC3">
        <w:rPr>
          <w:rFonts w:asciiTheme="minorHAnsi" w:hAnsiTheme="minorHAnsi"/>
          <w:lang w:val="en-US"/>
        </w:rPr>
        <w:t>Boutron</w:t>
      </w:r>
      <w:proofErr w:type="spellEnd"/>
      <w:r w:rsidRPr="00086AC3">
        <w:rPr>
          <w:rFonts w:asciiTheme="minorHAnsi" w:hAnsiTheme="minorHAnsi"/>
          <w:lang w:val="en-US"/>
        </w:rPr>
        <w:t xml:space="preserve">, I., Hoffmann, T. C., Mulrow, C. D., … Moher, D. (2021). The PRISMA 2020 statement: An updated guideline for reporting systematic reviews. </w:t>
      </w:r>
      <w:r>
        <w:rPr>
          <w:rFonts w:asciiTheme="minorHAnsi" w:hAnsiTheme="minorHAnsi"/>
          <w:i/>
        </w:rPr>
        <w:t>BMJ, 372</w:t>
      </w:r>
      <w:r>
        <w:rPr>
          <w:rFonts w:asciiTheme="minorHAnsi" w:hAnsiTheme="minorHAnsi"/>
        </w:rPr>
        <w:t>, n71. https://doi.org/10.1136/bmj.n71</w:t>
      </w:r>
    </w:p>
    <w:p w14:paraId="7FCB37E8" w14:textId="77777777" w:rsidR="00577FB6" w:rsidRPr="00086AC3" w:rsidRDefault="00000000">
      <w:pPr>
        <w:rPr>
          <w:rFonts w:asciiTheme="minorHAnsi" w:hAnsiTheme="minorHAnsi"/>
          <w:lang w:val="en-US"/>
        </w:rPr>
      </w:pPr>
      <w:r>
        <w:rPr>
          <w:rFonts w:asciiTheme="minorHAnsi" w:hAnsiTheme="minorHAnsi"/>
        </w:rPr>
        <w:t xml:space="preserve">Park, S., y Joo, K. (2023). </w:t>
      </w:r>
      <w:r w:rsidRPr="00086AC3">
        <w:rPr>
          <w:rFonts w:asciiTheme="minorHAnsi" w:hAnsiTheme="minorHAnsi"/>
          <w:lang w:val="en-US"/>
        </w:rPr>
        <w:t xml:space="preserve">A study on prestige and willingness to pay a premium in the context of specialty coffee shops: Focusing on the experience economy. </w:t>
      </w:r>
      <w:r w:rsidRPr="00086AC3">
        <w:rPr>
          <w:rFonts w:asciiTheme="minorHAnsi" w:hAnsiTheme="minorHAnsi"/>
          <w:i/>
          <w:lang w:val="en-US"/>
        </w:rPr>
        <w:t>Journal of MICE &amp; Tourism Research, 23</w:t>
      </w:r>
      <w:r w:rsidRPr="00086AC3">
        <w:rPr>
          <w:rFonts w:asciiTheme="minorHAnsi" w:hAnsiTheme="minorHAnsi"/>
          <w:lang w:val="en-US"/>
        </w:rPr>
        <w:t>(2). https://doi.org/10.35176/jmtr.23.2.10</w:t>
      </w:r>
    </w:p>
    <w:p w14:paraId="322CAC01" w14:textId="77777777" w:rsidR="00577FB6" w:rsidRPr="00086AC3" w:rsidRDefault="00000000">
      <w:pPr>
        <w:rPr>
          <w:rFonts w:asciiTheme="minorHAnsi" w:hAnsiTheme="minorHAnsi"/>
          <w:lang w:val="en-US"/>
        </w:rPr>
      </w:pPr>
      <w:r w:rsidRPr="00086AC3">
        <w:rPr>
          <w:rFonts w:asciiTheme="minorHAnsi" w:hAnsiTheme="minorHAnsi"/>
          <w:lang w:val="en-US"/>
        </w:rPr>
        <w:t xml:space="preserve">Pine, B. J., II, y Gilmore, J. H. (1998). Welcome to the experience economy. </w:t>
      </w:r>
      <w:r w:rsidRPr="00086AC3">
        <w:rPr>
          <w:rFonts w:asciiTheme="minorHAnsi" w:hAnsiTheme="minorHAnsi"/>
          <w:i/>
          <w:lang w:val="en-US"/>
        </w:rPr>
        <w:t>Harvard Business Review, 76</w:t>
      </w:r>
      <w:r w:rsidRPr="00086AC3">
        <w:rPr>
          <w:rFonts w:asciiTheme="minorHAnsi" w:hAnsiTheme="minorHAnsi"/>
          <w:lang w:val="en-US"/>
        </w:rPr>
        <w:t>(4), 97–105.</w:t>
      </w:r>
    </w:p>
    <w:p w14:paraId="76CF6B6A" w14:textId="77777777" w:rsidR="00577FB6" w:rsidRPr="00086AC3" w:rsidRDefault="00000000">
      <w:pPr>
        <w:rPr>
          <w:rFonts w:asciiTheme="minorHAnsi" w:hAnsiTheme="minorHAnsi"/>
          <w:lang w:val="en-US"/>
        </w:rPr>
      </w:pPr>
      <w:r w:rsidRPr="00086AC3">
        <w:rPr>
          <w:rFonts w:asciiTheme="minorHAnsi" w:hAnsiTheme="minorHAnsi"/>
          <w:lang w:val="en-US"/>
        </w:rPr>
        <w:t xml:space="preserve">Pleshko, L. P., y Heiens, R. A. (2015). An investigation of chronological versus cognitive age impact in the Kuwait coffee shop market. </w:t>
      </w:r>
      <w:r w:rsidRPr="00086AC3">
        <w:rPr>
          <w:rFonts w:asciiTheme="minorHAnsi" w:hAnsiTheme="minorHAnsi"/>
          <w:i/>
          <w:lang w:val="en-US"/>
        </w:rPr>
        <w:t>Organizations and Markets in Emerging Economies, 6</w:t>
      </w:r>
      <w:r w:rsidRPr="00086AC3">
        <w:rPr>
          <w:rFonts w:asciiTheme="minorHAnsi" w:hAnsiTheme="minorHAnsi"/>
          <w:lang w:val="en-US"/>
        </w:rPr>
        <w:t>(1). https://doi.org/10.15388/omee.2015.6.1.14228</w:t>
      </w:r>
    </w:p>
    <w:p w14:paraId="0E58C589" w14:textId="77777777" w:rsidR="00577FB6" w:rsidRPr="00BF6D63" w:rsidRDefault="00000000">
      <w:pPr>
        <w:rPr>
          <w:rFonts w:asciiTheme="minorHAnsi" w:hAnsiTheme="minorHAnsi"/>
        </w:rPr>
      </w:pPr>
      <w:r w:rsidRPr="00086AC3">
        <w:rPr>
          <w:rFonts w:asciiTheme="minorHAnsi" w:hAnsiTheme="minorHAnsi"/>
          <w:lang w:val="en-US"/>
        </w:rPr>
        <w:t xml:space="preserve">Rehm, C. D., Ratliff, J. C., Riedt, C. S., y Drewnowski, A. (2020). Coffee consumption among adults in the United States by demographic variables and purchase location: Analyses of NHANES 2011–2016 data. </w:t>
      </w:r>
      <w:proofErr w:type="spellStart"/>
      <w:r>
        <w:rPr>
          <w:rFonts w:asciiTheme="minorHAnsi" w:hAnsiTheme="minorHAnsi"/>
          <w:i/>
        </w:rPr>
        <w:t>Nutrients</w:t>
      </w:r>
      <w:proofErr w:type="spellEnd"/>
      <w:r>
        <w:rPr>
          <w:rFonts w:asciiTheme="minorHAnsi" w:hAnsiTheme="minorHAnsi"/>
          <w:i/>
        </w:rPr>
        <w:t>, 12</w:t>
      </w:r>
      <w:r>
        <w:rPr>
          <w:rFonts w:asciiTheme="minorHAnsi" w:hAnsiTheme="minorHAnsi"/>
        </w:rPr>
        <w:t>(8), 2463. https://doi.org/10.3390/nu12082463</w:t>
      </w:r>
    </w:p>
    <w:p w14:paraId="7E9ECE57" w14:textId="77777777" w:rsidR="00577FB6" w:rsidRPr="00086AC3" w:rsidRDefault="00000000">
      <w:pPr>
        <w:rPr>
          <w:rFonts w:asciiTheme="minorHAnsi" w:hAnsiTheme="minorHAnsi"/>
          <w:lang w:val="en-US"/>
        </w:rPr>
      </w:pPr>
      <w:proofErr w:type="spellStart"/>
      <w:r>
        <w:rPr>
          <w:rFonts w:asciiTheme="minorHAnsi" w:hAnsiTheme="minorHAnsi"/>
        </w:rPr>
        <w:t>Samoggia</w:t>
      </w:r>
      <w:proofErr w:type="spellEnd"/>
      <w:r>
        <w:rPr>
          <w:rFonts w:asciiTheme="minorHAnsi" w:hAnsiTheme="minorHAnsi"/>
        </w:rPr>
        <w:t xml:space="preserve">, A., y Riedel, B. (2018). </w:t>
      </w:r>
      <w:r w:rsidRPr="00086AC3">
        <w:rPr>
          <w:rFonts w:asciiTheme="minorHAnsi" w:hAnsiTheme="minorHAnsi"/>
          <w:lang w:val="en-US"/>
        </w:rPr>
        <w:t xml:space="preserve">Coffee consumption and purchasing behavior review: Insights for further research. </w:t>
      </w:r>
      <w:r w:rsidRPr="00086AC3">
        <w:rPr>
          <w:rFonts w:asciiTheme="minorHAnsi" w:hAnsiTheme="minorHAnsi"/>
          <w:i/>
          <w:lang w:val="en-US"/>
        </w:rPr>
        <w:t>Appetite, 129</w:t>
      </w:r>
      <w:r w:rsidRPr="00086AC3">
        <w:rPr>
          <w:rFonts w:asciiTheme="minorHAnsi" w:hAnsiTheme="minorHAnsi"/>
          <w:lang w:val="en-US"/>
        </w:rPr>
        <w:t>, 70–81. https://doi.org/10.1016/j.appet.2018.07.002</w:t>
      </w:r>
    </w:p>
    <w:p w14:paraId="2D5EDAF0" w14:textId="77777777" w:rsidR="00577FB6" w:rsidRPr="00086AC3" w:rsidRDefault="00000000">
      <w:pPr>
        <w:rPr>
          <w:rFonts w:asciiTheme="minorHAnsi" w:hAnsiTheme="minorHAnsi"/>
          <w:lang w:val="en-US"/>
        </w:rPr>
      </w:pPr>
      <w:r w:rsidRPr="00086AC3">
        <w:rPr>
          <w:rFonts w:asciiTheme="minorHAnsi" w:hAnsiTheme="minorHAnsi"/>
          <w:lang w:val="en-US"/>
        </w:rPr>
        <w:t xml:space="preserve">Saraswati, N., Mukson, M., y </w:t>
      </w:r>
      <w:proofErr w:type="spellStart"/>
      <w:r w:rsidRPr="00086AC3">
        <w:rPr>
          <w:rFonts w:asciiTheme="minorHAnsi" w:hAnsiTheme="minorHAnsi"/>
          <w:lang w:val="en-US"/>
        </w:rPr>
        <w:t>Nurfadillah</w:t>
      </w:r>
      <w:proofErr w:type="spellEnd"/>
      <w:r w:rsidRPr="00086AC3">
        <w:rPr>
          <w:rFonts w:asciiTheme="minorHAnsi" w:hAnsiTheme="minorHAnsi"/>
          <w:lang w:val="en-US"/>
        </w:rPr>
        <w:t xml:space="preserve">, S. (2023). </w:t>
      </w:r>
      <w:proofErr w:type="spellStart"/>
      <w:r w:rsidRPr="00086AC3">
        <w:rPr>
          <w:rFonts w:asciiTheme="minorHAnsi" w:hAnsiTheme="minorHAnsi"/>
          <w:lang w:val="en-US"/>
        </w:rPr>
        <w:t>Analisis</w:t>
      </w:r>
      <w:proofErr w:type="spellEnd"/>
      <w:r w:rsidRPr="00086AC3">
        <w:rPr>
          <w:rFonts w:asciiTheme="minorHAnsi" w:hAnsiTheme="minorHAnsi"/>
          <w:lang w:val="en-US"/>
        </w:rPr>
        <w:t xml:space="preserve"> </w:t>
      </w:r>
      <w:proofErr w:type="spellStart"/>
      <w:r w:rsidRPr="00086AC3">
        <w:rPr>
          <w:rFonts w:asciiTheme="minorHAnsi" w:hAnsiTheme="minorHAnsi"/>
          <w:lang w:val="en-US"/>
        </w:rPr>
        <w:t>kesediaan</w:t>
      </w:r>
      <w:proofErr w:type="spellEnd"/>
      <w:r w:rsidRPr="00086AC3">
        <w:rPr>
          <w:rFonts w:asciiTheme="minorHAnsi" w:hAnsiTheme="minorHAnsi"/>
          <w:lang w:val="en-US"/>
        </w:rPr>
        <w:t xml:space="preserve"> </w:t>
      </w:r>
      <w:proofErr w:type="spellStart"/>
      <w:r w:rsidRPr="00086AC3">
        <w:rPr>
          <w:rFonts w:asciiTheme="minorHAnsi" w:hAnsiTheme="minorHAnsi"/>
          <w:lang w:val="en-US"/>
        </w:rPr>
        <w:t>membayar</w:t>
      </w:r>
      <w:proofErr w:type="spellEnd"/>
      <w:r w:rsidRPr="00086AC3">
        <w:rPr>
          <w:rFonts w:asciiTheme="minorHAnsi" w:hAnsiTheme="minorHAnsi"/>
          <w:lang w:val="en-US"/>
        </w:rPr>
        <w:t xml:space="preserve"> (willingness to pay) </w:t>
      </w:r>
      <w:proofErr w:type="spellStart"/>
      <w:r w:rsidRPr="00086AC3">
        <w:rPr>
          <w:rFonts w:asciiTheme="minorHAnsi" w:hAnsiTheme="minorHAnsi"/>
          <w:lang w:val="en-US"/>
        </w:rPr>
        <w:t>konsumen</w:t>
      </w:r>
      <w:proofErr w:type="spellEnd"/>
      <w:r w:rsidRPr="00086AC3">
        <w:rPr>
          <w:rFonts w:asciiTheme="minorHAnsi" w:hAnsiTheme="minorHAnsi"/>
          <w:lang w:val="en-US"/>
        </w:rPr>
        <w:t xml:space="preserve"> </w:t>
      </w:r>
      <w:proofErr w:type="spellStart"/>
      <w:r w:rsidRPr="00086AC3">
        <w:rPr>
          <w:rFonts w:asciiTheme="minorHAnsi" w:hAnsiTheme="minorHAnsi"/>
          <w:lang w:val="en-US"/>
        </w:rPr>
        <w:t>terhadap</w:t>
      </w:r>
      <w:proofErr w:type="spellEnd"/>
      <w:r w:rsidRPr="00086AC3">
        <w:rPr>
          <w:rFonts w:asciiTheme="minorHAnsi" w:hAnsiTheme="minorHAnsi"/>
          <w:lang w:val="en-US"/>
        </w:rPr>
        <w:t xml:space="preserve"> </w:t>
      </w:r>
      <w:proofErr w:type="spellStart"/>
      <w:r w:rsidRPr="00086AC3">
        <w:rPr>
          <w:rFonts w:asciiTheme="minorHAnsi" w:hAnsiTheme="minorHAnsi"/>
          <w:lang w:val="en-US"/>
        </w:rPr>
        <w:t>produk</w:t>
      </w:r>
      <w:proofErr w:type="spellEnd"/>
      <w:r w:rsidRPr="00086AC3">
        <w:rPr>
          <w:rFonts w:asciiTheme="minorHAnsi" w:hAnsiTheme="minorHAnsi"/>
          <w:lang w:val="en-US"/>
        </w:rPr>
        <w:t xml:space="preserve"> kopi </w:t>
      </w:r>
      <w:proofErr w:type="spellStart"/>
      <w:r w:rsidRPr="00086AC3">
        <w:rPr>
          <w:rFonts w:asciiTheme="minorHAnsi" w:hAnsiTheme="minorHAnsi"/>
          <w:lang w:val="en-US"/>
        </w:rPr>
        <w:t>berlabel</w:t>
      </w:r>
      <w:proofErr w:type="spellEnd"/>
      <w:r w:rsidRPr="00086AC3">
        <w:rPr>
          <w:rFonts w:asciiTheme="minorHAnsi" w:hAnsiTheme="minorHAnsi"/>
          <w:lang w:val="en-US"/>
        </w:rPr>
        <w:t xml:space="preserve"> Fairtrade di </w:t>
      </w:r>
      <w:proofErr w:type="spellStart"/>
      <w:r w:rsidRPr="00086AC3">
        <w:rPr>
          <w:rFonts w:asciiTheme="minorHAnsi" w:hAnsiTheme="minorHAnsi"/>
          <w:lang w:val="en-US"/>
        </w:rPr>
        <w:t>berbagai</w:t>
      </w:r>
      <w:proofErr w:type="spellEnd"/>
      <w:r w:rsidRPr="00086AC3">
        <w:rPr>
          <w:rFonts w:asciiTheme="minorHAnsi" w:hAnsiTheme="minorHAnsi"/>
          <w:lang w:val="en-US"/>
        </w:rPr>
        <w:t xml:space="preserve"> wilayah Indonesia. </w:t>
      </w:r>
      <w:r w:rsidRPr="00086AC3">
        <w:rPr>
          <w:rFonts w:asciiTheme="minorHAnsi" w:hAnsiTheme="minorHAnsi"/>
          <w:i/>
          <w:lang w:val="en-US"/>
        </w:rPr>
        <w:t>JSEP (Journal of Social and Agricultural Economics), 16</w:t>
      </w:r>
      <w:r w:rsidRPr="00086AC3">
        <w:rPr>
          <w:rFonts w:asciiTheme="minorHAnsi" w:hAnsiTheme="minorHAnsi"/>
          <w:lang w:val="en-US"/>
        </w:rPr>
        <w:t>(1). https://doi.org/10.19184/jsep.v16i1.33979</w:t>
      </w:r>
    </w:p>
    <w:p w14:paraId="2B02026E" w14:textId="77777777" w:rsidR="00577FB6" w:rsidRPr="00086AC3" w:rsidRDefault="00000000">
      <w:pPr>
        <w:rPr>
          <w:rFonts w:asciiTheme="minorHAnsi" w:hAnsiTheme="minorHAnsi"/>
          <w:lang w:val="en-US"/>
        </w:rPr>
      </w:pPr>
      <w:r>
        <w:rPr>
          <w:rFonts w:asciiTheme="minorHAnsi" w:hAnsiTheme="minorHAnsi"/>
        </w:rPr>
        <w:t xml:space="preserve">Sousa, A. G., Machado, L. M. M., Da Silva, E. F., y da Costa, T. H. M. (2016). </w:t>
      </w:r>
      <w:r w:rsidRPr="00086AC3">
        <w:rPr>
          <w:rFonts w:asciiTheme="minorHAnsi" w:hAnsiTheme="minorHAnsi"/>
          <w:lang w:val="en-US"/>
        </w:rPr>
        <w:t xml:space="preserve">Personal characteristics of coffee consumers and non-consumers, reasons and preferences for foods eaten with coffee among adults from the Federal District, Brazil. </w:t>
      </w:r>
      <w:r w:rsidRPr="00086AC3">
        <w:rPr>
          <w:rFonts w:asciiTheme="minorHAnsi" w:hAnsiTheme="minorHAnsi"/>
          <w:i/>
          <w:lang w:val="en-US"/>
        </w:rPr>
        <w:t>Food Science and Technology (Campinas)</w:t>
      </w:r>
      <w:r w:rsidRPr="00086AC3">
        <w:rPr>
          <w:rFonts w:asciiTheme="minorHAnsi" w:hAnsiTheme="minorHAnsi"/>
          <w:lang w:val="en-US"/>
        </w:rPr>
        <w:t>. https://doi.org/10.1590/1678-457x.10015</w:t>
      </w:r>
    </w:p>
    <w:p w14:paraId="0723F641" w14:textId="77777777" w:rsidR="00577FB6" w:rsidRPr="00086AC3" w:rsidRDefault="00000000">
      <w:pPr>
        <w:rPr>
          <w:rFonts w:asciiTheme="minorHAnsi" w:hAnsiTheme="minorHAnsi"/>
          <w:lang w:val="en-US"/>
        </w:rPr>
      </w:pPr>
      <w:r w:rsidRPr="00086AC3">
        <w:rPr>
          <w:rFonts w:asciiTheme="minorHAnsi" w:hAnsiTheme="minorHAnsi"/>
          <w:lang w:val="en-US"/>
        </w:rPr>
        <w:t xml:space="preserve">Stigler, G. J., y Becker, G. S. (1977). </w:t>
      </w:r>
      <w:r>
        <w:rPr>
          <w:rFonts w:asciiTheme="minorHAnsi" w:hAnsiTheme="minorHAnsi"/>
        </w:rPr>
        <w:t xml:space="preserve">De </w:t>
      </w:r>
      <w:proofErr w:type="spellStart"/>
      <w:r>
        <w:rPr>
          <w:rFonts w:asciiTheme="minorHAnsi" w:hAnsiTheme="minorHAnsi"/>
        </w:rPr>
        <w:t>gustibus</w:t>
      </w:r>
      <w:proofErr w:type="spellEnd"/>
      <w:r>
        <w:rPr>
          <w:rFonts w:asciiTheme="minorHAnsi" w:hAnsiTheme="minorHAnsi"/>
        </w:rPr>
        <w:t xml:space="preserve"> non </w:t>
      </w:r>
      <w:proofErr w:type="spellStart"/>
      <w:r>
        <w:rPr>
          <w:rFonts w:asciiTheme="minorHAnsi" w:hAnsiTheme="minorHAnsi"/>
        </w:rPr>
        <w:t>est</w:t>
      </w:r>
      <w:proofErr w:type="spellEnd"/>
      <w:r>
        <w:rPr>
          <w:rFonts w:asciiTheme="minorHAnsi" w:hAnsiTheme="minorHAnsi"/>
        </w:rPr>
        <w:t xml:space="preserve"> </w:t>
      </w:r>
      <w:proofErr w:type="spellStart"/>
      <w:r>
        <w:rPr>
          <w:rFonts w:asciiTheme="minorHAnsi" w:hAnsiTheme="minorHAnsi"/>
        </w:rPr>
        <w:t>disputandum</w:t>
      </w:r>
      <w:proofErr w:type="spellEnd"/>
      <w:r>
        <w:rPr>
          <w:rFonts w:asciiTheme="minorHAnsi" w:hAnsiTheme="minorHAnsi"/>
        </w:rPr>
        <w:t xml:space="preserve">. </w:t>
      </w:r>
      <w:r w:rsidRPr="00086AC3">
        <w:rPr>
          <w:rFonts w:asciiTheme="minorHAnsi" w:hAnsiTheme="minorHAnsi"/>
          <w:i/>
          <w:lang w:val="en-US"/>
        </w:rPr>
        <w:t>The American Economic Review, 67</w:t>
      </w:r>
      <w:r w:rsidRPr="00086AC3">
        <w:rPr>
          <w:rFonts w:asciiTheme="minorHAnsi" w:hAnsiTheme="minorHAnsi"/>
          <w:lang w:val="en-US"/>
        </w:rPr>
        <w:t>(2), 76–90.</w:t>
      </w:r>
    </w:p>
    <w:p w14:paraId="09AAC940" w14:textId="77777777" w:rsidR="00577FB6" w:rsidRPr="00086AC3" w:rsidRDefault="00000000">
      <w:pPr>
        <w:rPr>
          <w:rFonts w:asciiTheme="minorHAnsi" w:hAnsiTheme="minorHAnsi"/>
          <w:lang w:val="en-US"/>
        </w:rPr>
      </w:pPr>
      <w:r w:rsidRPr="00086AC3">
        <w:rPr>
          <w:rFonts w:asciiTheme="minorHAnsi" w:hAnsiTheme="minorHAnsi"/>
          <w:lang w:val="en-US"/>
        </w:rPr>
        <w:t xml:space="preserve">Taplin, D. H., y Clark, H. (2012). </w:t>
      </w:r>
      <w:r w:rsidRPr="00086AC3">
        <w:rPr>
          <w:rFonts w:asciiTheme="minorHAnsi" w:hAnsiTheme="minorHAnsi"/>
          <w:i/>
          <w:lang w:val="en-US"/>
        </w:rPr>
        <w:t>Theory of change basics: A primer on theory of change</w:t>
      </w:r>
      <w:r w:rsidRPr="00086AC3">
        <w:rPr>
          <w:rFonts w:asciiTheme="minorHAnsi" w:hAnsiTheme="minorHAnsi"/>
          <w:lang w:val="en-US"/>
        </w:rPr>
        <w:t xml:space="preserve">. </w:t>
      </w:r>
      <w:proofErr w:type="spellStart"/>
      <w:r w:rsidRPr="00086AC3">
        <w:rPr>
          <w:rFonts w:asciiTheme="minorHAnsi" w:hAnsiTheme="minorHAnsi"/>
          <w:lang w:val="en-US"/>
        </w:rPr>
        <w:t>ActKnowledge</w:t>
      </w:r>
      <w:proofErr w:type="spellEnd"/>
      <w:r w:rsidRPr="00086AC3">
        <w:rPr>
          <w:rFonts w:asciiTheme="minorHAnsi" w:hAnsiTheme="minorHAnsi"/>
          <w:lang w:val="en-US"/>
        </w:rPr>
        <w:t>.</w:t>
      </w:r>
    </w:p>
    <w:p w14:paraId="3D356AA9" w14:textId="38378C33" w:rsidR="003C6232" w:rsidRPr="00086AC3" w:rsidRDefault="00000000" w:rsidP="00086AC3">
      <w:pPr>
        <w:rPr>
          <w:rFonts w:asciiTheme="minorHAnsi" w:hAnsiTheme="minorHAnsi"/>
        </w:rPr>
      </w:pPr>
      <w:r w:rsidRPr="00086AC3">
        <w:rPr>
          <w:rFonts w:asciiTheme="minorHAnsi" w:hAnsiTheme="minorHAnsi"/>
          <w:lang w:val="en-US"/>
        </w:rPr>
        <w:t xml:space="preserve">Wang, M.-J., Opoku, E. K., y Tham, A. (2024). Exploring Gen-Z consumers’ preference for specialty coffee in the socio-cultural context of Taiwan. </w:t>
      </w:r>
      <w:r>
        <w:rPr>
          <w:rFonts w:asciiTheme="minorHAnsi" w:hAnsiTheme="minorHAnsi"/>
          <w:i/>
        </w:rPr>
        <w:t>Young Consumers, 25</w:t>
      </w:r>
      <w:r>
        <w:rPr>
          <w:rFonts w:asciiTheme="minorHAnsi" w:hAnsiTheme="minorHAnsi"/>
        </w:rPr>
        <w:t xml:space="preserve">(3), 368–382. </w:t>
      </w:r>
      <w:hyperlink r:id="rId6" w:history="1">
        <w:r w:rsidR="00577FB6">
          <w:rPr>
            <w:rStyle w:val="Hyperlink"/>
            <w:rFonts w:asciiTheme="minorHAnsi" w:hAnsiTheme="minorHAnsi"/>
          </w:rPr>
          <w:t>https://doi.org/10.1108/yc-08-2023-1844</w:t>
        </w:r>
      </w:hyperlink>
    </w:p>
    <w:sectPr w:rsidR="003C6232" w:rsidRPr="00086A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C2A67"/>
    <w:multiLevelType w:val="hybridMultilevel"/>
    <w:tmpl w:val="EAD6BB90"/>
    <w:lvl w:ilvl="0" w:tplc="0B8EC3D6">
      <w:start w:val="1"/>
      <w:numFmt w:val="bullet"/>
      <w:lvlText w:val="•"/>
      <w:lvlJc w:val="left"/>
      <w:pPr>
        <w:ind w:left="720" w:hanging="360"/>
      </w:pPr>
    </w:lvl>
    <w:lvl w:ilvl="1" w:tplc="76E0E812">
      <w:start w:val="1"/>
      <w:numFmt w:val="bullet"/>
      <w:lvlText w:val="o"/>
      <w:lvlJc w:val="left"/>
      <w:pPr>
        <w:ind w:left="1440" w:hanging="360"/>
      </w:pPr>
    </w:lvl>
    <w:lvl w:ilvl="2" w:tplc="AB58D8F4">
      <w:start w:val="1"/>
      <w:numFmt w:val="bullet"/>
      <w:lvlText w:val="▪"/>
      <w:lvlJc w:val="left"/>
      <w:pPr>
        <w:ind w:left="2160" w:hanging="360"/>
      </w:pPr>
    </w:lvl>
    <w:lvl w:ilvl="3" w:tplc="8AF8D95E">
      <w:start w:val="1"/>
      <w:numFmt w:val="bullet"/>
      <w:lvlText w:val="•"/>
      <w:lvlJc w:val="left"/>
      <w:pPr>
        <w:ind w:left="2880" w:hanging="360"/>
      </w:pPr>
    </w:lvl>
    <w:lvl w:ilvl="4" w:tplc="6D3C2C9E">
      <w:start w:val="1"/>
      <w:numFmt w:val="bullet"/>
      <w:lvlText w:val="o"/>
      <w:lvlJc w:val="left"/>
      <w:pPr>
        <w:ind w:left="3600" w:hanging="360"/>
      </w:pPr>
    </w:lvl>
    <w:lvl w:ilvl="5" w:tplc="306AA724">
      <w:start w:val="1"/>
      <w:numFmt w:val="bullet"/>
      <w:lvlText w:val="▪"/>
      <w:lvlJc w:val="left"/>
      <w:pPr>
        <w:ind w:left="4320" w:hanging="360"/>
      </w:pPr>
    </w:lvl>
    <w:lvl w:ilvl="6" w:tplc="8C90FA04">
      <w:start w:val="1"/>
      <w:numFmt w:val="bullet"/>
      <w:lvlText w:val="•"/>
      <w:lvlJc w:val="left"/>
      <w:pPr>
        <w:ind w:left="5040" w:hanging="360"/>
      </w:pPr>
    </w:lvl>
    <w:lvl w:ilvl="7" w:tplc="F71CAE4E">
      <w:start w:val="1"/>
      <w:numFmt w:val="bullet"/>
      <w:lvlText w:val="o"/>
      <w:lvlJc w:val="left"/>
      <w:pPr>
        <w:ind w:left="5760" w:hanging="360"/>
      </w:pPr>
    </w:lvl>
    <w:lvl w:ilvl="8" w:tplc="54E8CD68">
      <w:start w:val="1"/>
      <w:numFmt w:val="bullet"/>
      <w:lvlText w:val="▪"/>
      <w:lvlJc w:val="left"/>
      <w:pPr>
        <w:ind w:left="6480" w:hanging="360"/>
      </w:pPr>
    </w:lvl>
  </w:abstractNum>
  <w:abstractNum w:abstractNumId="1" w15:restartNumberingAfterBreak="0">
    <w:nsid w:val="453D77C0"/>
    <w:multiLevelType w:val="hybridMultilevel"/>
    <w:tmpl w:val="BCD4A46A"/>
    <w:lvl w:ilvl="0" w:tplc="156C134C">
      <w:start w:val="1"/>
      <w:numFmt w:val="decimal"/>
      <w:lvlText w:val="%1."/>
      <w:lvlJc w:val="left"/>
      <w:pPr>
        <w:ind w:left="720" w:hanging="360"/>
      </w:pPr>
    </w:lvl>
    <w:lvl w:ilvl="1" w:tplc="B9B61CF4">
      <w:start w:val="1"/>
      <w:numFmt w:val="lowerLetter"/>
      <w:lvlText w:val="%2."/>
      <w:lvlJc w:val="left"/>
      <w:pPr>
        <w:ind w:left="1440" w:hanging="360"/>
      </w:pPr>
    </w:lvl>
    <w:lvl w:ilvl="2" w:tplc="157467C6">
      <w:start w:val="1"/>
      <w:numFmt w:val="lowerRoman"/>
      <w:lvlText w:val="%3."/>
      <w:lvlJc w:val="left"/>
      <w:pPr>
        <w:ind w:left="2160" w:hanging="360"/>
      </w:pPr>
    </w:lvl>
    <w:lvl w:ilvl="3" w:tplc="8DC424E0">
      <w:start w:val="1"/>
      <w:numFmt w:val="decimal"/>
      <w:lvlText w:val="%4."/>
      <w:lvlJc w:val="left"/>
      <w:pPr>
        <w:ind w:left="2880" w:hanging="360"/>
      </w:pPr>
    </w:lvl>
    <w:lvl w:ilvl="4" w:tplc="10A852C6">
      <w:start w:val="1"/>
      <w:numFmt w:val="lowerLetter"/>
      <w:lvlText w:val="%5."/>
      <w:lvlJc w:val="left"/>
      <w:pPr>
        <w:ind w:left="3600" w:hanging="360"/>
      </w:pPr>
    </w:lvl>
    <w:lvl w:ilvl="5" w:tplc="CCB49FA2">
      <w:start w:val="1"/>
      <w:numFmt w:val="lowerRoman"/>
      <w:lvlText w:val="%6."/>
      <w:lvlJc w:val="left"/>
      <w:pPr>
        <w:ind w:left="4320" w:hanging="360"/>
      </w:pPr>
    </w:lvl>
    <w:lvl w:ilvl="6" w:tplc="7828FCE0">
      <w:start w:val="1"/>
      <w:numFmt w:val="decimal"/>
      <w:lvlText w:val="%7."/>
      <w:lvlJc w:val="left"/>
      <w:pPr>
        <w:ind w:left="5040" w:hanging="360"/>
      </w:pPr>
    </w:lvl>
    <w:lvl w:ilvl="7" w:tplc="CDA0E9F6">
      <w:start w:val="1"/>
      <w:numFmt w:val="lowerLetter"/>
      <w:lvlText w:val="%8."/>
      <w:lvlJc w:val="left"/>
      <w:pPr>
        <w:ind w:left="5760" w:hanging="360"/>
      </w:pPr>
    </w:lvl>
    <w:lvl w:ilvl="8" w:tplc="460A3D20">
      <w:start w:val="1"/>
      <w:numFmt w:val="lowerRoman"/>
      <w:lvlText w:val="%9."/>
      <w:lvlJc w:val="left"/>
      <w:pPr>
        <w:ind w:left="6480" w:hanging="360"/>
      </w:pPr>
    </w:lvl>
  </w:abstractNum>
  <w:num w:numId="1" w16cid:durableId="2043939657">
    <w:abstractNumId w:val="0"/>
  </w:num>
  <w:num w:numId="2" w16cid:durableId="1564834940">
    <w:abstractNumId w:val="1"/>
    <w:lvlOverride w:ilvl="0">
      <w:startOverride w:val="1"/>
    </w:lvlOverride>
  </w:num>
  <w:num w:numId="3" w16cid:durableId="717169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B6"/>
    <w:rsid w:val="00086AC3"/>
    <w:rsid w:val="002D4C52"/>
    <w:rsid w:val="003C6232"/>
    <w:rsid w:val="004009EB"/>
    <w:rsid w:val="00417D52"/>
    <w:rsid w:val="00577FB6"/>
    <w:rsid w:val="005E4CAA"/>
    <w:rsid w:val="00703FE7"/>
    <w:rsid w:val="008221D7"/>
    <w:rsid w:val="00BF6D63"/>
    <w:rsid w:val="00E05C1E"/>
    <w:rsid w:val="00E655E2"/>
    <w:rsid w:val="00E805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FCE1"/>
  <w15:docId w15:val="{2868A830-F8D7-49FD-AE8C-D998F48D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93978">
      <w:bodyDiv w:val="1"/>
      <w:marLeft w:val="0"/>
      <w:marRight w:val="0"/>
      <w:marTop w:val="0"/>
      <w:marBottom w:val="0"/>
      <w:divBdr>
        <w:top w:val="none" w:sz="0" w:space="0" w:color="auto"/>
        <w:left w:val="none" w:sz="0" w:space="0" w:color="auto"/>
        <w:bottom w:val="none" w:sz="0" w:space="0" w:color="auto"/>
        <w:right w:val="none" w:sz="0" w:space="0" w:color="auto"/>
      </w:divBdr>
    </w:div>
    <w:div w:id="770276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8/yc-08-2023-184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2088</Words>
  <Characters>11486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Entrega 2b revisión de literatura y marco teórico</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2b revisión de literatura y marco teórico</dc:title>
  <dc:creator>Manuela Vergara</dc:creator>
  <dc:description>Claude Docs node/c1a37b6a-30cd@8 docx-w7</dc:description>
  <cp:lastModifiedBy>Manuela Vergara Gomez</cp:lastModifiedBy>
  <cp:revision>2</cp:revision>
  <dcterms:created xsi:type="dcterms:W3CDTF">2026-10-27T00:53:00Z</dcterms:created>
  <dcterms:modified xsi:type="dcterms:W3CDTF">2026-10-27T00:53:00Z</dcterms:modified>
</cp:coreProperties>
</file>