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B445F" w14:textId="70E93CCD" w:rsidR="00166827" w:rsidRDefault="00166827" w:rsidP="00166827">
      <w:pPr>
        <w:jc w:val="center"/>
        <w:rPr>
          <w:b/>
          <w:bCs/>
        </w:rPr>
      </w:pPr>
      <w:r w:rsidRPr="00166827">
        <w:rPr>
          <w:b/>
          <w:bCs/>
        </w:rPr>
        <w:t>Entrega 1 y 2a: pregunta de investigación y revisión de literatura</w:t>
      </w:r>
    </w:p>
    <w:p w14:paraId="0FB4216A" w14:textId="73866DDE" w:rsidR="00166827" w:rsidRPr="00166827" w:rsidRDefault="00166827" w:rsidP="00166827">
      <w:r>
        <w:rPr>
          <w:b/>
          <w:bCs/>
        </w:rPr>
        <w:t xml:space="preserve">Nombres: </w:t>
      </w:r>
      <w:r>
        <w:t>Alejandro Cotrino, Samuel Mora, Sara Vásquez, Manuela Vergara.</w:t>
      </w:r>
    </w:p>
    <w:p w14:paraId="35E83C0A" w14:textId="77777777" w:rsidR="00166827" w:rsidRDefault="00166827"/>
    <w:p w14:paraId="1C90203C" w14:textId="7E5DF85A" w:rsidR="00166827" w:rsidRDefault="00166827">
      <w:pPr>
        <w:rPr>
          <w:b/>
          <w:bCs/>
        </w:rPr>
      </w:pPr>
      <w:r w:rsidRPr="00166827">
        <w:rPr>
          <w:b/>
          <w:bCs/>
        </w:rPr>
        <w:t>Pregunta de investigación (Entrega 1)</w:t>
      </w:r>
    </w:p>
    <w:p w14:paraId="031301ED" w14:textId="4F71D49F" w:rsidR="00166827" w:rsidRPr="00166827" w:rsidRDefault="00166827">
      <w:r>
        <w:rPr>
          <w:b/>
          <w:bCs/>
        </w:rPr>
        <w:t xml:space="preserve">Enfoque: </w:t>
      </w:r>
      <w:r>
        <w:t>Demanda</w:t>
      </w:r>
    </w:p>
    <w:p w14:paraId="5E893C2F" w14:textId="33403CBA" w:rsidR="00127436" w:rsidRDefault="00166827">
      <w:r>
        <w:rPr>
          <w:b/>
          <w:bCs/>
        </w:rPr>
        <w:t xml:space="preserve">Pregunta: </w:t>
      </w:r>
      <w:r w:rsidR="00127436" w:rsidRPr="00127436">
        <w:t>¿De qué manera se relaciona la edad de los consumidores con la demanda de café de especialidad en Bogotá?</w:t>
      </w:r>
    </w:p>
    <w:p w14:paraId="13CBF317" w14:textId="5595701A" w:rsidR="004B6BBF" w:rsidRDefault="004B6BBF">
      <w:pPr>
        <w:rPr>
          <w:b/>
          <w:bCs/>
        </w:rPr>
      </w:pPr>
      <w:r w:rsidRPr="004B6BBF">
        <w:rPr>
          <w:b/>
          <w:bCs/>
        </w:rPr>
        <w:t>Revisión de la literatura (Entrega 2a)</w:t>
      </w:r>
    </w:p>
    <w:p w14:paraId="2B91CB1B" w14:textId="1D6867F6" w:rsidR="003F12C2" w:rsidRPr="003F12C2" w:rsidRDefault="003F12C2" w:rsidP="003F12C2">
      <w:r>
        <w:t>Nosotros q</w:t>
      </w:r>
      <w:r w:rsidRPr="003F12C2">
        <w:t>ueremos responder</w:t>
      </w:r>
      <w:r>
        <w:t xml:space="preserve"> </w:t>
      </w:r>
      <w:r w:rsidRPr="003F12C2">
        <w:t>la</w:t>
      </w:r>
      <w:r>
        <w:t xml:space="preserve"> pregunta planteada</w:t>
      </w:r>
      <w:r w:rsidRPr="003F12C2">
        <w:t xml:space="preserve"> porque el auge de este café suele atribuirse a los jóvenes, pero en la ciudad no hay datos que lo confirmen. El mercado crece y gana respaldo institucional: en 2025 el Distrito reconoció a 25 tiendas de especialidad como embajadoras del café colombiano (Alcaldía de Bogotá, 2025). Saber qué edades visitan más, gastan más y pagarían más orienta los precios, la localización y la oferta de las cafeterías.</w:t>
      </w:r>
    </w:p>
    <w:p w14:paraId="132988DA" w14:textId="6F671914" w:rsidR="003F12C2" w:rsidRPr="003F12C2" w:rsidRDefault="003F12C2" w:rsidP="003F12C2">
      <w:r>
        <w:t>Realizamos 4</w:t>
      </w:r>
      <w:r w:rsidRPr="003F12C2">
        <w:t xml:space="preserve"> preguntas en </w:t>
      </w:r>
      <w:proofErr w:type="spellStart"/>
      <w:r w:rsidRPr="003F12C2">
        <w:t>Consensus</w:t>
      </w:r>
      <w:proofErr w:type="spellEnd"/>
      <w:r w:rsidRPr="003F12C2">
        <w:t xml:space="preserve"> (66 registros, 54 únicos) y seis búsquedas web de literatura gris (15 documentos). El hallazgo </w:t>
      </w:r>
      <w:r>
        <w:t>principal</w:t>
      </w:r>
      <w:r w:rsidRPr="003F12C2">
        <w:t xml:space="preserve"> es que la edad sí se relaciona con la demanda, pero el sentido cambia según la medida. El consumo total aumenta con la edad (</w:t>
      </w:r>
      <w:proofErr w:type="spellStart"/>
      <w:r w:rsidRPr="003F12C2">
        <w:t>Loftfield</w:t>
      </w:r>
      <w:proofErr w:type="spellEnd"/>
      <w:r w:rsidRPr="003F12C2">
        <w:t xml:space="preserve"> et al., 2016; Rehm et al., 2020). Las visitas a cafeterías se concentran en los jóvenes (Kim y Lee, 2021; Abdella et al., 2024), aunque los mayores gastan más por visita (</w:t>
      </w:r>
      <w:proofErr w:type="spellStart"/>
      <w:r w:rsidRPr="003F12C2">
        <w:t>Heiens</w:t>
      </w:r>
      <w:proofErr w:type="spellEnd"/>
      <w:r w:rsidRPr="003F12C2">
        <w:t xml:space="preserve"> y </w:t>
      </w:r>
      <w:proofErr w:type="spellStart"/>
      <w:r w:rsidRPr="003F12C2">
        <w:t>Pleshko</w:t>
      </w:r>
      <w:proofErr w:type="spellEnd"/>
      <w:r w:rsidRPr="003F12C2">
        <w:t xml:space="preserve">, 2017). La edad también incide en la disposición a pagar, medida hasta ahora para cafés orgánicos o certificados (Mamani Tudela, 2024). Además, cada generación busca algo distinto en la cafetería (Doğan y </w:t>
      </w:r>
      <w:proofErr w:type="spellStart"/>
      <w:r w:rsidRPr="003F12C2">
        <w:t>Atsız</w:t>
      </w:r>
      <w:proofErr w:type="spellEnd"/>
      <w:r w:rsidRPr="003F12C2">
        <w:t>, 2026; Wang et al., 2024).</w:t>
      </w:r>
    </w:p>
    <w:p w14:paraId="69DAC384" w14:textId="47811D0F" w:rsidR="004B6BBF" w:rsidRDefault="003F12C2" w:rsidP="003F12C2">
      <w:pPr>
        <w:rPr>
          <w:sz w:val="20"/>
          <w:szCs w:val="20"/>
        </w:rPr>
      </w:pPr>
      <w:r w:rsidRPr="003F12C2">
        <w:t>Falta evidencia local, específica del café de especialidad y comparable entre edades. Ningún artículo académico recuperado estudia Colombia, y la literatura gris local no cruza la edad con la demanda de café de especialidad (Acosta, 2021; Briceño Díaz, 2016). Solo 4 de los 32 artículos tratan café de especialidad. Ninguno mide juntas, por edad, la frecuencia de visita, el gasto y la disposición a pagar. Casi todo el análisis se hace por ciudad o país, no por zona.</w:t>
      </w:r>
    </w:p>
    <w:p w14:paraId="47941CBC" w14:textId="77777777" w:rsidR="003F12C2" w:rsidRPr="003F12C2" w:rsidRDefault="003F12C2" w:rsidP="003F12C2">
      <w:pPr>
        <w:rPr>
          <w:sz w:val="20"/>
          <w:szCs w:val="20"/>
        </w:rPr>
      </w:pPr>
    </w:p>
    <w:p w14:paraId="03440CEB" w14:textId="38D38AD0" w:rsidR="004B6BBF" w:rsidRPr="003F12C2" w:rsidRDefault="004B6BBF" w:rsidP="004B6BBF">
      <w:pPr>
        <w:rPr>
          <w:sz w:val="20"/>
          <w:szCs w:val="20"/>
        </w:rPr>
      </w:pPr>
    </w:p>
    <w:sectPr w:rsidR="004B6BBF" w:rsidRPr="003F12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29D8B" w14:textId="77777777" w:rsidR="00D043F9" w:rsidRDefault="00D043F9" w:rsidP="00166827">
      <w:pPr>
        <w:spacing w:after="0" w:line="240" w:lineRule="auto"/>
      </w:pPr>
      <w:r>
        <w:separator/>
      </w:r>
    </w:p>
  </w:endnote>
  <w:endnote w:type="continuationSeparator" w:id="0">
    <w:p w14:paraId="6DD5CE9F" w14:textId="77777777" w:rsidR="00D043F9" w:rsidRDefault="00D043F9" w:rsidP="00166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7CE17" w14:textId="77777777" w:rsidR="00D043F9" w:rsidRDefault="00D043F9" w:rsidP="00166827">
      <w:pPr>
        <w:spacing w:after="0" w:line="240" w:lineRule="auto"/>
      </w:pPr>
      <w:r>
        <w:separator/>
      </w:r>
    </w:p>
  </w:footnote>
  <w:footnote w:type="continuationSeparator" w:id="0">
    <w:p w14:paraId="66ECBC92" w14:textId="77777777" w:rsidR="00D043F9" w:rsidRDefault="00D043F9" w:rsidP="001668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06F21"/>
    <w:multiLevelType w:val="multilevel"/>
    <w:tmpl w:val="3732E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580754"/>
    <w:multiLevelType w:val="multilevel"/>
    <w:tmpl w:val="935CA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963584"/>
    <w:multiLevelType w:val="multilevel"/>
    <w:tmpl w:val="74AA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555036">
    <w:abstractNumId w:val="0"/>
  </w:num>
  <w:num w:numId="2" w16cid:durableId="189488953">
    <w:abstractNumId w:val="2"/>
  </w:num>
  <w:num w:numId="3" w16cid:durableId="1436972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436"/>
    <w:rsid w:val="00127436"/>
    <w:rsid w:val="00166827"/>
    <w:rsid w:val="00270472"/>
    <w:rsid w:val="003F12C2"/>
    <w:rsid w:val="004B6BBF"/>
    <w:rsid w:val="0091125B"/>
    <w:rsid w:val="00D04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24354"/>
  <w15:chartTrackingRefBased/>
  <w15:docId w15:val="{39EA2663-8D47-461D-ACC7-7000CCB2C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7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4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68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827"/>
  </w:style>
  <w:style w:type="paragraph" w:styleId="Footer">
    <w:name w:val="footer"/>
    <w:basedOn w:val="Normal"/>
    <w:link w:val="FooterChar"/>
    <w:uiPriority w:val="99"/>
    <w:unhideWhenUsed/>
    <w:rsid w:val="001668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827"/>
  </w:style>
  <w:style w:type="character" w:styleId="Hyperlink">
    <w:name w:val="Hyperlink"/>
    <w:basedOn w:val="DefaultParagraphFont"/>
    <w:uiPriority w:val="99"/>
    <w:unhideWhenUsed/>
    <w:rsid w:val="004B6B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6B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304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Vergara Gomez</dc:creator>
  <cp:keywords/>
  <dc:description/>
  <cp:lastModifiedBy>Manuela Vergara Gomez</cp:lastModifiedBy>
  <cp:revision>1</cp:revision>
  <dcterms:created xsi:type="dcterms:W3CDTF">2026-10-08T01:12:00Z</dcterms:created>
  <dcterms:modified xsi:type="dcterms:W3CDTF">2026-10-08T02:29:00Z</dcterms:modified>
</cp:coreProperties>
</file>