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C4E1C" w:rsidRDefault="00000000">
      <w:pP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Assignment 4</w:t>
      </w:r>
    </w:p>
    <w:p w:rsidR="00DC4E1C" w:rsidRDefault="00DC4E1C">
      <w:pPr>
        <w:rPr>
          <w:rFonts w:ascii="Times New Roman" w:eastAsia="Times New Roman" w:hAnsi="Times New Roman" w:cs="Times New Roman"/>
          <w:b/>
          <w:sz w:val="32"/>
          <w:szCs w:val="32"/>
        </w:rPr>
      </w:pPr>
    </w:p>
    <w:p w:rsidR="00DC4E1C" w:rsidRDefault="0000000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M1</w:t>
      </w: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5943600" cy="33274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t="-11460" b="11461"/>
                    <a:stretch>
                      <a:fillRect/>
                    </a:stretch>
                  </pic:blipFill>
                  <pic:spPr>
                    <a:xfrm>
                      <a:off x="0" y="0"/>
                      <a:ext cx="5943600" cy="3327400"/>
                    </a:xfrm>
                    <a:prstGeom prst="rect">
                      <a:avLst/>
                    </a:prstGeom>
                    <a:ln/>
                  </pic:spPr>
                </pic:pic>
              </a:graphicData>
            </a:graphic>
          </wp:inline>
        </w:drawing>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process begins with transforming the input into numerical values using the BERT tokenizer. These numerical representations are then fed into a Bidirectional Long Short-Term Memory (</w:t>
      </w:r>
      <w:proofErr w:type="spellStart"/>
      <w:r>
        <w:rPr>
          <w:rFonts w:ascii="Times New Roman" w:eastAsia="Times New Roman" w:hAnsi="Times New Roman" w:cs="Times New Roman"/>
          <w:sz w:val="20"/>
          <w:szCs w:val="20"/>
        </w:rPr>
        <w:t>BiLSTM</w:t>
      </w:r>
      <w:proofErr w:type="spellEnd"/>
      <w:r>
        <w:rPr>
          <w:rFonts w:ascii="Times New Roman" w:eastAsia="Times New Roman" w:hAnsi="Times New Roman" w:cs="Times New Roman"/>
          <w:sz w:val="20"/>
          <w:szCs w:val="20"/>
        </w:rPr>
        <w:t>) model to capture sequential relationships within the data. Next, a linear projection is applied for dimension correction. Following this, the pre-trained BERT encoder and Pooler layers are utilized to further encode the contextual information. Finally, a classification head is employed for prediction</w:t>
      </w: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719638" cy="253462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19638" cy="2534620"/>
                    </a:xfrm>
                    <a:prstGeom prst="rect">
                      <a:avLst/>
                    </a:prstGeom>
                    <a:ln/>
                  </pic:spPr>
                </pic:pic>
              </a:graphicData>
            </a:graphic>
          </wp:inline>
        </w:drawing>
      </w: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extent cx="3624263" cy="301386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624263" cy="3013860"/>
                    </a:xfrm>
                    <a:prstGeom prst="rect">
                      <a:avLst/>
                    </a:prstGeom>
                    <a:ln/>
                  </pic:spPr>
                </pic:pic>
              </a:graphicData>
            </a:graphic>
          </wp:inline>
        </w:drawing>
      </w: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sz w:val="20"/>
          <w:szCs w:val="20"/>
        </w:rPr>
      </w:pPr>
      <w:r>
        <w:br w:type="page"/>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M2</w:t>
      </w: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114300" distB="114300" distL="114300" distR="114300">
                <wp:extent cx="571500" cy="114300"/>
                <wp:effectExtent l="0" t="0" r="0" b="0"/>
                <wp:docPr id="13" name="Rectangle 13"/>
                <wp:cNvGraphicFramePr/>
                <a:graphic xmlns:a="http://schemas.openxmlformats.org/drawingml/2006/main">
                  <a:graphicData uri="http://schemas.microsoft.com/office/word/2010/wordprocessingShape">
                    <wps:wsp>
                      <wps:cNvSpPr/>
                      <wps:spPr>
                        <a:xfrm>
                          <a:off x="2025925" y="658925"/>
                          <a:ext cx="550800" cy="98400"/>
                        </a:xfrm>
                        <a:prstGeom prst="rect">
                          <a:avLst/>
                        </a:prstGeom>
                        <a:solidFill>
                          <a:srgbClr val="FFFFFF"/>
                        </a:solidFill>
                        <a:ln w="9525" cap="flat" cmpd="sng">
                          <a:solidFill>
                            <a:srgbClr val="FFFFFF"/>
                          </a:solidFill>
                          <a:prstDash val="solid"/>
                          <a:round/>
                          <a:headEnd type="none" w="sm" len="sm"/>
                          <a:tailEnd type="none" w="sm" len="sm"/>
                        </a:ln>
                      </wps:spPr>
                      <wps:txbx>
                        <w:txbxContent>
                          <w:p w:rsidR="00DC4E1C" w:rsidRDefault="00DC4E1C">
                            <w:pPr>
                              <w:spacing w:line="240" w:lineRule="auto"/>
                              <w:jc w:val="center"/>
                              <w:textDirection w:val="btLr"/>
                            </w:pPr>
                          </w:p>
                        </w:txbxContent>
                      </wps:txbx>
                      <wps:bodyPr spcFirstLastPara="1" wrap="square" lIns="91425" tIns="91425" rIns="91425" bIns="91425" anchor="ctr" anchorCtr="0">
                        <a:noAutofit/>
                      </wps:bodyPr>
                    </wps:wsp>
                  </a:graphicData>
                </a:graphic>
              </wp:inline>
            </w:drawing>
          </mc:Choice>
          <mc:Fallback>
            <w:pict>
              <v:rect id="Rectangle 13" o:spid="_x0000_s1026" style="width:45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" strokecolor="white">
                <v:stroke startarrowwidth="narrow" startarrowlength="short" endarrowwidth="narrow" endarrowlength="short" joinstyle="round"/>
                <v:textbox inset="2.53958mm,2.53958mm,2.53958mm,2.53958mm">
                  <w:txbxContent>
                    <w:p w:rsidR="00DC4E1C" w:rsidRDefault="00DC4E1C">
                      <w:pPr>
                        <w:spacing w:line="240" w:lineRule="auto"/>
                        <w:jc w:val="center"/>
                        <w:textDirection w:val="btLr"/>
                      </w:pPr>
                    </w:p>
                  </w:txbxContent>
                </v:textbox>
                <w10:anchorlock/>
              </v:rect>
            </w:pict>
          </mc:Fallback>
        </mc:AlternateContent>
      </w:r>
      <w:r>
        <w:rPr>
          <w:rFonts w:ascii="Times New Roman" w:eastAsia="Times New Roman" w:hAnsi="Times New Roman" w:cs="Times New Roman"/>
          <w:noProof/>
          <w:sz w:val="20"/>
          <w:szCs w:val="20"/>
        </w:rPr>
        <w:drawing>
          <wp:inline distT="114300" distB="114300" distL="114300" distR="114300">
            <wp:extent cx="5943600" cy="21590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2159000"/>
                    </a:xfrm>
                    <a:prstGeom prst="rect">
                      <a:avLst/>
                    </a:prstGeom>
                    <a:ln/>
                  </pic:spPr>
                </pic:pic>
              </a:graphicData>
            </a:graphic>
          </wp:inline>
        </w:drawing>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input consists of concatenated speaker, emotion, and utterance information, which undergoes tokenization using the BERT tokenizer to convert it into numerical values while preserving the positional encoding of each word and sentence. These numerical representations are then fed into a transformer encoder to capture relationships through self-attention mechanisms, forming a memory unit. The last sentence's embedding from this memory unit is transferred to the decoder. Here, cross-attention is applied between the last utterance and the memory unit to incorporate contextual information. Finally, leveraging a pre-trained BERT encoder and pooler, along with a classification head, facilitates accurate predictions.</w:t>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005263" cy="2175698"/>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005263" cy="2175698"/>
                    </a:xfrm>
                    <a:prstGeom prst="rect">
                      <a:avLst/>
                    </a:prstGeom>
                    <a:ln/>
                  </pic:spPr>
                </pic:pic>
              </a:graphicData>
            </a:graphic>
          </wp:inline>
        </w:drawing>
      </w: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extent cx="4205288" cy="2284603"/>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205288" cy="2284603"/>
                    </a:xfrm>
                    <a:prstGeom prst="rect">
                      <a:avLst/>
                    </a:prstGeom>
                    <a:ln/>
                  </pic:spPr>
                </pic:pic>
              </a:graphicData>
            </a:graphic>
          </wp:inline>
        </w:drawing>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Comparison:</w:t>
      </w: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Bi-LSTM models have demonstrated superior capability in understanding and capturing sequential patterns in data, due to their temporal nature. In contrast, Model 1, being less complex, is more adept at handling smaller datasets, where it can generalize effectively without requiring vast amounts of data. On the flip side, the more complex model, characterized by a larger parameter set, demands a substantial dataset to reach its full potential and avoid overfitting.</w:t>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b/>
          <w:sz w:val="20"/>
          <w:szCs w:val="20"/>
          <w:u w:val="single"/>
        </w:rPr>
      </w:pPr>
    </w:p>
    <w:p w:rsidR="00DC4E1C" w:rsidRDefault="00DC4E1C">
      <w:pPr>
        <w:rPr>
          <w:rFonts w:ascii="Times New Roman" w:eastAsia="Times New Roman" w:hAnsi="Times New Roman" w:cs="Times New Roman"/>
          <w:b/>
          <w:sz w:val="20"/>
          <w:szCs w:val="20"/>
          <w:u w:val="single"/>
        </w:rPr>
      </w:pPr>
    </w:p>
    <w:p w:rsidR="00DC4E1C" w:rsidRDefault="00DC4E1C">
      <w:pPr>
        <w:rPr>
          <w:rFonts w:ascii="Times New Roman" w:eastAsia="Times New Roman" w:hAnsi="Times New Roman" w:cs="Times New Roman"/>
          <w:b/>
          <w:sz w:val="20"/>
          <w:szCs w:val="20"/>
          <w:u w:val="single"/>
        </w:rPr>
      </w:pPr>
    </w:p>
    <w:p w:rsidR="00DC4E1C" w:rsidRDefault="00DC4E1C">
      <w:pPr>
        <w:rPr>
          <w:rFonts w:ascii="Times New Roman" w:eastAsia="Times New Roman" w:hAnsi="Times New Roman" w:cs="Times New Roman"/>
          <w:b/>
          <w:sz w:val="20"/>
          <w:szCs w:val="20"/>
          <w:u w:val="single"/>
        </w:rPr>
      </w:pPr>
    </w:p>
    <w:p w:rsidR="00DC4E1C" w:rsidRDefault="00DC4E1C">
      <w:pPr>
        <w:rPr>
          <w:rFonts w:ascii="Times New Roman" w:eastAsia="Times New Roman" w:hAnsi="Times New Roman" w:cs="Times New Roman"/>
          <w:b/>
          <w:sz w:val="20"/>
          <w:szCs w:val="20"/>
          <w:u w:val="single"/>
        </w:rPr>
      </w:pPr>
    </w:p>
    <w:p w:rsidR="00DC4E1C" w:rsidRDefault="00DC4E1C">
      <w:pPr>
        <w:rPr>
          <w:rFonts w:ascii="Times New Roman" w:eastAsia="Times New Roman" w:hAnsi="Times New Roman" w:cs="Times New Roman"/>
          <w:b/>
          <w:sz w:val="20"/>
          <w:szCs w:val="20"/>
          <w:u w:val="single"/>
        </w:rPr>
      </w:pPr>
    </w:p>
    <w:p w:rsidR="00DC4E1C" w:rsidRDefault="00DC4E1C">
      <w:pPr>
        <w:rPr>
          <w:rFonts w:ascii="Times New Roman" w:eastAsia="Times New Roman" w:hAnsi="Times New Roman" w:cs="Times New Roman"/>
          <w:b/>
          <w:sz w:val="20"/>
          <w:szCs w:val="20"/>
          <w:u w:val="single"/>
        </w:rPr>
      </w:pPr>
    </w:p>
    <w:p w:rsidR="00DC4E1C" w:rsidRDefault="00000000">
      <w:pPr>
        <w:rPr>
          <w:rFonts w:ascii="Times New Roman" w:eastAsia="Times New Roman" w:hAnsi="Times New Roman" w:cs="Times New Roman"/>
          <w:b/>
          <w:sz w:val="36"/>
          <w:szCs w:val="36"/>
          <w:u w:val="single"/>
        </w:rPr>
      </w:pPr>
      <w:r>
        <w:br w:type="page"/>
      </w:r>
    </w:p>
    <w:p w:rsidR="00DC4E1C" w:rsidRDefault="0000000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M3</w:t>
      </w: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5943600" cy="22733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2273300"/>
                    </a:xfrm>
                    <a:prstGeom prst="rect">
                      <a:avLst/>
                    </a:prstGeom>
                    <a:ln/>
                  </pic:spPr>
                </pic:pic>
              </a:graphicData>
            </a:graphic>
          </wp:inline>
        </w:drawing>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input, comprising concatenated speaker, emotion, and utterance data, is tokenized using BERT to convert it into numerical values while maintaining positional encoding. These values are then processed by a transformer encoder, enabling the capture of relationships via self-attention, creating a memory unit. The decoder receives the last sentence's embedding from this memory unit, facilitating cross-attention between the last utterance and memory to integrate contextual cues. Additionally, an LSTM is utilized for sequence identification, followed by a classification head for prediction.</w:t>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5943600" cy="2946400"/>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2946400"/>
                    </a:xfrm>
                    <a:prstGeom prst="rect">
                      <a:avLst/>
                    </a:prstGeom>
                    <a:ln/>
                  </pic:spPr>
                </pic:pic>
              </a:graphicData>
            </a:graphic>
          </wp:inline>
        </w:drawing>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M4</w:t>
      </w: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795838" cy="246126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795838" cy="2461260"/>
                    </a:xfrm>
                    <a:prstGeom prst="rect">
                      <a:avLst/>
                    </a:prstGeom>
                    <a:ln/>
                  </pic:spPr>
                </pic:pic>
              </a:graphicData>
            </a:graphic>
          </wp:inline>
        </w:drawing>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input consists of concatenated speaker, emotion, and utterance information, which undergoes tokenization using the BERT tokenizer to convert it into numerical values while preserving the positional encoding of each word and sentence. These numerical representations are then fed into a transformer encoder to capture relationships through self-attention mechanisms, forming a memory unit. The last sentence's embedding from this memory unit is transferred to the decoder. Here, cross-attention is applied between the last utterance and the memory unit to incorporate contextual information. Finally, leveraging a pre-trained BERT encoder and pooler, along with a classification head, facilitates accurate predictions.</w:t>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757738" cy="2584686"/>
            <wp:effectExtent l="0" t="0" r="0" b="0"/>
            <wp:docPr id="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757738" cy="2584686"/>
                    </a:xfrm>
                    <a:prstGeom prst="rect">
                      <a:avLst/>
                    </a:prstGeom>
                    <a:ln/>
                  </pic:spPr>
                </pic:pic>
              </a:graphicData>
            </a:graphic>
          </wp:inline>
        </w:drawing>
      </w: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extent cx="4376738" cy="2377747"/>
            <wp:effectExtent l="0" t="0" r="0" b="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4376738" cy="2377747"/>
                    </a:xfrm>
                    <a:prstGeom prst="rect">
                      <a:avLst/>
                    </a:prstGeom>
                    <a:ln/>
                  </pic:spPr>
                </pic:pic>
              </a:graphicData>
            </a:graphic>
          </wp:inline>
        </w:drawing>
      </w: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576763" cy="2457076"/>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4576763" cy="2457076"/>
                    </a:xfrm>
                    <a:prstGeom prst="rect">
                      <a:avLst/>
                    </a:prstGeom>
                    <a:ln/>
                  </pic:spPr>
                </pic:pic>
              </a:graphicData>
            </a:graphic>
          </wp:inline>
        </w:drawing>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sz w:val="20"/>
          <w:szCs w:val="20"/>
        </w:rPr>
      </w:pPr>
    </w:p>
    <w:p w:rsidR="00DC4E1C"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Comparison: </w:t>
      </w:r>
    </w:p>
    <w:p w:rsidR="00DC4E1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Both models are working almost identical because both are transformer based encoder-</w:t>
      </w:r>
      <w:proofErr w:type="spellStart"/>
      <w:r>
        <w:rPr>
          <w:rFonts w:ascii="Times New Roman" w:eastAsia="Times New Roman" w:hAnsi="Times New Roman" w:cs="Times New Roman"/>
          <w:sz w:val="20"/>
          <w:szCs w:val="20"/>
        </w:rPr>
        <w:t>attension</w:t>
      </w:r>
      <w:proofErr w:type="spellEnd"/>
      <w:r>
        <w:rPr>
          <w:rFonts w:ascii="Times New Roman" w:eastAsia="Times New Roman" w:hAnsi="Times New Roman" w:cs="Times New Roman"/>
          <w:sz w:val="20"/>
          <w:szCs w:val="20"/>
        </w:rPr>
        <w:t xml:space="preserve">-decoder architecture. Before classification layer, both the model have different implementation. Former one has LSTM which captures temporal features better than the later one which has BERT encoder and pooler. </w:t>
      </w:r>
    </w:p>
    <w:p w:rsidR="00DC4E1C" w:rsidRDefault="00DC4E1C">
      <w:pPr>
        <w:rPr>
          <w:rFonts w:ascii="Times New Roman" w:eastAsia="Times New Roman" w:hAnsi="Times New Roman" w:cs="Times New Roman"/>
          <w:sz w:val="20"/>
          <w:szCs w:val="20"/>
        </w:rPr>
      </w:pPr>
    </w:p>
    <w:p w:rsidR="00DC4E1C" w:rsidRDefault="00DC4E1C">
      <w:pPr>
        <w:rPr>
          <w:rFonts w:ascii="Times New Roman" w:eastAsia="Times New Roman" w:hAnsi="Times New Roman" w:cs="Times New Roman"/>
        </w:rPr>
      </w:pPr>
    </w:p>
    <w:p w:rsidR="00DC4E1C" w:rsidRDefault="00DC4E1C">
      <w:pPr>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C4E1C">
        <w:tc>
          <w:tcPr>
            <w:tcW w:w="2340" w:type="dxa"/>
            <w:shd w:val="clear" w:color="auto" w:fill="auto"/>
            <w:tcMar>
              <w:top w:w="100" w:type="dxa"/>
              <w:left w:w="100" w:type="dxa"/>
              <w:bottom w:w="100" w:type="dxa"/>
              <w:right w:w="100" w:type="dxa"/>
            </w:tcMar>
          </w:tcPr>
          <w:p w:rsidR="00DC4E1C"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Model</w:t>
            </w:r>
          </w:p>
        </w:tc>
        <w:tc>
          <w:tcPr>
            <w:tcW w:w="2340" w:type="dxa"/>
            <w:shd w:val="clear" w:color="auto" w:fill="auto"/>
            <w:tcMar>
              <w:top w:w="100" w:type="dxa"/>
              <w:left w:w="100" w:type="dxa"/>
              <w:bottom w:w="100" w:type="dxa"/>
              <w:right w:w="100" w:type="dxa"/>
            </w:tcMar>
          </w:tcPr>
          <w:p w:rsidR="00DC4E1C"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Loss (train)</w:t>
            </w:r>
          </w:p>
        </w:tc>
        <w:tc>
          <w:tcPr>
            <w:tcW w:w="2340" w:type="dxa"/>
            <w:shd w:val="clear" w:color="auto" w:fill="auto"/>
            <w:tcMar>
              <w:top w:w="100" w:type="dxa"/>
              <w:left w:w="100" w:type="dxa"/>
              <w:bottom w:w="100" w:type="dxa"/>
              <w:right w:w="100" w:type="dxa"/>
            </w:tcMar>
          </w:tcPr>
          <w:p w:rsidR="00DC4E1C"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Loss (</w:t>
            </w:r>
            <w:proofErr w:type="spellStart"/>
            <w:r>
              <w:rPr>
                <w:rFonts w:ascii="Times New Roman" w:eastAsia="Times New Roman" w:hAnsi="Times New Roman" w:cs="Times New Roman"/>
                <w:b/>
              </w:rPr>
              <w:t>val</w:t>
            </w:r>
            <w:proofErr w:type="spellEnd"/>
            <w:r>
              <w:rPr>
                <w:rFonts w:ascii="Times New Roman" w:eastAsia="Times New Roman" w:hAnsi="Times New Roman" w:cs="Times New Roman"/>
                <w:b/>
              </w:rPr>
              <w:t>)</w:t>
            </w:r>
          </w:p>
        </w:tc>
        <w:tc>
          <w:tcPr>
            <w:tcW w:w="2340" w:type="dxa"/>
            <w:shd w:val="clear" w:color="auto" w:fill="auto"/>
            <w:tcMar>
              <w:top w:w="100" w:type="dxa"/>
              <w:left w:w="100" w:type="dxa"/>
              <w:bottom w:w="100" w:type="dxa"/>
              <w:right w:w="100" w:type="dxa"/>
            </w:tcMar>
          </w:tcPr>
          <w:p w:rsidR="00DC4E1C"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F1-macro</w:t>
            </w:r>
          </w:p>
        </w:tc>
      </w:tr>
      <w:tr w:rsidR="00DC4E1C">
        <w:tc>
          <w:tcPr>
            <w:tcW w:w="2340" w:type="dxa"/>
            <w:shd w:val="clear" w:color="auto" w:fill="auto"/>
            <w:tcMar>
              <w:top w:w="100" w:type="dxa"/>
              <w:left w:w="100" w:type="dxa"/>
              <w:bottom w:w="100" w:type="dxa"/>
              <w:right w:w="100" w:type="dxa"/>
            </w:tcMar>
          </w:tcPr>
          <w:p w:rsidR="00DC4E1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M1 (Task 1)</w:t>
            </w:r>
          </w:p>
        </w:tc>
        <w:tc>
          <w:tcPr>
            <w:tcW w:w="2340" w:type="dxa"/>
            <w:shd w:val="clear" w:color="auto" w:fill="auto"/>
            <w:tcMar>
              <w:top w:w="100" w:type="dxa"/>
              <w:left w:w="100" w:type="dxa"/>
              <w:bottom w:w="100" w:type="dxa"/>
              <w:right w:w="100" w:type="dxa"/>
            </w:tcMar>
          </w:tcPr>
          <w:p w:rsidR="00DC4E1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0.1710</w:t>
            </w:r>
          </w:p>
        </w:tc>
        <w:tc>
          <w:tcPr>
            <w:tcW w:w="2340" w:type="dxa"/>
            <w:shd w:val="clear" w:color="auto" w:fill="auto"/>
            <w:tcMar>
              <w:top w:w="100" w:type="dxa"/>
              <w:left w:w="100" w:type="dxa"/>
              <w:bottom w:w="100" w:type="dxa"/>
              <w:right w:w="100" w:type="dxa"/>
            </w:tcMar>
          </w:tcPr>
          <w:p w:rsidR="00DC4E1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9.1068</w:t>
            </w:r>
          </w:p>
        </w:tc>
        <w:tc>
          <w:tcPr>
            <w:tcW w:w="2340" w:type="dxa"/>
            <w:shd w:val="clear" w:color="auto" w:fill="auto"/>
            <w:tcMar>
              <w:top w:w="100" w:type="dxa"/>
              <w:left w:w="100" w:type="dxa"/>
              <w:bottom w:w="100" w:type="dxa"/>
              <w:right w:w="100" w:type="dxa"/>
            </w:tcMar>
          </w:tcPr>
          <w:p w:rsidR="00DC4E1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0.1703</w:t>
            </w:r>
          </w:p>
        </w:tc>
      </w:tr>
      <w:tr w:rsidR="00DC4E1C">
        <w:tc>
          <w:tcPr>
            <w:tcW w:w="2340" w:type="dxa"/>
            <w:shd w:val="clear" w:color="auto" w:fill="auto"/>
            <w:tcMar>
              <w:top w:w="100" w:type="dxa"/>
              <w:left w:w="100" w:type="dxa"/>
              <w:bottom w:w="100" w:type="dxa"/>
              <w:right w:w="100" w:type="dxa"/>
            </w:tcMar>
          </w:tcPr>
          <w:p w:rsidR="00DC4E1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M2</w:t>
            </w:r>
          </w:p>
        </w:tc>
        <w:tc>
          <w:tcPr>
            <w:tcW w:w="2340" w:type="dxa"/>
            <w:shd w:val="clear" w:color="auto" w:fill="auto"/>
            <w:tcMar>
              <w:top w:w="100" w:type="dxa"/>
              <w:left w:w="100" w:type="dxa"/>
              <w:bottom w:w="100" w:type="dxa"/>
              <w:right w:w="100" w:type="dxa"/>
            </w:tcMar>
          </w:tcPr>
          <w:p w:rsidR="00DC4E1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8.9142</w:t>
            </w:r>
          </w:p>
        </w:tc>
        <w:tc>
          <w:tcPr>
            <w:tcW w:w="2340" w:type="dxa"/>
            <w:shd w:val="clear" w:color="auto" w:fill="auto"/>
            <w:tcMar>
              <w:top w:w="100" w:type="dxa"/>
              <w:left w:w="100" w:type="dxa"/>
              <w:bottom w:w="100" w:type="dxa"/>
              <w:right w:w="100" w:type="dxa"/>
            </w:tcMar>
          </w:tcPr>
          <w:p w:rsidR="00DC4E1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8.9288</w:t>
            </w:r>
          </w:p>
        </w:tc>
        <w:tc>
          <w:tcPr>
            <w:tcW w:w="2340" w:type="dxa"/>
            <w:shd w:val="clear" w:color="auto" w:fill="auto"/>
            <w:tcMar>
              <w:top w:w="100" w:type="dxa"/>
              <w:left w:w="100" w:type="dxa"/>
              <w:bottom w:w="100" w:type="dxa"/>
              <w:right w:w="100" w:type="dxa"/>
            </w:tcMar>
          </w:tcPr>
          <w:p w:rsidR="00DC4E1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0.1104</w:t>
            </w:r>
          </w:p>
        </w:tc>
      </w:tr>
      <w:tr w:rsidR="00DC4E1C">
        <w:tc>
          <w:tcPr>
            <w:tcW w:w="2340" w:type="dxa"/>
            <w:shd w:val="clear" w:color="auto" w:fill="auto"/>
            <w:tcMar>
              <w:top w:w="100" w:type="dxa"/>
              <w:left w:w="100" w:type="dxa"/>
              <w:bottom w:w="100" w:type="dxa"/>
              <w:right w:w="100" w:type="dxa"/>
            </w:tcMar>
          </w:tcPr>
          <w:p w:rsidR="00DC4E1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M3 (Task 2)</w:t>
            </w:r>
          </w:p>
        </w:tc>
        <w:tc>
          <w:tcPr>
            <w:tcW w:w="2340" w:type="dxa"/>
            <w:shd w:val="clear" w:color="auto" w:fill="auto"/>
            <w:tcMar>
              <w:top w:w="100" w:type="dxa"/>
              <w:left w:w="100" w:type="dxa"/>
              <w:bottom w:w="100" w:type="dxa"/>
              <w:right w:w="100" w:type="dxa"/>
            </w:tcMar>
          </w:tcPr>
          <w:p w:rsidR="00DC4E1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23.7449</w:t>
            </w:r>
          </w:p>
        </w:tc>
        <w:tc>
          <w:tcPr>
            <w:tcW w:w="2340" w:type="dxa"/>
            <w:shd w:val="clear" w:color="auto" w:fill="auto"/>
            <w:tcMar>
              <w:top w:w="100" w:type="dxa"/>
              <w:left w:w="100" w:type="dxa"/>
              <w:bottom w:w="100" w:type="dxa"/>
              <w:right w:w="100" w:type="dxa"/>
            </w:tcMar>
          </w:tcPr>
          <w:p w:rsidR="00DC4E1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23.789</w:t>
            </w:r>
          </w:p>
        </w:tc>
        <w:tc>
          <w:tcPr>
            <w:tcW w:w="2340" w:type="dxa"/>
            <w:shd w:val="clear" w:color="auto" w:fill="auto"/>
            <w:tcMar>
              <w:top w:w="100" w:type="dxa"/>
              <w:left w:w="100" w:type="dxa"/>
              <w:bottom w:w="100" w:type="dxa"/>
              <w:right w:w="100" w:type="dxa"/>
            </w:tcMar>
          </w:tcPr>
          <w:p w:rsidR="00DC4E1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0.5474</w:t>
            </w:r>
          </w:p>
        </w:tc>
      </w:tr>
      <w:tr w:rsidR="00DC4E1C">
        <w:tc>
          <w:tcPr>
            <w:tcW w:w="2340" w:type="dxa"/>
            <w:shd w:val="clear" w:color="auto" w:fill="auto"/>
            <w:tcMar>
              <w:top w:w="100" w:type="dxa"/>
              <w:left w:w="100" w:type="dxa"/>
              <w:bottom w:w="100" w:type="dxa"/>
              <w:right w:w="100" w:type="dxa"/>
            </w:tcMar>
          </w:tcPr>
          <w:p w:rsidR="00DC4E1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M4</w:t>
            </w:r>
          </w:p>
        </w:tc>
        <w:tc>
          <w:tcPr>
            <w:tcW w:w="2340" w:type="dxa"/>
            <w:shd w:val="clear" w:color="auto" w:fill="auto"/>
            <w:tcMar>
              <w:top w:w="100" w:type="dxa"/>
              <w:left w:w="100" w:type="dxa"/>
              <w:bottom w:w="100" w:type="dxa"/>
              <w:right w:w="100" w:type="dxa"/>
            </w:tcMar>
          </w:tcPr>
          <w:p w:rsidR="00DC4E1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23.7524</w:t>
            </w:r>
          </w:p>
        </w:tc>
        <w:tc>
          <w:tcPr>
            <w:tcW w:w="2340" w:type="dxa"/>
            <w:shd w:val="clear" w:color="auto" w:fill="auto"/>
            <w:tcMar>
              <w:top w:w="100" w:type="dxa"/>
              <w:left w:w="100" w:type="dxa"/>
              <w:bottom w:w="100" w:type="dxa"/>
              <w:right w:w="100" w:type="dxa"/>
            </w:tcMar>
          </w:tcPr>
          <w:p w:rsidR="00DC4E1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23.797</w:t>
            </w:r>
          </w:p>
        </w:tc>
        <w:tc>
          <w:tcPr>
            <w:tcW w:w="2340" w:type="dxa"/>
            <w:shd w:val="clear" w:color="auto" w:fill="auto"/>
            <w:tcMar>
              <w:top w:w="100" w:type="dxa"/>
              <w:left w:w="100" w:type="dxa"/>
              <w:bottom w:w="100" w:type="dxa"/>
              <w:right w:w="100" w:type="dxa"/>
            </w:tcMar>
          </w:tcPr>
          <w:p w:rsidR="00DC4E1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0.5466</w:t>
            </w:r>
          </w:p>
        </w:tc>
      </w:tr>
    </w:tbl>
    <w:p w:rsidR="00DC4E1C" w:rsidRDefault="00DC4E1C">
      <w:pPr>
        <w:rPr>
          <w:rFonts w:ascii="Times New Roman" w:eastAsia="Times New Roman" w:hAnsi="Times New Roman" w:cs="Times New Roman"/>
        </w:rPr>
      </w:pPr>
    </w:p>
    <w:p w:rsidR="00DC4E1C" w:rsidRDefault="00DC4E1C">
      <w:pPr>
        <w:rPr>
          <w:rFonts w:ascii="Times New Roman" w:eastAsia="Times New Roman" w:hAnsi="Times New Roman" w:cs="Times New Roman"/>
        </w:rPr>
      </w:pPr>
    </w:p>
    <w:p w:rsidR="00DC4E1C" w:rsidRDefault="00DC4E1C">
      <w:pPr>
        <w:rPr>
          <w:rFonts w:ascii="Times New Roman" w:eastAsia="Times New Roman" w:hAnsi="Times New Roman" w:cs="Times New Roman"/>
        </w:rPr>
      </w:pPr>
    </w:p>
    <w:p w:rsidR="00DC4E1C"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Contributions (equal):</w:t>
      </w:r>
    </w:p>
    <w:p w:rsidR="00DC4E1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 1: Mohammad Seraj</w:t>
      </w:r>
    </w:p>
    <w:p w:rsidR="00DC4E1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 2: Surabhi Singh</w:t>
      </w:r>
    </w:p>
    <w:p w:rsidR="00DC4E1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Model 3: Vindhya </w:t>
      </w:r>
      <w:proofErr w:type="spellStart"/>
      <w:r>
        <w:rPr>
          <w:rFonts w:ascii="Times New Roman" w:eastAsia="Times New Roman" w:hAnsi="Times New Roman" w:cs="Times New Roman"/>
          <w:b/>
          <w:sz w:val="28"/>
          <w:szCs w:val="28"/>
        </w:rPr>
        <w:t>Regonda</w:t>
      </w:r>
      <w:proofErr w:type="spellEnd"/>
    </w:p>
    <w:p w:rsidR="00DC4E1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 4: Manvendra Nema</w:t>
      </w:r>
    </w:p>
    <w:p w:rsidR="00DC4E1C" w:rsidRDefault="00DC4E1C">
      <w:pPr>
        <w:rPr>
          <w:rFonts w:ascii="Times New Roman" w:eastAsia="Times New Roman" w:hAnsi="Times New Roman" w:cs="Times New Roman"/>
          <w:b/>
          <w:sz w:val="28"/>
          <w:szCs w:val="28"/>
        </w:rPr>
      </w:pPr>
    </w:p>
    <w:sectPr w:rsidR="00DC4E1C">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97B9B" w:rsidRDefault="00397B9B">
      <w:pPr>
        <w:spacing w:line="240" w:lineRule="auto"/>
      </w:pPr>
      <w:r>
        <w:separator/>
      </w:r>
    </w:p>
  </w:endnote>
  <w:endnote w:type="continuationSeparator" w:id="0">
    <w:p w:rsidR="00397B9B" w:rsidRDefault="00397B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97B9B" w:rsidRDefault="00397B9B">
      <w:pPr>
        <w:spacing w:line="240" w:lineRule="auto"/>
      </w:pPr>
      <w:r>
        <w:separator/>
      </w:r>
    </w:p>
  </w:footnote>
  <w:footnote w:type="continuationSeparator" w:id="0">
    <w:p w:rsidR="00397B9B" w:rsidRDefault="00397B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C4E1C" w:rsidRDefault="00DC4E1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E1C"/>
    <w:rsid w:val="00315402"/>
    <w:rsid w:val="00397B9B"/>
    <w:rsid w:val="003D755A"/>
    <w:rsid w:val="00DC4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9E65"/>
  <w15:docId w15:val="{CD61865B-D292-495D-9BCD-3EA9F210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7Gys1UeYNUL9UGb+xlIk7u7jvQ==">CgMxLjA4AHIhMUI2ZWp2NUY5QWpQd2d0dlYtQm14ZVhnR3lFVVZtSW84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Manvendra Kumar Nema</cp:lastModifiedBy>
  <cp:revision>3</cp:revision>
  <dcterms:created xsi:type="dcterms:W3CDTF">2024-08-04T08:46:00Z</dcterms:created>
  <dcterms:modified xsi:type="dcterms:W3CDTF">2024-08-04T08:47:00Z</dcterms:modified>
</cp:coreProperties>
</file>