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Product Capabilities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Product Capabilities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Executives · Sales · Leadership · Prospects</w:t>
            </w:r>
          </w:p>
          <w:p>
            <w:pPr>
              <w:spacing w:before="40" w:after="40" w:line="276" w:lineRule="auto"/>
            </w:pPr>
            <w:r>
              <w:rPr>
                <w:rFonts w:ascii="Segoe UI" w:hAnsi="Segoe UI"/>
                <w:b/>
                <w:color w:val="0D1B2A"/>
                <w:sz w:val="20"/>
              </w:rPr>
              <w:t xml:space="preserve">Date:  </w:t>
            </w:r>
            <w:r>
              <w:rPr>
                <w:rFonts w:ascii="Segoe UI" w:hAnsi="Segoe UI"/>
                <w:color w:val="1C1C1E"/>
                <w:sz w:val="20"/>
              </w:rPr>
              <w:t>24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Commercial in Confidence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Summary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Overview</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The 12 Core Capabilities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Key Differentiators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Capability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Screenshots Gallery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 Technical Compatibility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bl>
    <w:p>
      <w:pPr>
        <w:spacing w:after="240"/>
      </w:pPr>
    </w:p>
    <w:p>
      <w:r>
        <w:br w:type="page"/>
      </w:r>
    </w:p>
    <w:p>
      <w:pPr>
        <w:pStyle w:val="Heading1"/>
        <w:keepNext/>
        <w:spacing w:before="480" w:after="160"/>
      </w:pPr>
      <w:r>
        <w:rPr>
          <w:rFonts w:ascii="Segoe UI" w:hAnsi="Segoe UI"/>
          <w:color w:val="0D1B2A"/>
        </w:rPr>
        <w:t>Executive Summary</w:t>
      </w:r>
    </w:p>
    <w:p>
      <w:pPr>
        <w:pBdr>
          <w:bottom w:val="single" w:sz="6" w:space="1" w:color="00C2A8"/>
        </w:pBdr>
        <w:spacing w:before="0" w:after="120"/>
      </w:pPr>
    </w:p>
    <w:p>
      <w:pPr>
        <w:spacing w:before="0" w:after="200"/>
      </w:pPr>
      <w:r>
        <w:rPr>
          <w:rFonts w:ascii="Segoe UI" w:hAnsi="Segoe UI"/>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keepNext/>
        <w:spacing w:before="320" w:after="120"/>
      </w:pPr>
      <w:r>
        <w:rPr>
          <w:rFonts w:ascii="Segoe UI" w:hAnsi="Segoe UI"/>
          <w:color w:val="1E9ED5"/>
        </w:rPr>
        <w:t>Three Core Value Pillars</w:t>
      </w:r>
    </w:p>
    <w:tbl>
      <w:tblPr>
        <w:tblW w:type="auto" w:w="0"/>
        <w:jc w:val="center"/>
        <w:tblLook w:firstColumn="1" w:firstRow="1" w:lastColumn="0" w:lastRow="0" w:noHBand="0" w:noVBand="1" w:val="04A0"/>
      </w:tblPr>
      <w:tblGrid>
        <w:gridCol w:w="2880"/>
        <w:gridCol w:w="2880"/>
        <w:gridCol w:w="288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Pillar</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Promise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Capabilities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Know the true state of your project at every moment — not just at the weekly status meeting.</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Index · EVM Analytics · 30-Day Heatmap · Burn-up Projections · Audit Trail</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CONTROL</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on problems before they become crises. Every risk, resource constraint, and dependency is surfaced and actionable.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 · Weekly Scheduler · Conflict Resolver · Gantt Timeline · Defect Lifecycle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Make data-driven decisions with confidence. Simulate scenarios, forecast outcomes, and present board-ready insights in one click.</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Sandbox · Copilot Auto-Resolver · EVM Metrics · Executive Board Packs · Schedule Baselines</w:t>
            </w:r>
          </w:p>
        </w:tc>
      </w:tr>
    </w:tbl>
    <w:p>
      <w:pPr>
        <w:spacing w:after="160"/>
      </w:pPr>
    </w:p>
    <w:p>
      <w:pPr>
        <w:pStyle w:val="Heading2"/>
        <w:keepNext/>
        <w:spacing w:before="320" w:after="120"/>
      </w:pPr>
      <w:r>
        <w:rPr>
          <w:rFonts w:ascii="Segoe UI" w:hAnsi="Segoe UI"/>
          <w:color w:val="1E9ED5"/>
        </w:rPr>
        <w:t>Who Is ProjectPulse For?</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Persona</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Primary Use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Views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Day-to-day project oversight, conflict resolution, resource management.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 Scheduler · Team Hub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Manager</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progress, stakeholder communication, risk governance.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 RAID Register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 Sponsor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High-level health signals, milestone confidence, board reporting.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 · Board Packs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Lead</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lifecycle management, severity tracking, release readiness.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planning, dependency management, baseline tracking.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 · Delivery Matrix · Baselines</w:t>
            </w:r>
          </w:p>
        </w:tc>
      </w:tr>
    </w:tbl>
    <w:p>
      <w:pPr>
        <w:spacing w:after="160"/>
      </w:pPr>
    </w:p>
    <w:p>
      <w:r>
        <w:br w:type="page"/>
      </w:r>
    </w:p>
    <w:p>
      <w:pPr>
        <w:pStyle w:val="Heading1"/>
        <w:keepNext/>
        <w:spacing w:before="480" w:after="160"/>
      </w:pPr>
      <w:r>
        <w:rPr>
          <w:rFonts w:ascii="Segoe UI" w:hAnsi="Segoe UI"/>
          <w:color w:val="0D1B2A"/>
        </w:rPr>
        <w:t>1  Product Overview</w:t>
      </w:r>
    </w:p>
    <w:p>
      <w:pPr>
        <w:pBdr>
          <w:bottom w:val="single" w:sz="6" w:space="1" w:color="00C2A8"/>
        </w:pBdr>
        <w:spacing w:before="0" w:after="120"/>
      </w:pPr>
    </w:p>
    <w:p>
      <w:pPr>
        <w:spacing w:before="0" w:after="200"/>
      </w:pPr>
      <w:r>
        <w:rPr>
          <w:rFonts w:ascii="Segoe UI" w:hAnsi="Segoe UI"/>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keepNext/>
        <w:spacing w:before="320" w:after="120"/>
      </w:pPr>
      <w:r>
        <w:rPr>
          <w:rFonts w:ascii="Segoe UI" w:hAnsi="Segoe UI"/>
          <w:color w:val="1E9ED5"/>
        </w:rPr>
        <w:t>1.1  The 12 Core Modules</w:t>
      </w:r>
    </w:p>
    <w:tbl>
      <w:tblPr>
        <w:tblW w:type="auto" w:w="0"/>
        <w:jc w:val="center"/>
        <w:tblLook w:firstColumn="1" w:firstRow="1" w:lastColumn="0" w:lastRow="0" w:noHBand="0" w:noVBand="1" w:val="04A0"/>
      </w:tblPr>
      <w:tblGrid>
        <w:gridCol w:w="2880"/>
        <w:gridCol w:w="2880"/>
        <w:gridCol w:w="2880"/>
      </w:tblGrid>
      <w:tr>
        <w:tc>
          <w:tcPr>
            <w:tcW w:type="dxa" w:w="4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One-Line Description</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signals, KPI cards, and the predictive what-if sandbox.</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EVM suite, burn-up projections, velocity tracking, and 30-day activity heatmap.</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Hierarchical Delivery Matrix</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Spreadsheet-style task grid with parent-child hierarchies, inline editing, and status workflows.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visual timeline with dependency arrows, drag-to-reschedule, and baseline overlay.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capacity heatmap with over-allocation detection and Copilot auto-resolution.</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Unified Risk, Assumption, Issue, and Dependency register with exposure scoring.</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profiles, capacity parameters, leave management, and utilisation tracking.</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bug lifecycle from logging through fix, retest, and closure — linked to tasks.</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One-click Executive Board Pack and multi-sheet Excel workbook export.</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activity stream with before/after diff payloads for traceability.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Snapshot-based baseline management with variance and slippage analysis.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Configuration</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Flexible dropdown management, custom fields, 20 visual themes, and effort unit switching.</w:t>
            </w:r>
          </w:p>
        </w:tc>
      </w:tr>
    </w:tbl>
    <w:p>
      <w:pPr>
        <w:spacing w:after="160"/>
      </w:pPr>
    </w:p>
    <w:p>
      <w:pPr>
        <w:pStyle w:val="Heading2"/>
        <w:keepNext/>
        <w:spacing w:before="320" w:after="120"/>
      </w:pPr>
      <w:r>
        <w:rPr>
          <w:rFonts w:ascii="Segoe UI" w:hAnsi="Segoe UI"/>
          <w:color w:val="1E9ED5"/>
        </w:rPr>
        <w:t>1.2  Architecture at a Glance</w:t>
      </w: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Deployment Model</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Zero-backend — runs entirely in the browser</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Persistence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(pp-data key) + Excel export</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Rendering Engine</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Native HTML5, CSS3, SVG — no framework dependencies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 Engine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single-pass buildDashCache computation model</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Technology</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ExcelJS (in-browser workbook generation)</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Theme System</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20 curated visual themes with dark/light mode override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Edge 110+, Firefox 115+, Safari 16+</w:t>
            </w:r>
          </w:p>
        </w:tc>
      </w:tr>
    </w:tbl>
    <w:p>
      <w:pPr>
        <w:spacing w:after="160"/>
      </w:pPr>
    </w:p>
    <w:p>
      <w:pPr>
        <w:pStyle w:val="Heading2"/>
        <w:keepNext/>
        <w:spacing w:before="320" w:after="120"/>
      </w:pPr>
      <w:r>
        <w:rPr>
          <w:rFonts w:ascii="Segoe UI" w:hAnsi="Segoe UI"/>
          <w:color w:val="1E9ED5"/>
        </w:rPr>
        <w:t>1.3  System Architecture Design &amp; Data Flow Lifecycle</w:t>
      </w:r>
    </w:p>
    <w:p>
      <w:pPr>
        <w:spacing w:before="0" w:after="160"/>
      </w:pPr>
      <w:r>
        <w:rPr>
          <w:rFonts w:ascii="Segoe UI" w:hAnsi="Segoe UI"/>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 — ProjectPulse Client-Side SPA System Architecture &amp; Data Flow</w:t>
      </w:r>
    </w:p>
    <w:p>
      <w:r>
        <w:br w:type="page"/>
      </w:r>
    </w:p>
    <w:p>
      <w:pPr>
        <w:pStyle w:val="Heading1"/>
        <w:keepNext/>
        <w:spacing w:before="480" w:after="160"/>
      </w:pPr>
      <w:r>
        <w:rPr>
          <w:rFonts w:ascii="Segoe UI" w:hAnsi="Segoe UI"/>
          <w:color w:val="0D1B2A"/>
        </w:rPr>
        <w:t>2  The 12 Core Capabilities</w:t>
      </w:r>
    </w:p>
    <w:p>
      <w:pPr>
        <w:pBdr>
          <w:bottom w:val="single" w:sz="6" w:space="1" w:color="00C2A8"/>
        </w:pBdr>
        <w:spacing w:before="0" w:after="120"/>
      </w:pPr>
    </w:p>
    <w:p>
      <w:pPr>
        <w:spacing w:before="0" w:after="200"/>
      </w:pPr>
      <w:r>
        <w:rPr>
          <w:rFonts w:ascii="Segoe UI" w:hAnsi="Segoe UI"/>
          <w:sz w:val="21"/>
        </w:rPr>
        <w:t>Each of the 12 modules delivers a distinct, high-value capability. Together they form a complete project intelligence platform that eliminates the need for multiple disconnected tools.</w:t>
      </w:r>
    </w:p>
    <w:p>
      <w:pPr>
        <w:pStyle w:val="Heading2"/>
        <w:keepNext/>
        <w:spacing w:before="320" w:after="120"/>
      </w:pPr>
      <w:r>
        <w:rPr>
          <w:rFonts w:ascii="Segoe UI" w:hAnsi="Segoe UI"/>
          <w:color w:val="1E9ED5"/>
        </w:rPr>
        <w:t>2.1  Executive Command Centre</w:t>
      </w:r>
    </w:p>
    <w:p>
      <w:pPr>
        <w:spacing w:before="0" w:after="160"/>
      </w:pPr>
      <w:r>
        <w:rPr>
          <w:rFonts w:ascii="Segoe UI" w:hAnsi="Segoe UI"/>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Executive Overview Dashboard: Health Gauge, KPI Cards, and Predictive Sandbox</w:t>
      </w:r>
    </w:p>
    <w:p/>
    <w:p>
      <w:pPr>
        <w:pStyle w:val="Heading2"/>
        <w:keepNext/>
        <w:spacing w:before="320" w:after="120"/>
      </w:pPr>
      <w:r>
        <w:rPr>
          <w:rFonts w:ascii="Segoe UI" w:hAnsi="Segoe UI"/>
          <w:color w:val="1E9ED5"/>
        </w:rPr>
        <w:t>2.2  Live Analytics &amp; EVM Intelligence</w:t>
      </w:r>
    </w:p>
    <w:p>
      <w:pPr>
        <w:spacing w:before="0" w:after="160"/>
      </w:pPr>
      <w:r>
        <w:rPr>
          <w:rFonts w:ascii="Segoe UI" w:hAnsi="Segoe UI"/>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2.2 — Live Insights: EVM Performance Metrics, Burn-up Chart, and Weekly Velocity</w:t>
      </w:r>
    </w:p>
    <w:p/>
    <w:p>
      <w:pPr>
        <w:pStyle w:val="Heading2"/>
        <w:keepNext/>
        <w:spacing w:before="320" w:after="120"/>
      </w:pPr>
      <w:r>
        <w:rPr>
          <w:rFonts w:ascii="Segoe UI" w:hAnsi="Segoe UI"/>
          <w:color w:val="1E9ED5"/>
        </w:rPr>
        <w:t>2.3  Hierarchical Delivery Matrix</w:t>
      </w:r>
    </w:p>
    <w:p>
      <w:pPr>
        <w:spacing w:before="0" w:after="160"/>
      </w:pPr>
      <w:r>
        <w:rPr>
          <w:rFonts w:ascii="Segoe UI" w:hAnsi="Segoe UI"/>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2.3 — Hierarchical Delivery Matrix: parent tasks, subtasks, status pills, inline editing</w:t>
      </w:r>
    </w:p>
    <w:p/>
    <w:p>
      <w:pPr>
        <w:pStyle w:val="Heading2"/>
        <w:keepNext/>
        <w:spacing w:before="320" w:after="120"/>
      </w:pPr>
      <w:r>
        <w:rPr>
          <w:rFonts w:ascii="Segoe UI" w:hAnsi="Segoe UI"/>
          <w:color w:val="1E9ED5"/>
        </w:rPr>
        <w:t>2.4  Visual Gantt &amp; Dependency Graph</w:t>
      </w:r>
    </w:p>
    <w:p>
      <w:pPr>
        <w:spacing w:before="0" w:after="160"/>
      </w:pPr>
      <w:r>
        <w:rPr>
          <w:rFonts w:ascii="Segoe UI" w:hAnsi="Segoe UI"/>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2.4 — Gantt Timeline: dependency arrows, baseline overlay, and drag-to-reschedule</w:t>
      </w:r>
    </w:p>
    <w:p/>
    <w:p>
      <w:pPr>
        <w:pStyle w:val="Heading2"/>
        <w:keepNext/>
        <w:spacing w:before="320" w:after="120"/>
      </w:pPr>
      <w:r>
        <w:rPr>
          <w:rFonts w:ascii="Segoe UI" w:hAnsi="Segoe UI"/>
          <w:color w:val="1E9ED5"/>
        </w:rPr>
        <w:t>2.5  Smart Resource Scheduler</w:t>
      </w:r>
    </w:p>
    <w:p>
      <w:pPr>
        <w:spacing w:before="0" w:after="160"/>
      </w:pPr>
      <w:r>
        <w:rPr>
          <w:rFonts w:ascii="Segoe UI" w:hAnsi="Segoe UI"/>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2.5 — Weekly Scheduler: resource heatmap, over-allocation alerts, and Copilot Cockpit</w:t>
      </w:r>
    </w:p>
    <w:p/>
    <w:p>
      <w:pPr>
        <w:pStyle w:val="Heading2"/>
        <w:keepNext/>
        <w:spacing w:before="320" w:after="120"/>
      </w:pPr>
      <w:r>
        <w:rPr>
          <w:rFonts w:ascii="Segoe UI" w:hAnsi="Segoe UI"/>
          <w:color w:val="1E9ED5"/>
        </w:rPr>
        <w:t>2.6  RAID Risk Governance</w:t>
      </w:r>
    </w:p>
    <w:p>
      <w:pPr>
        <w:spacing w:before="0" w:after="160"/>
      </w:pPr>
      <w:r>
        <w:rPr>
          <w:rFonts w:ascii="Segoe UI" w:hAnsi="Segoe UI"/>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2.6 — Unified RAID Register: risk matrix, RAID items, and exposure scoring</w:t>
      </w:r>
    </w:p>
    <w:p/>
    <w:p>
      <w:pPr>
        <w:pStyle w:val="Heading2"/>
        <w:keepNext/>
        <w:spacing w:before="320" w:after="120"/>
      </w:pPr>
      <w:r>
        <w:rPr>
          <w:rFonts w:ascii="Segoe UI" w:hAnsi="Segoe UI"/>
          <w:color w:val="1E9ED5"/>
        </w:rPr>
        <w:t>2.7  Team Capacity Hub</w:t>
      </w:r>
    </w:p>
    <w:p>
      <w:pPr>
        <w:spacing w:before="0" w:after="160"/>
      </w:pPr>
      <w:r>
        <w:rPr>
          <w:rFonts w:ascii="Segoe UI" w:hAnsi="Segoe UI"/>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2.7 — Team Capacity Hub: member utilisation bars and leave calendar integration</w:t>
      </w:r>
    </w:p>
    <w:p/>
    <w:p>
      <w:pPr>
        <w:pStyle w:val="Heading2"/>
        <w:keepNext/>
        <w:spacing w:before="320" w:after="120"/>
      </w:pPr>
      <w:r>
        <w:rPr>
          <w:rFonts w:ascii="Segoe UI" w:hAnsi="Segoe UI"/>
          <w:color w:val="1E9ED5"/>
        </w:rPr>
        <w:t>2.8  Defect Lifecycle Management</w:t>
      </w:r>
    </w:p>
    <w:p>
      <w:pPr>
        <w:spacing w:before="0" w:after="160"/>
      </w:pPr>
      <w:r>
        <w:rPr>
          <w:rFonts w:ascii="Segoe UI" w:hAnsi="Segoe UI"/>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2.8 — Defect Tracker: severity cards, defect register, and lifecycle workflow</w:t>
      </w:r>
    </w:p>
    <w:p/>
    <w:p>
      <w:pPr>
        <w:pStyle w:val="Heading2"/>
        <w:keepNext/>
        <w:spacing w:before="320" w:after="120"/>
      </w:pPr>
      <w:r>
        <w:rPr>
          <w:rFonts w:ascii="Segoe UI" w:hAnsi="Segoe UI"/>
          <w:color w:val="1E9ED5"/>
        </w:rPr>
        <w:t>2.9  Stakeholder Board Packs &amp; Reporting</w:t>
      </w:r>
    </w:p>
    <w:p>
      <w:pPr>
        <w:spacing w:before="0" w:after="160"/>
      </w:pPr>
      <w:r>
        <w:rPr>
          <w:rFonts w:ascii="Segoe UI" w:hAnsi="Segoe UI"/>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215286"/>
            <wp:docPr id="11" name="Picture 11"/>
            <wp:cNvGraphicFramePr>
              <a:graphicFrameLocks noChangeAspect="1"/>
            </wp:cNvGraphicFramePr>
            <a:graphic>
              <a:graphicData uri="http://schemas.openxmlformats.org/drawingml/2006/picture">
                <pic:pic>
                  <pic:nvPicPr>
                    <pic:cNvPr id="0" name="report_workflow.png"/>
                    <pic:cNvPicPr/>
                  </pic:nvPicPr>
                  <pic:blipFill>
                    <a:blip r:embed="rId2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2.9b — Report Compilation and Board Pack Export Pipeline Flow</w:t>
      </w:r>
    </w:p>
    <w:p/>
    <w:p>
      <w:pPr>
        <w:pStyle w:val="Heading2"/>
        <w:keepNext/>
        <w:spacing w:before="320" w:after="120"/>
      </w:pPr>
      <w:r>
        <w:rPr>
          <w:rFonts w:ascii="Segoe UI" w:hAnsi="Segoe UI"/>
          <w:color w:val="1E9ED5"/>
        </w:rPr>
        <w:t>2.10  Immutable Audit Trail</w:t>
      </w:r>
    </w:p>
    <w:p>
      <w:pPr>
        <w:spacing w:before="0" w:after="160"/>
      </w:pPr>
      <w:r>
        <w:rPr>
          <w:rFonts w:ascii="Segoe UI" w:hAnsi="Segoe UI"/>
          <w:sz w:val="21"/>
        </w:rPr>
        <w:t>Every state mutation — task creation, status change, RAID update, member modification — is captured in an immutable, timestamped audit log with full before/after diff payloads. Teams can trace any change back to who made it, when, and why, allowing manual recovery if needed.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2.10 — Audit Log: chronological activity stream with diff payloads</w:t>
      </w:r>
    </w:p>
    <w:p/>
    <w:p>
      <w:pPr>
        <w:pStyle w:val="Heading2"/>
        <w:keepNext/>
        <w:spacing w:before="320" w:after="120"/>
      </w:pPr>
      <w:r>
        <w:rPr>
          <w:rFonts w:ascii="Segoe UI" w:hAnsi="Segoe UI"/>
          <w:color w:val="1E9ED5"/>
        </w:rPr>
        <w:t>2.11  Schedule Baseline History</w:t>
      </w:r>
    </w:p>
    <w:p>
      <w:pPr>
        <w:spacing w:before="0" w:after="160"/>
      </w:pPr>
      <w:r>
        <w:rPr>
          <w:rFonts w:ascii="Segoe UI" w:hAnsi="Segoe UI"/>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keepNext/>
        <w:spacing w:before="320" w:after="120"/>
      </w:pPr>
      <w:r>
        <w:rPr>
          <w:rFonts w:ascii="Segoe UI" w:hAnsi="Segoe UI"/>
          <w:color w:val="1E9ED5"/>
        </w:rPr>
        <w:t>2.12  Flexible Configuration &amp; Theming</w:t>
      </w:r>
    </w:p>
    <w:p>
      <w:pPr>
        <w:spacing w:before="0" w:after="160"/>
      </w:pPr>
      <w:r>
        <w:rPr>
          <w:rFonts w:ascii="Segoe UI" w:hAnsi="Segoe UI"/>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2.12 — System Configuration: settings panel, dropdown manager, custom fields</w:t>
      </w:r>
    </w:p>
    <w:p/>
    <w:p>
      <w:r>
        <w:br w:type="page"/>
      </w:r>
    </w:p>
    <w:p>
      <w:pPr>
        <w:pStyle w:val="Heading1"/>
        <w:keepNext/>
        <w:spacing w:before="480" w:after="160"/>
      </w:pPr>
      <w:r>
        <w:rPr>
          <w:rFonts w:ascii="Segoe UI" w:hAnsi="Segoe UI"/>
          <w:color w:val="0D1B2A"/>
        </w:rPr>
        <w:t>3  Key Differentiators</w:t>
      </w:r>
    </w:p>
    <w:p>
      <w:pPr>
        <w:pBdr>
          <w:bottom w:val="single" w:sz="6" w:space="1" w:color="00C2A8"/>
        </w:pBdr>
        <w:spacing w:before="0" w:after="120"/>
      </w:pPr>
    </w:p>
    <w:p>
      <w:pPr>
        <w:spacing w:before="0" w:after="200"/>
      </w:pPr>
      <w:r>
        <w:rPr>
          <w:rFonts w:ascii="Segoe UI" w:hAnsi="Segoe UI"/>
          <w:sz w:val="21"/>
        </w:rPr>
        <w:t>ProjectPulse is purpose-built for software delivery teams who need more than a task list. The following capabilities set it apart from generic project management tools.</w:t>
      </w:r>
    </w:p>
    <w:p>
      <w:pPr>
        <w:pStyle w:val="Heading2"/>
        <w:keepNext/>
        <w:spacing w:before="320" w:after="120"/>
      </w:pPr>
      <w:r>
        <w:rPr>
          <w:rFonts w:ascii="Segoe UI" w:hAnsi="Segoe UI"/>
          <w:color w:val="1E9ED5"/>
        </w:rPr>
        <w:t>Health Intelligence Engine</w:t>
      </w:r>
    </w:p>
    <w:p>
      <w:pPr>
        <w:spacing w:before="0" w:after="200"/>
      </w:pPr>
      <w:r>
        <w:rPr>
          <w:rFonts w:ascii="Segoe UI" w:hAnsi="Segoe UI"/>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keepNext/>
        <w:spacing w:before="320" w:after="120"/>
      </w:pPr>
      <w:r>
        <w:rPr>
          <w:rFonts w:ascii="Segoe UI" w:hAnsi="Segoe UI"/>
          <w:color w:val="1E9ED5"/>
        </w:rPr>
        <w:t>What-If Predictive Sandbox</w:t>
      </w:r>
    </w:p>
    <w:p>
      <w:pPr>
        <w:spacing w:before="0" w:after="200"/>
      </w:pPr>
      <w:r>
        <w:rPr>
          <w:rFonts w:ascii="Segoe UI" w:hAnsi="Segoe UI"/>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keepNext/>
        <w:spacing w:before="320" w:after="120"/>
      </w:pPr>
      <w:r>
        <w:rPr>
          <w:rFonts w:ascii="Segoe UI" w:hAnsi="Segoe UI"/>
          <w:color w:val="1E9ED5"/>
        </w:rPr>
        <w:t>Automated Copilot Conflict Resolution</w:t>
      </w:r>
    </w:p>
    <w:p>
      <w:pPr>
        <w:spacing w:before="0" w:after="200"/>
      </w:pPr>
      <w:r>
        <w:rPr>
          <w:rFonts w:ascii="Segoe UI" w:hAnsi="Segoe UI"/>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keepNext/>
        <w:spacing w:before="320" w:after="120"/>
      </w:pPr>
      <w:r>
        <w:rPr>
          <w:rFonts w:ascii="Segoe UI" w:hAnsi="Segoe UI"/>
          <w:color w:val="1E9ED5"/>
        </w:rPr>
        <w:t>Zero-Backend Architecture</w:t>
      </w:r>
    </w:p>
    <w:p>
      <w:pPr>
        <w:spacing w:before="0" w:after="200"/>
      </w:pPr>
      <w:r>
        <w:rPr>
          <w:rFonts w:ascii="Segoe UI" w:hAnsi="Segoe UI"/>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keepNext/>
        <w:spacing w:before="480" w:after="160"/>
      </w:pPr>
      <w:r>
        <w:rPr>
          <w:rFonts w:ascii="Segoe UI" w:hAnsi="Segoe UI"/>
          <w:color w:val="0D1B2A"/>
        </w:rPr>
        <w:t>4  Capability Matrix</w:t>
      </w:r>
    </w:p>
    <w:p>
      <w:pPr>
        <w:pBdr>
          <w:bottom w:val="single" w:sz="6" w:space="1" w:color="00C2A8"/>
        </w:pBdr>
        <w:spacing w:before="0" w:after="120"/>
      </w:pPr>
    </w:p>
    <w:p>
      <w:pPr>
        <w:spacing w:before="0" w:after="200"/>
      </w:pPr>
      <w:r>
        <w:rPr>
          <w:rFonts w:ascii="Segoe UI" w:hAnsi="Segoe UI"/>
          <w:sz w:val="21"/>
        </w:rPr>
        <w:t>The table below maps each ProjectPulse module to the key capabilities it delivers. A tick indicates that the capability is fully supported within that module.</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Real-Time Data</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Inline Editing</w:t>
            </w:r>
          </w:p>
        </w:tc>
        <w:tc>
          <w:tcPr>
            <w:tcW w:type="dxa" w:w="10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Export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Analytics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Scheduling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Governance</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Configuration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bl>
    <w:p>
      <w:pPr>
        <w:spacing w:after="160"/>
      </w:pPr>
    </w:p>
    <w:p>
      <w:r>
        <w:br w:type="page"/>
      </w:r>
    </w:p>
    <w:p>
      <w:pPr>
        <w:pStyle w:val="Heading1"/>
        <w:keepNext/>
        <w:spacing w:before="480" w:after="160"/>
      </w:pPr>
      <w:r>
        <w:rPr>
          <w:rFonts w:ascii="Segoe UI" w:hAnsi="Segoe UI"/>
          <w:color w:val="0D1B2A"/>
        </w:rPr>
        <w:t>5  Application Screenshots Gallery</w:t>
      </w:r>
    </w:p>
    <w:p>
      <w:pPr>
        <w:pBdr>
          <w:bottom w:val="single" w:sz="6" w:space="1" w:color="00C2A8"/>
        </w:pBdr>
        <w:spacing w:before="0" w:after="120"/>
      </w:pPr>
    </w:p>
    <w:p>
      <w:pPr>
        <w:spacing w:before="0" w:after="240"/>
      </w:pPr>
      <w:r>
        <w:rPr>
          <w:rFonts w:ascii="Segoe UI" w:hAnsi="Segoe UI"/>
          <w:sz w:val="21"/>
        </w:rPr>
        <w:t>The following screenshots show ProjectPulse loaded with a representative software delivery project ('Phoenix Platform v2.0'), demonstrating the application at full operational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Executive Overview Dashboard — Health Gauge, KPI Cards, and Predictive Sandbox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Hierarchical Delivery Matrix — parent tasks, subtasks, status pills, and inline controls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Gantt Timeline — dependency arrows, baseline overlay, and today marker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Weekly Scheduler — resource heatmap, over-allocation detection, and Copilot Cockpit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RAID Register — risk classification, exposure scoring, and item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Team Capacity Hub — member profiles, utilisation bars, and leave calendar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Defect Tracker — severity cards, defect register, and lifecycle workflow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Reports &amp; Board Packs — export builder and workbook preview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2" name="Picture 2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Audit Log — chronological activity stream with diff payloads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3" name="Picture 2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System Configuration — general settings, dropdown manager, and custom fields</w:t>
      </w:r>
    </w:p>
    <w:p>
      <w:r>
        <w:br w:type="page"/>
      </w:r>
    </w:p>
    <w:p>
      <w:pPr>
        <w:pStyle w:val="Heading1"/>
        <w:keepNext/>
        <w:spacing w:before="480" w:after="160"/>
      </w:pPr>
      <w:r>
        <w:rPr>
          <w:rFonts w:ascii="Segoe UI" w:hAnsi="Segoe UI"/>
          <w:color w:val="0D1B2A"/>
        </w:rPr>
        <w:t>Appendix — Technical Compatibility &amp; Deployment</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Item</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Specification</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Microsoft Edge 110+, Firefox 115+, Safari 16+</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Installation</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 — open projectpulse.html in any supported browser</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Internet Connection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required — fully offline-capable</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Storage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(~5MB per origin, sufficient for 500+ tasks)</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Format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Excel (.xlsx) — generated in-browser via ExcelJS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File Sync</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file system sync via File System Access API (Chrome/Edge only)</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Resolution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Minimum 1280 x 768px recommended for full grid views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Support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Responsive layout for tablet (768px+). Limited functionality on mobile.</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Product Capabilities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