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rFonts w:ascii="Segoe UI" w:hAnsi="Segoe UI"/>
          <w:b/>
          <w:color w:val="0D1B2A"/>
          <w:sz w:val="88"/>
        </w:rPr>
        <w:t>ProjectPulse</w:t>
      </w:r>
    </w:p>
    <w:p>
      <w:pPr>
        <w:jc w:val="center"/>
      </w:pPr>
      <w:r>
        <w:rPr>
          <w:rFonts w:ascii="Segoe UI" w:hAnsi="Segoe UI"/>
          <w:color w:val="00C2A8"/>
          <w:sz w:val="40"/>
        </w:rPr>
        <w:t>Functional Specification Document</w:t>
      </w:r>
    </w:p>
    <w:p>
      <w:r>
        <w:br/>
      </w:r>
    </w:p>
    <w:p>
      <w:pPr>
        <w:jc w:val="center"/>
      </w:pPr>
      <w:r>
        <w:rPr>
          <w:rFonts w:ascii="Segoe UI" w:hAnsi="Segoe UI"/>
          <w:color w:val="00C2A8"/>
          <w:sz w:val="24"/>
        </w:rPr>
        <w:t>────────────────────────────────────────────────────────────</w:t>
      </w:r>
    </w:p>
    <w:p>
      <w:r>
        <w:br/>
      </w:r>
    </w:p>
    <w:tbl>
      <w:tblPr>
        <w:tblW w:type="auto" w:w="0"/>
        <w:jc w:val="center"/>
        <w:tblLook w:firstColumn="1" w:firstRow="1" w:lastColumn="0" w:lastRow="0" w:noHBand="0" w:noVBand="1" w:val="04A0"/>
      </w:tblPr>
      <w:tblGrid>
        <w:gridCol w:w="4536"/>
        <w:gridCol w:w="4536"/>
      </w:tblGrid>
      <w:tr>
        <w:tc>
          <w:tcPr>
            <w:tcW w:type="dxa" w:w="2880"/>
            <w:shd w:val="clear" w:color="auto" w:fill="0D1B2A"/>
          </w:tcPr>
          <w:p>
            <w:pPr>
              <w:jc w:val="right"/>
            </w:pPr>
            <w:r>
              <w:rPr>
                <w:rFonts w:ascii="Segoe UI" w:hAnsi="Segoe UI"/>
                <w:b/>
                <w:color w:val="FFFFFF"/>
                <w:sz w:val="19"/>
              </w:rPr>
              <w:t>Document Type</w:t>
            </w:r>
          </w:p>
        </w:tc>
        <w:tc>
          <w:tcPr>
            <w:tcW w:type="dxa" w:w="5040"/>
            <w:shd w:val="clear" w:color="auto" w:fill="F4F7FA"/>
          </w:tcPr>
          <w:p>
            <w:r>
              <w:rPr>
                <w:rFonts w:ascii="Segoe UI" w:hAnsi="Segoe UI"/>
                <w:color w:val="1C1C1E"/>
                <w:sz w:val="19"/>
              </w:rPr>
              <w:t>Functional Specification Document</w:t>
            </w:r>
          </w:p>
        </w:tc>
      </w:tr>
      <w:tr>
        <w:tc>
          <w:tcPr>
            <w:tcW w:type="dxa" w:w="2880"/>
            <w:shd w:val="clear" w:color="auto" w:fill="0D1B2A"/>
          </w:tcPr>
          <w:p>
            <w:pPr>
              <w:jc w:val="right"/>
            </w:pPr>
            <w:r>
              <w:rPr>
                <w:rFonts w:ascii="Segoe UI" w:hAnsi="Segoe UI"/>
                <w:b/>
                <w:color w:val="FFFFFF"/>
                <w:sz w:val="19"/>
              </w:rPr>
              <w:t>Version</w:t>
            </w:r>
          </w:p>
        </w:tc>
        <w:tc>
          <w:tcPr>
            <w:tcW w:type="dxa" w:w="5040"/>
            <w:shd w:val="clear" w:color="auto" w:fill="F4F7FA"/>
          </w:tcPr>
          <w:p>
            <w:r>
              <w:rPr>
                <w:rFonts w:ascii="Segoe UI" w:hAnsi="Segoe UI"/>
                <w:color w:val="1C1C1E"/>
                <w:sz w:val="19"/>
              </w:rPr>
              <w:t>v2.1.0</w:t>
            </w:r>
          </w:p>
        </w:tc>
      </w:tr>
      <w:tr>
        <w:tc>
          <w:tcPr>
            <w:tcW w:type="dxa" w:w="2880"/>
            <w:shd w:val="clear" w:color="auto" w:fill="0D1B2A"/>
          </w:tcPr>
          <w:p>
            <w:pPr>
              <w:jc w:val="right"/>
            </w:pPr>
            <w:r>
              <w:rPr>
                <w:rFonts w:ascii="Segoe UI" w:hAnsi="Segoe UI"/>
                <w:b/>
                <w:color w:val="FFFFFF"/>
                <w:sz w:val="19"/>
              </w:rPr>
              <w:t>Audience</w:t>
            </w:r>
          </w:p>
        </w:tc>
        <w:tc>
          <w:tcPr>
            <w:tcW w:type="dxa" w:w="5040"/>
            <w:shd w:val="clear" w:color="auto" w:fill="F4F7FA"/>
          </w:tcPr>
          <w:p>
            <w:r>
              <w:rPr>
                <w:rFonts w:ascii="Segoe UI" w:hAnsi="Segoe UI"/>
                <w:color w:val="1C1C1E"/>
                <w:sz w:val="19"/>
              </w:rPr>
              <w:t>Product Managers / Developers / QA Engineers / Business Analysts</w:t>
            </w:r>
          </w:p>
        </w:tc>
      </w:tr>
      <w:tr>
        <w:tc>
          <w:tcPr>
            <w:tcW w:type="dxa" w:w="2880"/>
            <w:shd w:val="clear" w:color="auto" w:fill="0D1B2A"/>
          </w:tcPr>
          <w:p>
            <w:pPr>
              <w:jc w:val="right"/>
            </w:pPr>
            <w:r>
              <w:rPr>
                <w:rFonts w:ascii="Segoe UI" w:hAnsi="Segoe UI"/>
                <w:b/>
                <w:color w:val="FFFFFF"/>
                <w:sz w:val="19"/>
              </w:rPr>
              <w:t>Date</w:t>
            </w:r>
          </w:p>
        </w:tc>
        <w:tc>
          <w:tcPr>
            <w:tcW w:type="dxa" w:w="5040"/>
            <w:shd w:val="clear" w:color="auto" w:fill="F4F7FA"/>
          </w:tcPr>
          <w:p>
            <w:r>
              <w:rPr>
                <w:rFonts w:ascii="Segoe UI" w:hAnsi="Segoe UI"/>
                <w:color w:val="1C1C1E"/>
                <w:sz w:val="19"/>
              </w:rPr>
              <w:t>14 June 2026</w:t>
            </w:r>
          </w:p>
        </w:tc>
      </w:tr>
      <w:tr>
        <w:tc>
          <w:tcPr>
            <w:tcW w:type="dxa" w:w="2880"/>
            <w:shd w:val="clear" w:color="auto" w:fill="0D1B2A"/>
          </w:tcPr>
          <w:p>
            <w:pPr>
              <w:jc w:val="right"/>
            </w:pPr>
            <w:r>
              <w:rPr>
                <w:rFonts w:ascii="Segoe UI" w:hAnsi="Segoe UI"/>
                <w:b/>
                <w:color w:val="FFFFFF"/>
                <w:sz w:val="19"/>
              </w:rPr>
              <w:t>Confidentiality</w:t>
            </w:r>
          </w:p>
        </w:tc>
        <w:tc>
          <w:tcPr>
            <w:tcW w:type="dxa" w:w="5040"/>
            <w:shd w:val="clear" w:color="auto" w:fill="F4F7FA"/>
          </w:tcPr>
          <w:p>
            <w:r>
              <w:rPr>
                <w:rFonts w:ascii="Segoe UI" w:hAnsi="Segoe UI"/>
                <w:color w:val="1C1C1E"/>
                <w:sz w:val="19"/>
              </w:rPr>
              <w:t>Internal - Restricted</w:t>
            </w:r>
          </w:p>
        </w:tc>
      </w:tr>
    </w:tbl>
    <w:p>
      <w:r>
        <w:br w:type="page"/>
      </w:r>
    </w:p>
    <w:p>
      <w:pPr>
        <w:pStyle w:val="Heading1"/>
        <w:keepNext/>
        <w:spacing w:before="360" w:after="120"/>
      </w:pPr>
      <w:r>
        <w:rPr>
          <w:rFonts w:ascii="Segoe UI" w:hAnsi="Segoe UI"/>
          <w:color w:val="0D1B2A"/>
        </w:rPr>
        <w:t>Document Control</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633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Value</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Document Title</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ProjectPulse - Functional Specification Document</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Version</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v2.1.0</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Approved</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Author(s)</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ProjectPulse Product Team</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Reviewer(s)</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Engineering Lead / QA Lead / Product Manager</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Review Date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14 June 2026</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Classification</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Internal - Restricted</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Next Review</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Quarterly or upon major feature release</w:t>
            </w:r>
          </w:p>
        </w:tc>
      </w:tr>
    </w:tbl>
    <w:p>
      <w:pPr>
        <w:spacing w:after="120"/>
      </w:pPr>
    </w:p>
    <w:p>
      <w:r>
        <w:br w:type="page"/>
      </w:r>
    </w:p>
    <w:p>
      <w:pPr>
        <w:pStyle w:val="Heading1"/>
        <w:keepNext/>
        <w:spacing w:before="360" w:after="120"/>
      </w:pPr>
      <w:r>
        <w:rPr>
          <w:rFonts w:ascii="Segoe UI" w:hAnsi="Segoe UI"/>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024"/>
        <w:gridCol w:w="3024"/>
        <w:gridCol w:w="3024"/>
      </w:tblGrid>
      <w:tr>
        <w:tc>
          <w:tcPr>
            <w:tcW w:type="dxa" w:w="720"/>
            <w:shd w:val="clear" w:color="auto" w:fill="F4F7FA"/>
          </w:tcPr>
          <w:p>
            <w:r>
              <w:rPr>
                <w:rFonts w:ascii="Segoe UI" w:hAnsi="Segoe UI"/>
                <w:b/>
                <w:color w:val="00C2A8"/>
                <w:sz w:val="20"/>
              </w:rPr>
              <w:t>I</w:t>
            </w:r>
          </w:p>
        </w:tc>
        <w:tc>
          <w:tcPr>
            <w:tcW w:type="dxa" w:w="7632"/>
            <w:shd w:val="clear" w:color="auto" w:fill="F4F7FA"/>
          </w:tcPr>
          <w:p>
            <w:r>
              <w:rPr>
                <w:rFonts w:ascii="Segoe UI" w:hAnsi="Segoe UI"/>
                <w:sz w:val="21"/>
              </w:rPr>
              <w:t>PART I — System Architecture &amp; Foundations</w:t>
            </w:r>
          </w:p>
        </w:tc>
        <w:tc>
          <w:tcPr>
            <w:tcW w:type="dxa" w:w="864"/>
            <w:shd w:val="clear" w:color="auto" w:fill="F4F7FA"/>
          </w:tcPr>
          <w:p>
            <w:pPr>
              <w:jc w:val="right"/>
            </w:pPr>
            <w:r>
              <w:rPr>
                <w:rFonts w:ascii="Segoe UI" w:hAnsi="Segoe UI"/>
                <w:color w:val="6C757D"/>
                <w:sz w:val="20"/>
              </w:rPr>
              <w:t>—</w:t>
            </w:r>
          </w:p>
        </w:tc>
      </w:tr>
      <w:tr>
        <w:tc>
          <w:tcPr>
            <w:tcW w:type="dxa" w:w="720"/>
            <w:shd w:val="clear" w:color="auto" w:fill="FFFFFF"/>
          </w:tcPr>
          <w:p>
            <w:r>
              <w:rPr>
                <w:rFonts w:ascii="Segoe UI" w:hAnsi="Segoe UI"/>
                <w:b/>
                <w:color w:val="00C2A8"/>
                <w:sz w:val="20"/>
              </w:rPr>
              <w:t>1</w:t>
            </w:r>
          </w:p>
        </w:tc>
        <w:tc>
          <w:tcPr>
            <w:tcW w:type="dxa" w:w="7632"/>
            <w:shd w:val="clear" w:color="auto" w:fill="FFFFFF"/>
          </w:tcPr>
          <w:p>
            <w:r>
              <w:rPr>
                <w:rFonts w:ascii="Segoe UI" w:hAnsi="Segoe UI"/>
                <w:sz w:val="21"/>
              </w:rPr>
              <w:t>Product Philosophy &amp; Design Principles</w:t>
            </w:r>
          </w:p>
        </w:tc>
        <w:tc>
          <w:tcPr>
            <w:tcW w:type="dxa" w:w="864"/>
            <w:shd w:val="clear" w:color="auto" w:fill="FFFFFF"/>
          </w:tcPr>
          <w:p>
            <w:pPr>
              <w:jc w:val="right"/>
            </w:pPr>
            <w:r>
              <w:rPr>
                <w:rFonts w:ascii="Segoe UI" w:hAnsi="Segoe UI"/>
                <w:color w:val="6C757D"/>
                <w:sz w:val="20"/>
              </w:rPr>
              <w:t>5</w:t>
            </w:r>
          </w:p>
        </w:tc>
      </w:tr>
      <w:tr>
        <w:tc>
          <w:tcPr>
            <w:tcW w:type="dxa" w:w="720"/>
            <w:shd w:val="clear" w:color="auto" w:fill="F4F7FA"/>
          </w:tcPr>
          <w:p>
            <w:r>
              <w:rPr>
                <w:rFonts w:ascii="Segoe UI" w:hAnsi="Segoe UI"/>
                <w:b/>
                <w:color w:val="00C2A8"/>
                <w:sz w:val="20"/>
              </w:rPr>
              <w:t>2</w:t>
            </w:r>
          </w:p>
        </w:tc>
        <w:tc>
          <w:tcPr>
            <w:tcW w:type="dxa" w:w="7632"/>
            <w:shd w:val="clear" w:color="auto" w:fill="F4F7FA"/>
          </w:tcPr>
          <w:p>
            <w:r>
              <w:rPr>
                <w:rFonts w:ascii="Segoe UI" w:hAnsi="Segoe UI"/>
                <w:sz w:val="21"/>
              </w:rPr>
              <w:t>Application Architecture</w:t>
            </w:r>
          </w:p>
        </w:tc>
        <w:tc>
          <w:tcPr>
            <w:tcW w:type="dxa" w:w="864"/>
            <w:shd w:val="clear" w:color="auto" w:fill="F4F7FA"/>
          </w:tcPr>
          <w:p>
            <w:pPr>
              <w:jc w:val="right"/>
            </w:pPr>
            <w:r>
              <w:rPr>
                <w:rFonts w:ascii="Segoe UI" w:hAnsi="Segoe UI"/>
                <w:color w:val="6C757D"/>
                <w:sz w:val="20"/>
              </w:rPr>
              <w:t>7</w:t>
            </w:r>
          </w:p>
        </w:tc>
      </w:tr>
      <w:tr>
        <w:tc>
          <w:tcPr>
            <w:tcW w:type="dxa" w:w="720"/>
            <w:shd w:val="clear" w:color="auto" w:fill="FFFFFF"/>
          </w:tcPr>
          <w:p>
            <w:r>
              <w:rPr>
                <w:rFonts w:ascii="Segoe UI" w:hAnsi="Segoe UI"/>
                <w:b/>
                <w:color w:val="00C2A8"/>
                <w:sz w:val="20"/>
              </w:rPr>
              <w:t>3</w:t>
            </w:r>
          </w:p>
        </w:tc>
        <w:tc>
          <w:tcPr>
            <w:tcW w:type="dxa" w:w="7632"/>
            <w:shd w:val="clear" w:color="auto" w:fill="FFFFFF"/>
          </w:tcPr>
          <w:p>
            <w:r>
              <w:rPr>
                <w:rFonts w:ascii="Segoe UI" w:hAnsi="Segoe UI"/>
                <w:sz w:val="21"/>
              </w:rPr>
              <w:t>Data Model &amp; Full Schema Reference</w:t>
            </w:r>
          </w:p>
        </w:tc>
        <w:tc>
          <w:tcPr>
            <w:tcW w:type="dxa" w:w="864"/>
            <w:shd w:val="clear" w:color="auto" w:fill="FFFFFF"/>
          </w:tcPr>
          <w:p>
            <w:pPr>
              <w:jc w:val="right"/>
            </w:pPr>
            <w:r>
              <w:rPr>
                <w:rFonts w:ascii="Segoe UI" w:hAnsi="Segoe UI"/>
                <w:color w:val="6C757D"/>
                <w:sz w:val="20"/>
              </w:rPr>
              <w:t>10</w:t>
            </w:r>
          </w:p>
        </w:tc>
      </w:tr>
      <w:tr>
        <w:tc>
          <w:tcPr>
            <w:tcW w:type="dxa" w:w="720"/>
            <w:shd w:val="clear" w:color="auto" w:fill="F4F7FA"/>
          </w:tcPr>
          <w:p>
            <w:r>
              <w:rPr>
                <w:rFonts w:ascii="Segoe UI" w:hAnsi="Segoe UI"/>
                <w:b/>
                <w:color w:val="00C2A8"/>
                <w:sz w:val="20"/>
              </w:rPr>
              <w:t>4</w:t>
            </w:r>
          </w:p>
        </w:tc>
        <w:tc>
          <w:tcPr>
            <w:tcW w:type="dxa" w:w="7632"/>
            <w:shd w:val="clear" w:color="auto" w:fill="F4F7FA"/>
          </w:tcPr>
          <w:p>
            <w:r>
              <w:rPr>
                <w:rFonts w:ascii="Segoe UI" w:hAnsi="Segoe UI"/>
                <w:sz w:val="21"/>
              </w:rPr>
              <w:t>Performance Caching: buildDashCache</w:t>
            </w:r>
          </w:p>
        </w:tc>
        <w:tc>
          <w:tcPr>
            <w:tcW w:type="dxa" w:w="864"/>
            <w:shd w:val="clear" w:color="auto" w:fill="F4F7FA"/>
          </w:tcPr>
          <w:p>
            <w:pPr>
              <w:jc w:val="right"/>
            </w:pPr>
            <w:r>
              <w:rPr>
                <w:rFonts w:ascii="Segoe UI" w:hAnsi="Segoe UI"/>
                <w:color w:val="6C757D"/>
                <w:sz w:val="20"/>
              </w:rPr>
              <w:t>18</w:t>
            </w:r>
          </w:p>
        </w:tc>
      </w:tr>
      <w:tr>
        <w:tc>
          <w:tcPr>
            <w:tcW w:type="dxa" w:w="720"/>
            <w:shd w:val="clear" w:color="auto" w:fill="FFFFFF"/>
          </w:tcPr>
          <w:p>
            <w:r>
              <w:rPr>
                <w:rFonts w:ascii="Segoe UI" w:hAnsi="Segoe UI"/>
                <w:b/>
                <w:color w:val="00C2A8"/>
                <w:sz w:val="20"/>
              </w:rPr>
              <w:t>5</w:t>
            </w:r>
          </w:p>
        </w:tc>
        <w:tc>
          <w:tcPr>
            <w:tcW w:type="dxa" w:w="7632"/>
            <w:shd w:val="clear" w:color="auto" w:fill="FFFFFF"/>
          </w:tcPr>
          <w:p>
            <w:r>
              <w:rPr>
                <w:rFonts w:ascii="Segoe UI" w:hAnsi="Segoe UI"/>
                <w:sz w:val="21"/>
              </w:rPr>
              <w:t>Global Configuration &amp; Settings Model</w:t>
            </w:r>
          </w:p>
        </w:tc>
        <w:tc>
          <w:tcPr>
            <w:tcW w:type="dxa" w:w="864"/>
            <w:shd w:val="clear" w:color="auto" w:fill="FFFFFF"/>
          </w:tcPr>
          <w:p>
            <w:pPr>
              <w:jc w:val="right"/>
            </w:pPr>
            <w:r>
              <w:rPr>
                <w:rFonts w:ascii="Segoe UI" w:hAnsi="Segoe UI"/>
                <w:color w:val="6C757D"/>
                <w:sz w:val="20"/>
              </w:rPr>
              <w:t>20</w:t>
            </w:r>
          </w:p>
        </w:tc>
      </w:tr>
      <w:tr>
        <w:tc>
          <w:tcPr>
            <w:tcW w:type="dxa" w:w="720"/>
            <w:shd w:val="clear" w:color="auto" w:fill="F4F7FA"/>
          </w:tcPr>
          <w:p>
            <w:r>
              <w:rPr>
                <w:rFonts w:ascii="Segoe UI" w:hAnsi="Segoe UI"/>
                <w:b/>
                <w:color w:val="00C2A8"/>
                <w:sz w:val="20"/>
              </w:rPr>
              <w:t>II</w:t>
            </w:r>
          </w:p>
        </w:tc>
        <w:tc>
          <w:tcPr>
            <w:tcW w:type="dxa" w:w="7632"/>
            <w:shd w:val="clear" w:color="auto" w:fill="F4F7FA"/>
          </w:tcPr>
          <w:p>
            <w:r>
              <w:rPr>
                <w:rFonts w:ascii="Segoe UI" w:hAnsi="Segoe UI"/>
                <w:sz w:val="21"/>
              </w:rPr>
              <w:t>PART II — Module Functional Specifications</w:t>
            </w:r>
          </w:p>
        </w:tc>
        <w:tc>
          <w:tcPr>
            <w:tcW w:type="dxa" w:w="864"/>
            <w:shd w:val="clear" w:color="auto" w:fill="F4F7FA"/>
          </w:tcPr>
          <w:p>
            <w:pPr>
              <w:jc w:val="right"/>
            </w:pPr>
            <w:r>
              <w:rPr>
                <w:rFonts w:ascii="Segoe UI" w:hAnsi="Segoe UI"/>
                <w:color w:val="6C757D"/>
                <w:sz w:val="20"/>
              </w:rPr>
              <w:t>—</w:t>
            </w:r>
          </w:p>
        </w:tc>
      </w:tr>
      <w:tr>
        <w:tc>
          <w:tcPr>
            <w:tcW w:type="dxa" w:w="720"/>
            <w:shd w:val="clear" w:color="auto" w:fill="FFFFFF"/>
          </w:tcPr>
          <w:p>
            <w:r>
              <w:rPr>
                <w:rFonts w:ascii="Segoe UI" w:hAnsi="Segoe UI"/>
                <w:b/>
                <w:color w:val="00C2A8"/>
                <w:sz w:val="20"/>
              </w:rPr>
              <w:t>6</w:t>
            </w:r>
          </w:p>
        </w:tc>
        <w:tc>
          <w:tcPr>
            <w:tcW w:type="dxa" w:w="7632"/>
            <w:shd w:val="clear" w:color="auto" w:fill="FFFFFF"/>
          </w:tcPr>
          <w:p>
            <w:r>
              <w:rPr>
                <w:rFonts w:ascii="Segoe UI" w:hAnsi="Segoe UI"/>
                <w:sz w:val="21"/>
              </w:rPr>
              <w:t>Executive Overview Dashboard</w:t>
            </w:r>
          </w:p>
        </w:tc>
        <w:tc>
          <w:tcPr>
            <w:tcW w:type="dxa" w:w="864"/>
            <w:shd w:val="clear" w:color="auto" w:fill="FFFFFF"/>
          </w:tcPr>
          <w:p>
            <w:pPr>
              <w:jc w:val="right"/>
            </w:pPr>
            <w:r>
              <w:rPr>
                <w:rFonts w:ascii="Segoe UI" w:hAnsi="Segoe UI"/>
                <w:color w:val="6C757D"/>
                <w:sz w:val="20"/>
              </w:rPr>
              <w:t>23</w:t>
            </w:r>
          </w:p>
        </w:tc>
      </w:tr>
      <w:tr>
        <w:tc>
          <w:tcPr>
            <w:tcW w:type="dxa" w:w="720"/>
            <w:shd w:val="clear" w:color="auto" w:fill="F4F7FA"/>
          </w:tcPr>
          <w:p>
            <w:r>
              <w:rPr>
                <w:rFonts w:ascii="Segoe UI" w:hAnsi="Segoe UI"/>
                <w:b/>
                <w:color w:val="00C2A8"/>
                <w:sz w:val="20"/>
              </w:rPr>
              <w:t>7</w:t>
            </w:r>
          </w:p>
        </w:tc>
        <w:tc>
          <w:tcPr>
            <w:tcW w:type="dxa" w:w="7632"/>
            <w:shd w:val="clear" w:color="auto" w:fill="F4F7FA"/>
          </w:tcPr>
          <w:p>
            <w:r>
              <w:rPr>
                <w:rFonts w:ascii="Segoe UI" w:hAnsi="Segoe UI"/>
                <w:sz w:val="21"/>
              </w:rPr>
              <w:t>Live Insights &amp; Analytics</w:t>
            </w:r>
          </w:p>
        </w:tc>
        <w:tc>
          <w:tcPr>
            <w:tcW w:type="dxa" w:w="864"/>
            <w:shd w:val="clear" w:color="auto" w:fill="F4F7FA"/>
          </w:tcPr>
          <w:p>
            <w:pPr>
              <w:jc w:val="right"/>
            </w:pPr>
            <w:r>
              <w:rPr>
                <w:rFonts w:ascii="Segoe UI" w:hAnsi="Segoe UI"/>
                <w:color w:val="6C757D"/>
                <w:sz w:val="20"/>
              </w:rPr>
              <w:t>28</w:t>
            </w:r>
          </w:p>
        </w:tc>
      </w:tr>
      <w:tr>
        <w:tc>
          <w:tcPr>
            <w:tcW w:type="dxa" w:w="720"/>
            <w:shd w:val="clear" w:color="auto" w:fill="FFFFFF"/>
          </w:tcPr>
          <w:p>
            <w:r>
              <w:rPr>
                <w:rFonts w:ascii="Segoe UI" w:hAnsi="Segoe UI"/>
                <w:b/>
                <w:color w:val="00C2A8"/>
                <w:sz w:val="20"/>
              </w:rPr>
              <w:t>8</w:t>
            </w:r>
          </w:p>
        </w:tc>
        <w:tc>
          <w:tcPr>
            <w:tcW w:type="dxa" w:w="7632"/>
            <w:shd w:val="clear" w:color="auto" w:fill="FFFFFF"/>
          </w:tcPr>
          <w:p>
            <w:r>
              <w:rPr>
                <w:rFonts w:ascii="Segoe UI" w:hAnsi="Segoe UI"/>
                <w:sz w:val="21"/>
              </w:rPr>
              <w:t>Hierarchical Delivery Matrix</w:t>
            </w:r>
          </w:p>
        </w:tc>
        <w:tc>
          <w:tcPr>
            <w:tcW w:type="dxa" w:w="864"/>
            <w:shd w:val="clear" w:color="auto" w:fill="FFFFFF"/>
          </w:tcPr>
          <w:p>
            <w:pPr>
              <w:jc w:val="right"/>
            </w:pPr>
            <w:r>
              <w:rPr>
                <w:rFonts w:ascii="Segoe UI" w:hAnsi="Segoe UI"/>
                <w:color w:val="6C757D"/>
                <w:sz w:val="20"/>
              </w:rPr>
              <w:t>32</w:t>
            </w:r>
          </w:p>
        </w:tc>
      </w:tr>
      <w:tr>
        <w:tc>
          <w:tcPr>
            <w:tcW w:type="dxa" w:w="720"/>
            <w:shd w:val="clear" w:color="auto" w:fill="F4F7FA"/>
          </w:tcPr>
          <w:p>
            <w:r>
              <w:rPr>
                <w:rFonts w:ascii="Segoe UI" w:hAnsi="Segoe UI"/>
                <w:b/>
                <w:color w:val="00C2A8"/>
                <w:sz w:val="20"/>
              </w:rPr>
              <w:t>9</w:t>
            </w:r>
          </w:p>
        </w:tc>
        <w:tc>
          <w:tcPr>
            <w:tcW w:type="dxa" w:w="7632"/>
            <w:shd w:val="clear" w:color="auto" w:fill="F4F7FA"/>
          </w:tcPr>
          <w:p>
            <w:r>
              <w:rPr>
                <w:rFonts w:ascii="Segoe UI" w:hAnsi="Segoe UI"/>
                <w:sz w:val="21"/>
              </w:rPr>
              <w:t>Gantt Timeline</w:t>
            </w:r>
          </w:p>
        </w:tc>
        <w:tc>
          <w:tcPr>
            <w:tcW w:type="dxa" w:w="864"/>
            <w:shd w:val="clear" w:color="auto" w:fill="F4F7FA"/>
          </w:tcPr>
          <w:p>
            <w:pPr>
              <w:jc w:val="right"/>
            </w:pPr>
            <w:r>
              <w:rPr>
                <w:rFonts w:ascii="Segoe UI" w:hAnsi="Segoe UI"/>
                <w:color w:val="6C757D"/>
                <w:sz w:val="20"/>
              </w:rPr>
              <w:t>38</w:t>
            </w:r>
          </w:p>
        </w:tc>
      </w:tr>
      <w:tr>
        <w:tc>
          <w:tcPr>
            <w:tcW w:type="dxa" w:w="720"/>
            <w:shd w:val="clear" w:color="auto" w:fill="FFFFFF"/>
          </w:tcPr>
          <w:p>
            <w:r>
              <w:rPr>
                <w:rFonts w:ascii="Segoe UI" w:hAnsi="Segoe UI"/>
                <w:b/>
                <w:color w:val="00C2A8"/>
                <w:sz w:val="20"/>
              </w:rPr>
              <w:t>10</w:t>
            </w:r>
          </w:p>
        </w:tc>
        <w:tc>
          <w:tcPr>
            <w:tcW w:type="dxa" w:w="7632"/>
            <w:shd w:val="clear" w:color="auto" w:fill="FFFFFF"/>
          </w:tcPr>
          <w:p>
            <w:r>
              <w:rPr>
                <w:rFonts w:ascii="Segoe UI" w:hAnsi="Segoe UI"/>
                <w:sz w:val="21"/>
              </w:rPr>
              <w:t>Weekly Scheduler &amp; Conflict Resolver</w:t>
            </w:r>
          </w:p>
        </w:tc>
        <w:tc>
          <w:tcPr>
            <w:tcW w:type="dxa" w:w="864"/>
            <w:shd w:val="clear" w:color="auto" w:fill="FFFFFF"/>
          </w:tcPr>
          <w:p>
            <w:pPr>
              <w:jc w:val="right"/>
            </w:pPr>
            <w:r>
              <w:rPr>
                <w:rFonts w:ascii="Segoe UI" w:hAnsi="Segoe UI"/>
                <w:color w:val="6C757D"/>
                <w:sz w:val="20"/>
              </w:rPr>
              <w:t>42</w:t>
            </w:r>
          </w:p>
        </w:tc>
      </w:tr>
      <w:tr>
        <w:tc>
          <w:tcPr>
            <w:tcW w:type="dxa" w:w="720"/>
            <w:shd w:val="clear" w:color="auto" w:fill="F4F7FA"/>
          </w:tcPr>
          <w:p>
            <w:r>
              <w:rPr>
                <w:rFonts w:ascii="Segoe UI" w:hAnsi="Segoe UI"/>
                <w:b/>
                <w:color w:val="00C2A8"/>
                <w:sz w:val="20"/>
              </w:rPr>
              <w:t>11</w:t>
            </w:r>
          </w:p>
        </w:tc>
        <w:tc>
          <w:tcPr>
            <w:tcW w:type="dxa" w:w="7632"/>
            <w:shd w:val="clear" w:color="auto" w:fill="F4F7FA"/>
          </w:tcPr>
          <w:p>
            <w:r>
              <w:rPr>
                <w:rFonts w:ascii="Segoe UI" w:hAnsi="Segoe UI"/>
                <w:sz w:val="21"/>
              </w:rPr>
              <w:t>RAID Register</w:t>
            </w:r>
          </w:p>
        </w:tc>
        <w:tc>
          <w:tcPr>
            <w:tcW w:type="dxa" w:w="864"/>
            <w:shd w:val="clear" w:color="auto" w:fill="F4F7FA"/>
          </w:tcPr>
          <w:p>
            <w:pPr>
              <w:jc w:val="right"/>
            </w:pPr>
            <w:r>
              <w:rPr>
                <w:rFonts w:ascii="Segoe UI" w:hAnsi="Segoe UI"/>
                <w:color w:val="6C757D"/>
                <w:sz w:val="20"/>
              </w:rPr>
              <w:t>48</w:t>
            </w:r>
          </w:p>
        </w:tc>
      </w:tr>
      <w:tr>
        <w:tc>
          <w:tcPr>
            <w:tcW w:type="dxa" w:w="720"/>
            <w:shd w:val="clear" w:color="auto" w:fill="FFFFFF"/>
          </w:tcPr>
          <w:p>
            <w:r>
              <w:rPr>
                <w:rFonts w:ascii="Segoe UI" w:hAnsi="Segoe UI"/>
                <w:b/>
                <w:color w:val="00C2A8"/>
                <w:sz w:val="20"/>
              </w:rPr>
              <w:t>12</w:t>
            </w:r>
          </w:p>
        </w:tc>
        <w:tc>
          <w:tcPr>
            <w:tcW w:type="dxa" w:w="7632"/>
            <w:shd w:val="clear" w:color="auto" w:fill="FFFFFF"/>
          </w:tcPr>
          <w:p>
            <w:r>
              <w:rPr>
                <w:rFonts w:ascii="Segoe UI" w:hAnsi="Segoe UI"/>
                <w:sz w:val="21"/>
              </w:rPr>
              <w:t>Team Capacity Hub</w:t>
            </w:r>
          </w:p>
        </w:tc>
        <w:tc>
          <w:tcPr>
            <w:tcW w:type="dxa" w:w="864"/>
            <w:shd w:val="clear" w:color="auto" w:fill="FFFFFF"/>
          </w:tcPr>
          <w:p>
            <w:pPr>
              <w:jc w:val="right"/>
            </w:pPr>
            <w:r>
              <w:rPr>
                <w:rFonts w:ascii="Segoe UI" w:hAnsi="Segoe UI"/>
                <w:color w:val="6C757D"/>
                <w:sz w:val="20"/>
              </w:rPr>
              <w:t>53</w:t>
            </w:r>
          </w:p>
        </w:tc>
      </w:tr>
      <w:tr>
        <w:tc>
          <w:tcPr>
            <w:tcW w:type="dxa" w:w="720"/>
            <w:shd w:val="clear" w:color="auto" w:fill="F4F7FA"/>
          </w:tcPr>
          <w:p>
            <w:r>
              <w:rPr>
                <w:rFonts w:ascii="Segoe UI" w:hAnsi="Segoe UI"/>
                <w:b/>
                <w:color w:val="00C2A8"/>
                <w:sz w:val="20"/>
              </w:rPr>
              <w:t>13</w:t>
            </w:r>
          </w:p>
        </w:tc>
        <w:tc>
          <w:tcPr>
            <w:tcW w:type="dxa" w:w="7632"/>
            <w:shd w:val="clear" w:color="auto" w:fill="F4F7FA"/>
          </w:tcPr>
          <w:p>
            <w:r>
              <w:rPr>
                <w:rFonts w:ascii="Segoe UI" w:hAnsi="Segoe UI"/>
                <w:sz w:val="21"/>
              </w:rPr>
              <w:t>Defect Tracker</w:t>
            </w:r>
          </w:p>
        </w:tc>
        <w:tc>
          <w:tcPr>
            <w:tcW w:type="dxa" w:w="864"/>
            <w:shd w:val="clear" w:color="auto" w:fill="F4F7FA"/>
          </w:tcPr>
          <w:p>
            <w:pPr>
              <w:jc w:val="right"/>
            </w:pPr>
            <w:r>
              <w:rPr>
                <w:rFonts w:ascii="Segoe UI" w:hAnsi="Segoe UI"/>
                <w:color w:val="6C757D"/>
                <w:sz w:val="20"/>
              </w:rPr>
              <w:t>57</w:t>
            </w:r>
          </w:p>
        </w:tc>
      </w:tr>
      <w:tr>
        <w:tc>
          <w:tcPr>
            <w:tcW w:type="dxa" w:w="720"/>
            <w:shd w:val="clear" w:color="auto" w:fill="FFFFFF"/>
          </w:tcPr>
          <w:p>
            <w:r>
              <w:rPr>
                <w:rFonts w:ascii="Segoe UI" w:hAnsi="Segoe UI"/>
                <w:b/>
                <w:color w:val="00C2A8"/>
                <w:sz w:val="20"/>
              </w:rPr>
              <w:t>14</w:t>
            </w:r>
          </w:p>
        </w:tc>
        <w:tc>
          <w:tcPr>
            <w:tcW w:type="dxa" w:w="7632"/>
            <w:shd w:val="clear" w:color="auto" w:fill="FFFFFF"/>
          </w:tcPr>
          <w:p>
            <w:r>
              <w:rPr>
                <w:rFonts w:ascii="Segoe UI" w:hAnsi="Segoe UI"/>
                <w:sz w:val="21"/>
              </w:rPr>
              <w:t>Reports &amp; Board Packs</w:t>
            </w:r>
          </w:p>
        </w:tc>
        <w:tc>
          <w:tcPr>
            <w:tcW w:type="dxa" w:w="864"/>
            <w:shd w:val="clear" w:color="auto" w:fill="FFFFFF"/>
          </w:tcPr>
          <w:p>
            <w:pPr>
              <w:jc w:val="right"/>
            </w:pPr>
            <w:r>
              <w:rPr>
                <w:rFonts w:ascii="Segoe UI" w:hAnsi="Segoe UI"/>
                <w:color w:val="6C757D"/>
                <w:sz w:val="20"/>
              </w:rPr>
              <w:t>62</w:t>
            </w:r>
          </w:p>
        </w:tc>
      </w:tr>
      <w:tr>
        <w:tc>
          <w:tcPr>
            <w:tcW w:type="dxa" w:w="720"/>
            <w:shd w:val="clear" w:color="auto" w:fill="F4F7FA"/>
          </w:tcPr>
          <w:p>
            <w:r>
              <w:rPr>
                <w:rFonts w:ascii="Segoe UI" w:hAnsi="Segoe UI"/>
                <w:b/>
                <w:color w:val="00C2A8"/>
                <w:sz w:val="20"/>
              </w:rPr>
              <w:t>15</w:t>
            </w:r>
          </w:p>
        </w:tc>
        <w:tc>
          <w:tcPr>
            <w:tcW w:type="dxa" w:w="7632"/>
            <w:shd w:val="clear" w:color="auto" w:fill="F4F7FA"/>
          </w:tcPr>
          <w:p>
            <w:r>
              <w:rPr>
                <w:rFonts w:ascii="Segoe UI" w:hAnsi="Segoe UI"/>
                <w:sz w:val="21"/>
              </w:rPr>
              <w:t>Audit Log &amp; Activity Streams</w:t>
            </w:r>
          </w:p>
        </w:tc>
        <w:tc>
          <w:tcPr>
            <w:tcW w:type="dxa" w:w="864"/>
            <w:shd w:val="clear" w:color="auto" w:fill="F4F7FA"/>
          </w:tcPr>
          <w:p>
            <w:pPr>
              <w:jc w:val="right"/>
            </w:pPr>
            <w:r>
              <w:rPr>
                <w:rFonts w:ascii="Segoe UI" w:hAnsi="Segoe UI"/>
                <w:color w:val="6C757D"/>
                <w:sz w:val="20"/>
              </w:rPr>
              <w:t>66</w:t>
            </w:r>
          </w:p>
        </w:tc>
      </w:tr>
      <w:tr>
        <w:tc>
          <w:tcPr>
            <w:tcW w:type="dxa" w:w="720"/>
            <w:shd w:val="clear" w:color="auto" w:fill="FFFFFF"/>
          </w:tcPr>
          <w:p>
            <w:r>
              <w:rPr>
                <w:rFonts w:ascii="Segoe UI" w:hAnsi="Segoe UI"/>
                <w:b/>
                <w:color w:val="00C2A8"/>
                <w:sz w:val="20"/>
              </w:rPr>
              <w:t>16</w:t>
            </w:r>
          </w:p>
        </w:tc>
        <w:tc>
          <w:tcPr>
            <w:tcW w:type="dxa" w:w="7632"/>
            <w:shd w:val="clear" w:color="auto" w:fill="FFFFFF"/>
          </w:tcPr>
          <w:p>
            <w:r>
              <w:rPr>
                <w:rFonts w:ascii="Segoe UI" w:hAnsi="Segoe UI"/>
                <w:sz w:val="21"/>
              </w:rPr>
              <w:t>Schedule Baselines</w:t>
            </w:r>
          </w:p>
        </w:tc>
        <w:tc>
          <w:tcPr>
            <w:tcW w:type="dxa" w:w="864"/>
            <w:shd w:val="clear" w:color="auto" w:fill="FFFFFF"/>
          </w:tcPr>
          <w:p>
            <w:pPr>
              <w:jc w:val="right"/>
            </w:pPr>
            <w:r>
              <w:rPr>
                <w:rFonts w:ascii="Segoe UI" w:hAnsi="Segoe UI"/>
                <w:color w:val="6C757D"/>
                <w:sz w:val="20"/>
              </w:rPr>
              <w:t>70</w:t>
            </w:r>
          </w:p>
        </w:tc>
      </w:tr>
      <w:tr>
        <w:tc>
          <w:tcPr>
            <w:tcW w:type="dxa" w:w="720"/>
            <w:shd w:val="clear" w:color="auto" w:fill="F4F7FA"/>
          </w:tcPr>
          <w:p>
            <w:r>
              <w:rPr>
                <w:rFonts w:ascii="Segoe UI" w:hAnsi="Segoe UI"/>
                <w:b/>
                <w:color w:val="00C2A8"/>
                <w:sz w:val="20"/>
              </w:rPr>
              <w:t>17</w:t>
            </w:r>
          </w:p>
        </w:tc>
        <w:tc>
          <w:tcPr>
            <w:tcW w:type="dxa" w:w="7632"/>
            <w:shd w:val="clear" w:color="auto" w:fill="F4F7FA"/>
          </w:tcPr>
          <w:p>
            <w:r>
              <w:rPr>
                <w:rFonts w:ascii="Segoe UI" w:hAnsi="Segoe UI"/>
                <w:sz w:val="21"/>
              </w:rPr>
              <w:t>System Configuration</w:t>
            </w:r>
          </w:p>
        </w:tc>
        <w:tc>
          <w:tcPr>
            <w:tcW w:type="dxa" w:w="864"/>
            <w:shd w:val="clear" w:color="auto" w:fill="F4F7FA"/>
          </w:tcPr>
          <w:p>
            <w:pPr>
              <w:jc w:val="right"/>
            </w:pPr>
            <w:r>
              <w:rPr>
                <w:rFonts w:ascii="Segoe UI" w:hAnsi="Segoe UI"/>
                <w:color w:val="6C757D"/>
                <w:sz w:val="20"/>
              </w:rPr>
              <w:t>74</w:t>
            </w:r>
          </w:p>
        </w:tc>
      </w:tr>
      <w:tr>
        <w:tc>
          <w:tcPr>
            <w:tcW w:type="dxa" w:w="720"/>
            <w:shd w:val="clear" w:color="auto" w:fill="FFFFFF"/>
          </w:tcPr>
          <w:p>
            <w:r>
              <w:rPr>
                <w:rFonts w:ascii="Segoe UI" w:hAnsi="Segoe UI"/>
                <w:b/>
                <w:color w:val="00C2A8"/>
                <w:sz w:val="20"/>
              </w:rPr>
              <w:t>III</w:t>
            </w:r>
          </w:p>
        </w:tc>
        <w:tc>
          <w:tcPr>
            <w:tcW w:type="dxa" w:w="7632"/>
            <w:shd w:val="clear" w:color="auto" w:fill="FFFFFF"/>
          </w:tcPr>
          <w:p>
            <w:r>
              <w:rPr>
                <w:rFonts w:ascii="Segoe UI" w:hAnsi="Segoe UI"/>
                <w:sz w:val="21"/>
              </w:rPr>
              <w:t>PART III — Cross-Cutting Concerns</w:t>
            </w:r>
          </w:p>
        </w:tc>
        <w:tc>
          <w:tcPr>
            <w:tcW w:type="dxa" w:w="864"/>
            <w:shd w:val="clear" w:color="auto" w:fill="FFFFFF"/>
          </w:tcPr>
          <w:p>
            <w:pPr>
              <w:jc w:val="right"/>
            </w:pPr>
            <w:r>
              <w:rPr>
                <w:rFonts w:ascii="Segoe UI" w:hAnsi="Segoe UI"/>
                <w:color w:val="6C757D"/>
                <w:sz w:val="20"/>
              </w:rPr>
              <w:t>—</w:t>
            </w:r>
          </w:p>
        </w:tc>
      </w:tr>
      <w:tr>
        <w:tc>
          <w:tcPr>
            <w:tcW w:type="dxa" w:w="720"/>
            <w:shd w:val="clear" w:color="auto" w:fill="F4F7FA"/>
          </w:tcPr>
          <w:p>
            <w:r>
              <w:rPr>
                <w:rFonts w:ascii="Segoe UI" w:hAnsi="Segoe UI"/>
                <w:b/>
                <w:color w:val="00C2A8"/>
                <w:sz w:val="20"/>
              </w:rPr>
              <w:t>18</w:t>
            </w:r>
          </w:p>
        </w:tc>
        <w:tc>
          <w:tcPr>
            <w:tcW w:type="dxa" w:w="7632"/>
            <w:shd w:val="clear" w:color="auto" w:fill="F4F7FA"/>
          </w:tcPr>
          <w:p>
            <w:r>
              <w:rPr>
                <w:rFonts w:ascii="Segoe UI" w:hAnsi="Segoe UI"/>
                <w:sz w:val="21"/>
              </w:rPr>
              <w:t>Security &amp; Data Privacy</w:t>
            </w:r>
          </w:p>
        </w:tc>
        <w:tc>
          <w:tcPr>
            <w:tcW w:type="dxa" w:w="864"/>
            <w:shd w:val="clear" w:color="auto" w:fill="F4F7FA"/>
          </w:tcPr>
          <w:p>
            <w:pPr>
              <w:jc w:val="right"/>
            </w:pPr>
            <w:r>
              <w:rPr>
                <w:rFonts w:ascii="Segoe UI" w:hAnsi="Segoe UI"/>
                <w:color w:val="6C757D"/>
                <w:sz w:val="20"/>
              </w:rPr>
              <w:t>78</w:t>
            </w:r>
          </w:p>
        </w:tc>
      </w:tr>
      <w:tr>
        <w:tc>
          <w:tcPr>
            <w:tcW w:type="dxa" w:w="720"/>
            <w:shd w:val="clear" w:color="auto" w:fill="FFFFFF"/>
          </w:tcPr>
          <w:p>
            <w:r>
              <w:rPr>
                <w:rFonts w:ascii="Segoe UI" w:hAnsi="Segoe UI"/>
                <w:b/>
                <w:color w:val="00C2A8"/>
                <w:sz w:val="20"/>
              </w:rPr>
              <w:t>19</w:t>
            </w:r>
          </w:p>
        </w:tc>
        <w:tc>
          <w:tcPr>
            <w:tcW w:type="dxa" w:w="7632"/>
            <w:shd w:val="clear" w:color="auto" w:fill="FFFFFF"/>
          </w:tcPr>
          <w:p>
            <w:r>
              <w:rPr>
                <w:rFonts w:ascii="Segoe UI" w:hAnsi="Segoe UI"/>
                <w:sz w:val="21"/>
              </w:rPr>
              <w:t>Performance &amp; Scalability Limits</w:t>
            </w:r>
          </w:p>
        </w:tc>
        <w:tc>
          <w:tcPr>
            <w:tcW w:type="dxa" w:w="864"/>
            <w:shd w:val="clear" w:color="auto" w:fill="FFFFFF"/>
          </w:tcPr>
          <w:p>
            <w:pPr>
              <w:jc w:val="right"/>
            </w:pPr>
            <w:r>
              <w:rPr>
                <w:rFonts w:ascii="Segoe UI" w:hAnsi="Segoe UI"/>
                <w:color w:val="6C757D"/>
                <w:sz w:val="20"/>
              </w:rPr>
              <w:t>80</w:t>
            </w:r>
          </w:p>
        </w:tc>
      </w:tr>
      <w:tr>
        <w:tc>
          <w:tcPr>
            <w:tcW w:type="dxa" w:w="720"/>
            <w:shd w:val="clear" w:color="auto" w:fill="F4F7FA"/>
          </w:tcPr>
          <w:p>
            <w:r>
              <w:rPr>
                <w:rFonts w:ascii="Segoe UI" w:hAnsi="Segoe UI"/>
                <w:b/>
                <w:color w:val="00C2A8"/>
                <w:sz w:val="20"/>
              </w:rPr>
              <w:t>20</w:t>
            </w:r>
          </w:p>
        </w:tc>
        <w:tc>
          <w:tcPr>
            <w:tcW w:type="dxa" w:w="7632"/>
            <w:shd w:val="clear" w:color="auto" w:fill="F4F7FA"/>
          </w:tcPr>
          <w:p>
            <w:r>
              <w:rPr>
                <w:rFonts w:ascii="Segoe UI" w:hAnsi="Segoe UI"/>
                <w:sz w:val="21"/>
              </w:rPr>
              <w:t>Browser Compatibility Matrix</w:t>
            </w:r>
          </w:p>
        </w:tc>
        <w:tc>
          <w:tcPr>
            <w:tcW w:type="dxa" w:w="864"/>
            <w:shd w:val="clear" w:color="auto" w:fill="F4F7FA"/>
          </w:tcPr>
          <w:p>
            <w:pPr>
              <w:jc w:val="right"/>
            </w:pPr>
            <w:r>
              <w:rPr>
                <w:rFonts w:ascii="Segoe UI" w:hAnsi="Segoe UI"/>
                <w:color w:val="6C757D"/>
                <w:sz w:val="20"/>
              </w:rPr>
              <w:t>81</w:t>
            </w:r>
          </w:p>
        </w:tc>
      </w:tr>
      <w:tr>
        <w:tc>
          <w:tcPr>
            <w:tcW w:type="dxa" w:w="720"/>
            <w:shd w:val="clear" w:color="auto" w:fill="FFFFFF"/>
          </w:tcPr>
          <w:p>
            <w:r>
              <w:rPr>
                <w:rFonts w:ascii="Segoe UI" w:hAnsi="Segoe UI"/>
                <w:b/>
                <w:color w:val="00C2A8"/>
                <w:sz w:val="20"/>
              </w:rPr>
              <w:t>A</w:t>
            </w:r>
          </w:p>
        </w:tc>
        <w:tc>
          <w:tcPr>
            <w:tcW w:type="dxa" w:w="7632"/>
            <w:shd w:val="clear" w:color="auto" w:fill="FFFFFF"/>
          </w:tcPr>
          <w:p>
            <w:r>
              <w:rPr>
                <w:rFonts w:ascii="Segoe UI" w:hAnsi="Segoe UI"/>
                <w:sz w:val="21"/>
              </w:rPr>
              <w:t>Appendix A — Keyboard Shortcuts</w:t>
            </w:r>
          </w:p>
        </w:tc>
        <w:tc>
          <w:tcPr>
            <w:tcW w:type="dxa" w:w="864"/>
            <w:shd w:val="clear" w:color="auto" w:fill="FFFFFF"/>
          </w:tcPr>
          <w:p>
            <w:pPr>
              <w:jc w:val="right"/>
            </w:pPr>
            <w:r>
              <w:rPr>
                <w:rFonts w:ascii="Segoe UI" w:hAnsi="Segoe UI"/>
                <w:color w:val="6C757D"/>
                <w:sz w:val="20"/>
              </w:rPr>
              <w:t>82</w:t>
            </w:r>
          </w:p>
        </w:tc>
      </w:tr>
      <w:tr>
        <w:tc>
          <w:tcPr>
            <w:tcW w:type="dxa" w:w="720"/>
            <w:shd w:val="clear" w:color="auto" w:fill="F4F7FA"/>
          </w:tcPr>
          <w:p>
            <w:r>
              <w:rPr>
                <w:rFonts w:ascii="Segoe UI" w:hAnsi="Segoe UI"/>
                <w:b/>
                <w:color w:val="00C2A8"/>
                <w:sz w:val="20"/>
              </w:rPr>
              <w:t>B</w:t>
            </w:r>
          </w:p>
        </w:tc>
        <w:tc>
          <w:tcPr>
            <w:tcW w:type="dxa" w:w="7632"/>
            <w:shd w:val="clear" w:color="auto" w:fill="F4F7FA"/>
          </w:tcPr>
          <w:p>
            <w:r>
              <w:rPr>
                <w:rFonts w:ascii="Segoe UI" w:hAnsi="Segoe UI"/>
                <w:sz w:val="21"/>
              </w:rPr>
              <w:t>Appendix B — Formula Reference Card</w:t>
            </w:r>
          </w:p>
        </w:tc>
        <w:tc>
          <w:tcPr>
            <w:tcW w:type="dxa" w:w="864"/>
            <w:shd w:val="clear" w:color="auto" w:fill="F4F7FA"/>
          </w:tcPr>
          <w:p>
            <w:pPr>
              <w:jc w:val="right"/>
            </w:pPr>
            <w:r>
              <w:rPr>
                <w:rFonts w:ascii="Segoe UI" w:hAnsi="Segoe UI"/>
                <w:color w:val="6C757D"/>
                <w:sz w:val="20"/>
              </w:rPr>
              <w:t>83</w:t>
            </w:r>
          </w:p>
        </w:tc>
      </w:tr>
      <w:tr>
        <w:tc>
          <w:tcPr>
            <w:tcW w:type="dxa" w:w="720"/>
            <w:shd w:val="clear" w:color="auto" w:fill="FFFFFF"/>
          </w:tcPr>
          <w:p>
            <w:r>
              <w:rPr>
                <w:rFonts w:ascii="Segoe UI" w:hAnsi="Segoe UI"/>
                <w:b/>
                <w:color w:val="00C2A8"/>
                <w:sz w:val="20"/>
              </w:rPr>
              <w:t>C</w:t>
            </w:r>
          </w:p>
        </w:tc>
        <w:tc>
          <w:tcPr>
            <w:tcW w:type="dxa" w:w="7632"/>
            <w:shd w:val="clear" w:color="auto" w:fill="FFFFFF"/>
          </w:tcPr>
          <w:p>
            <w:r>
              <w:rPr>
                <w:rFonts w:ascii="Segoe UI" w:hAnsi="Segoe UI"/>
                <w:sz w:val="21"/>
              </w:rPr>
              <w:t>Appendix C — Glossary</w:t>
            </w:r>
          </w:p>
        </w:tc>
        <w:tc>
          <w:tcPr>
            <w:tcW w:type="dxa" w:w="864"/>
            <w:shd w:val="clear" w:color="auto" w:fill="FFFFFF"/>
          </w:tcPr>
          <w:p>
            <w:pPr>
              <w:jc w:val="right"/>
            </w:pPr>
            <w:r>
              <w:rPr>
                <w:rFonts w:ascii="Segoe UI" w:hAnsi="Segoe UI"/>
                <w:color w:val="6C757D"/>
                <w:sz w:val="20"/>
              </w:rPr>
              <w:t>85</w:t>
            </w:r>
          </w:p>
        </w:tc>
      </w:tr>
    </w:tbl>
    <w:p>
      <w:r>
        <w:br w:type="page"/>
      </w:r>
    </w:p>
    <w:p>
      <w:r>
        <w:br w:type="page"/>
      </w:r>
    </w:p>
    <w:p>
      <w:r>
        <w:br/>
        <w:br/>
        <w:br/>
        <w:br/>
      </w:r>
    </w:p>
    <w:p>
      <w:pPr>
        <w:jc w:val="center"/>
      </w:pPr>
      <w:r>
        <w:rPr>
          <w:rFonts w:ascii="Segoe UI" w:hAnsi="Segoe UI"/>
          <w:b/>
          <w:color w:val="00C2A8"/>
          <w:sz w:val="26"/>
        </w:rPr>
        <w:t>PART I</w:t>
      </w:r>
    </w:p>
    <w:p>
      <w:pPr>
        <w:jc w:val="center"/>
      </w:pPr>
      <w:r>
        <w:rPr>
          <w:rFonts w:ascii="Segoe UI" w:hAnsi="Segoe UI"/>
          <w:b/>
          <w:color w:val="0D1B2A"/>
          <w:sz w:val="64"/>
        </w:rPr>
        <w:t>System Architecture &amp; Foundations</w:t>
      </w:r>
    </w:p>
    <w:p>
      <w:pPr>
        <w:jc w:val="center"/>
      </w:pPr>
      <w:r>
        <w:rPr>
          <w:rFonts w:ascii="Segoe UI" w:hAnsi="Segoe UI"/>
          <w:color w:val="00C2A8"/>
          <w:sz w:val="28"/>
        </w:rPr>
        <w:t>────────────────────────────────────────</w:t>
      </w:r>
    </w:p>
    <w:p>
      <w:r>
        <w:br/>
      </w:r>
    </w:p>
    <w:p>
      <w:pPr>
        <w:jc w:val="center"/>
      </w:pPr>
      <w:r>
        <w:rPr>
          <w:rFonts w:ascii="Segoe UI" w:hAnsi="Segoe UI"/>
          <w:i/>
          <w:color w:val="6C757D"/>
          <w:sz w:val="24"/>
        </w:rPr>
        <w:t>Application design, state model, data schemas, caching, and configuration.</w:t>
      </w:r>
    </w:p>
    <w:p>
      <w:r>
        <w:br w:type="page"/>
      </w:r>
    </w:p>
    <w:p>
      <w:pPr>
        <w:pStyle w:val="Heading1"/>
        <w:keepNext/>
        <w:spacing w:before="360" w:after="12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6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6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6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6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6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360" w:after="120"/>
      </w:pPr>
      <w:r>
        <w:rPr>
          <w:rFonts w:ascii="Segoe UI" w:hAnsi="Segoe UI"/>
          <w:color w:val="0D1B2A"/>
        </w:rPr>
        <w:t>2  Application Architecture</w:t>
      </w:r>
    </w:p>
    <w:p>
      <w:pPr>
        <w:pBdr>
          <w:bottom w:val="single" w:sz="6" w:space="1" w:color="00C2A8"/>
        </w:pBdr>
        <w:spacing w:before="0" w:after="120"/>
      </w:pPr>
    </w:p>
    <w:p>
      <w:pPr>
        <w:pStyle w:val="Heading2"/>
        <w:keepNext/>
        <w:spacing w:before="36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6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Key</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59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Contents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P.name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 name. Displayed in the header and on exported documents.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P.desc</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 description. Shown on cover pages of exported reports.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P.tasks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all task objects (parent and child). The primary data entity.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P.members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all team member profiles.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P.raids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all RAID register entries.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P.defects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all defect records.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P.baselines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all captured baseline snapshot records.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P.log</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LogEntry[]</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Append-only array of all activity log entries (max 500).</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P.settings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Global settings: effortUnit, hoursPerDay, daysPerWeek, workDays, alertPrefs.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P.dropdowns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All configurable dropdown option arrays keyed by field name.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Computed analytics cache (hydrated by buildDashCache). Never persisted directly.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P.sandboxTasks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Task[]|null</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In-memory sandbox clone. Null when sandbox is inactive.</w:t>
            </w:r>
          </w:p>
        </w:tc>
      </w:tr>
    </w:tbl>
    <w:p>
      <w:pPr>
        <w:spacing w:after="120"/>
      </w:pPr>
    </w:p>
    <w:p>
      <w:pPr>
        <w:pStyle w:val="Heading2"/>
        <w:keepNext/>
        <w:spacing w:before="36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6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24" w:color="1E8449"/>
              <w:top w:val="none"/>
              <w:right w:val="none"/>
              <w:bottom w:val="none"/>
            </w:tcBorders>
          </w:tcPr>
          <w:p>
            <w:pPr>
              <w:spacing w:before="120" w:after="40"/>
              <w:ind w:left="144"/>
            </w:pPr>
            <w:r>
              <w:rPr>
                <w:rFonts w:ascii="Segoe UI" w:hAnsi="Segoe UI"/>
                <w:b/>
                <w:color w:val="145A32"/>
                <w:sz w:val="18"/>
              </w:rPr>
              <w:t xml:space="preserve">[TIP]  </w:t>
            </w:r>
          </w:p>
          <w:p>
            <w:pPr>
              <w:spacing w:before="40" w:after="120"/>
              <w:ind w:left="144"/>
            </w:pPr>
            <w:r>
              <w:rPr>
                <w:rFonts w:ascii="Segoe UI" w:hAnsi="Segoe UI"/>
                <w:sz w:val="20"/>
              </w:rPr>
              <w:t>Ctrl+S bypasses the debounce timer and triggers an immediate synchronous save. This is recommended before closing the browser tab or switching networks.</w:t>
            </w:r>
          </w:p>
        </w:tc>
      </w:tr>
    </w:tbl>
    <w:p/>
    <w:p>
      <w:pPr>
        <w:pStyle w:val="Heading2"/>
        <w:keepNext/>
        <w:spacing w:before="36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6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633788"/>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633788"/>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360" w:after="12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6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18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Constraint</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Default</w:t>
            </w:r>
          </w:p>
        </w:tc>
        <w:tc>
          <w:tcPr>
            <w:tcW w:type="dxa" w:w="302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Unique, auto-gen</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TASK-NNN</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Auto-generated unique identifier. Format: TASK-001.</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name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Required</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 title displayed in all views.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Enum (dropdowns)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Not Started</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Current workflow status. Must be a valid VALID_TRANSITIONS key.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priority</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Enum</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 / High / Medium / Low.</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category</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Enum</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Classification from configured Category dropdown.</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module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Enum</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Associated module from Module dropdown.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moduleType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Enum</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Server / GUI / Interface.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 name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Assigned member. Must match a member in P.members.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release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Target release label (e.g. v1.0.0).</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startDate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Current planned start date.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dueDate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Current planned due date.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actCompletionDate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Actual date work was completed (null if incomplete).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baselineStartDate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Immutable post-capture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Frozen baseline start date.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baselineDueDate</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Immutable post-capture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Frozen baseline due date.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forecastDueDate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System computed</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Velocity-based projected completion date.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slippageReason</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Free-text explanation for schedule slippage beyond baseline.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complexity</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Enum</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Easy (0.5x) / Medium (1.0x) / Complex (1.5x).</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progress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0-100</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0</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Percentage completion. Aggregated from subtasks if present.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estEffort</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&gt;= 0</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Estimated effort in active effort unit.</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actEffort</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&gt;= 0</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0</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Actual logged effort in active effort unit.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baselineEffort</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&gt;= 0</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 effort captured at snapshot time.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dependsOn</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 IDs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prerequisite Task IDs. Must be acyclic.</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notes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Multi-line task description and notes.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subtasks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Subtask[]</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child step/screen items.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guiScreens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Linked GUI screen names (for GUI module tasks).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updatedAt</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ISO 8601</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now</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Timestamp of last modification. Updated on every save.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parentId</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Parent task ID. Empty string for root-level tasks.</w:t>
            </w:r>
          </w:p>
        </w:tc>
      </w:tr>
    </w:tbl>
    <w:p>
      <w:pPr>
        <w:spacing w:after="120"/>
      </w:pPr>
    </w:p>
    <w:p>
      <w:pPr>
        <w:pStyle w:val="Heading2"/>
        <w:keepNext/>
        <w:spacing w:before="360" w:after="120"/>
      </w:pPr>
      <w:r>
        <w:rPr>
          <w:rFonts w:ascii="Segoe UI" w:hAnsi="Segoe UI"/>
          <w:color w:val="1E9ED5"/>
        </w:rPr>
        <w:t>3.2  Subtask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56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Unique identifier within parent task. Format: ST-NNN.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name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Subtask title.</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Same valid statuses as parent Task.</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category</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Feature / Bug / Improvement / GUI Screen / etc.</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done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boolean</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True when status is Completed. Used for progress aggregation.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effort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Estimated effort in active effort unit.</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actEffort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Actual effort logged.</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progress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0-100. Contributes to parent task progress via weighted average.</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type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step (development task) or screen (GUI screen).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actCompletionDate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Actual completion date. Used by Activity Heatmap date resolution.</w:t>
            </w:r>
          </w:p>
        </w:tc>
      </w:tr>
    </w:tbl>
    <w:p>
      <w:pPr>
        <w:spacing w:after="120"/>
      </w:pPr>
    </w:p>
    <w:p>
      <w:pPr>
        <w:pStyle w:val="Heading2"/>
        <w:keepNext/>
        <w:spacing w:before="360" w:after="120"/>
      </w:pPr>
      <w:r>
        <w:rPr>
          <w:rFonts w:ascii="Segoe UI" w:hAnsi="Segoe UI"/>
          <w:color w:val="1E9ED5"/>
        </w:rPr>
        <w:t>3.3  Member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56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Unique identifier. Format: MEM-NNN.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name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Full name. Used as assignee reference in tasks and defects.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role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Role from configured Role dropdown. Used by Copilot for Smart Reassignment.</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 On Leave / Other Assignment / Serving Notice Period / Departed.</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plannedLeaves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{start: YYYY-MM-DD, end: YYYY-MM-DD} leave date ranges.</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weeklyHourCap</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Maximum standard hours per week. Default: 40.</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utilisationRate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0.0-1.0. Fraction of standard time dedicated to project work. Default: 1.0.</w:t>
            </w:r>
          </w:p>
        </w:tc>
      </w:tr>
    </w:tbl>
    <w:p>
      <w:pPr>
        <w:spacing w:after="120"/>
      </w:pPr>
    </w:p>
    <w:p>
      <w:pPr>
        <w:pStyle w:val="Heading2"/>
        <w:keepNext/>
        <w:spacing w:before="360" w:after="120"/>
      </w:pPr>
      <w:r>
        <w:rPr>
          <w:rFonts w:ascii="Segoe UI" w:hAnsi="Segoe UI"/>
          <w:color w:val="1E9ED5"/>
        </w:rPr>
        <w:t>3.4  RAID Item Schema</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59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Unique identifier. Format: RAID-NNN.</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type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Risk / Assumption / Issue / Dependency.</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title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Short descriptive title.</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description</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Full description of the item.</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Identified / Active / Mitigated / Closed / Realized.</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impact</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 / Medium / Low (qualitative scale).</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probability</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 / Medium / Low (qualitative scale for Risks).</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severity</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S1 Critical / S2 Major / S3 Moderate / S4 Minor.</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exposureScore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Computed: probability_int x impact_int using 1-3 scale. Max 9.</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owner</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 name. Required for Active items.</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mitigation</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Mitigation / resolution strategy text. Required for Active items.</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targetDate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Target closure date. Required for Active items.</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raisedDate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59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Date the item was logged.</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closedDate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59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Date the item was closed or mitigated.</w:t>
            </w:r>
          </w:p>
        </w:tc>
      </w:tr>
    </w:tbl>
    <w:p>
      <w:pPr>
        <w:spacing w:after="120"/>
      </w:pPr>
    </w:p>
    <w:p>
      <w:pPr>
        <w:pStyle w:val="Heading2"/>
        <w:keepNext/>
        <w:spacing w:before="360" w:after="120"/>
      </w:pPr>
      <w:r>
        <w:rPr>
          <w:rFonts w:ascii="Segoe UI" w:hAnsi="Segoe UI"/>
          <w:color w:val="1E9ED5"/>
        </w:rPr>
        <w:t>3.5  Defect Schema</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604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Unique identifier. Format: DEF-NNN.</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title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 title. Required.</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type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Functional Bug / UI/UX Issue / Performance / Security / Data Issue / Suggestion.</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severity</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S1 Blocker / S2 High / S3 Medium / S4 Low.</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priority</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 / High / Medium / Low.</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New / Assigned / Fixed / Retest / Closed / Rejected / Deferred.</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linkedType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 / subtask / screen — type of linked entity.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linkedId</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ID of the linked task (TASK-NNN) or subtask (ST-NNN).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Developer assigned to fix. Must match a member name.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reporter</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Person who logged the defect.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desc</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Full defect description.</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steps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Step-by-step reproduction instructions.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raisedDate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60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Date the defect was logged.</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closedDate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60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Date the defect was resolved or closed.</w:t>
            </w:r>
          </w:p>
        </w:tc>
      </w:tr>
    </w:tbl>
    <w:p>
      <w:pPr>
        <w:spacing w:after="120"/>
      </w:pPr>
    </w:p>
    <w:p>
      <w:pPr>
        <w:pStyle w:val="Heading2"/>
        <w:keepNext/>
        <w:spacing w:before="360" w:after="120"/>
      </w:pPr>
      <w:r>
        <w:rPr>
          <w:rFonts w:ascii="Segoe UI" w:hAnsi="Segoe UI"/>
          <w:color w:val="1E9ED5"/>
        </w:rPr>
        <w:t>3.6  Activity Log Entry Schema</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56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ISO 8601</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Timestamp of the log entry recorded at millisecond precision.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Name of the active team member who performed the action.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action</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Created / Updated / Status Changed / Deleted.</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taskId</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ID of the primary entity affected.</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taskName</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Name of the primary entity at time of action.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field</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specific field that changed (e.g. status, dueDate).</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oldVal</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any</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Previous value before mutation.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newVal</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any</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New value after mutation.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subtaskId</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Optional. References a specific subtask if the change was at subtask level.</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actCompletionDate</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YYYY-MM-DD</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Optional. Retrospective actual completion date for activity date resolution.</w:t>
            </w:r>
          </w:p>
        </w:tc>
      </w:tr>
    </w:tbl>
    <w:p>
      <w:pPr>
        <w:spacing w:after="120"/>
      </w:pPr>
    </w:p>
    <w:p>
      <w:r>
        <w:br w:type="page"/>
      </w:r>
    </w:p>
    <w:p>
      <w:pPr>
        <w:pStyle w:val="Heading1"/>
        <w:keepNext/>
        <w:spacing w:before="360" w:after="12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6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Cache Key</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56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Contents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totalTasks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all non-cancelled, non-completed parent tasks.</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completedTasks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tasks with status == Completed.</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overdueTasks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active tasks where dueDate &lt; today and status != Completed/Cancelled.</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blockedTasks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tasks with status == On Hold or with unresolved dependency violations.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activeRaidCount</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RAID items with status in {Identified, Active}.</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criticalRaids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RAID items with exposureScore &gt;= 15.</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openDefects</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defects with status not in {Closed, Rejected}.</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s1Blockers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open defects with severity == S1 Blocker.</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s2Critical</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Count of open defects with severity == S2 High.</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velocityHistory</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Array of weekly complexity-points-completed for the past 12 weeks.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burnUpData</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Time-series arrays for Scope and Completion lines on the burn-up chart.</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heatmapData</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30-day activity density map keyed by date string (YYYY-MM-DD).</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memberAlloc</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 allocation hours per member per week for the Scheduler grid.</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evmMetrics</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6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Pre-computed PV, EV, AC, SV, SPI, CV values.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depMap</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56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Dependency lookup map: taskId -&gt; [predecessorIds]. O(1) lookup.</w:t>
            </w:r>
          </w:p>
        </w:tc>
      </w:tr>
    </w:tbl>
    <w:p>
      <w:pPr>
        <w:spacing w:after="120"/>
      </w:pPr>
    </w:p>
    <w:p>
      <w:pPr>
        <w:pStyle w:val="Heading2"/>
        <w:keepNext/>
        <w:spacing w:before="36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24" w:color="1565C0"/>
              <w:top w:val="none"/>
              <w:right w:val="none"/>
              <w:bottom w:val="none"/>
            </w:tcBorders>
          </w:tcPr>
          <w:p>
            <w:pPr>
              <w:spacing w:before="120" w:after="40"/>
              <w:ind w:left="144"/>
            </w:pPr>
            <w:r>
              <w:rPr>
                <w:rFonts w:ascii="Segoe UI" w:hAnsi="Segoe UI"/>
                <w:b/>
                <w:color w:val="0D4F8B"/>
                <w:sz w:val="18"/>
              </w:rPr>
              <w:t xml:space="preserve">[INFO]  </w:t>
            </w:r>
          </w:p>
          <w:p>
            <w:pPr>
              <w:spacing w:before="40" w:after="120"/>
              <w:ind w:left="144"/>
            </w:pPr>
            <w:r>
              <w:rPr>
                <w:rFonts w:ascii="Segoe UI" w:hAnsi="Segoe UI"/>
                <w:sz w:val="20"/>
              </w:rPr>
              <w:t>P.cache is intentionally excluded from localStorage persistence. If the page is refreshed, the cache is rebuilt from the persisted P.tasks, P.members, etc. data on the first render() call after page load.</w:t>
            </w:r>
          </w:p>
        </w:tc>
      </w:tr>
    </w:tbl>
    <w:p/>
    <w:p>
      <w:r>
        <w:br w:type="page"/>
      </w:r>
    </w:p>
    <w:p>
      <w:pPr>
        <w:pStyle w:val="Heading1"/>
        <w:keepNext/>
        <w:spacing w:before="360" w:after="12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60" w:after="120"/>
      </w:pPr>
      <w:r>
        <w:rPr>
          <w:rFonts w:ascii="Segoe UI" w:hAnsi="Segoe UI"/>
          <w:color w:val="1E9ED5"/>
        </w:rPr>
        <w:t>5.1  P.settings Fields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Field</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Valid Values</w:t>
            </w:r>
          </w:p>
        </w:tc>
        <w:tc>
          <w:tcPr>
            <w:tcW w:type="dxa" w:w="360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Effect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effortUnit</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hrs / days / months</w:t>
            </w:r>
          </w:p>
        </w:tc>
        <w:tc>
          <w:tcPr>
            <w:tcW w:type="dxa" w:w="360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Globally switches all effort labels and rescales displayed values.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hoursPerDay</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1-24 (default: 8)</w:t>
            </w:r>
          </w:p>
        </w:tc>
        <w:tc>
          <w:tcPr>
            <w:tcW w:type="dxa" w:w="360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Used to convert between hours and days when switching effort units.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daysPerWeek</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number</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1-7 (default: 5)</w:t>
            </w:r>
          </w:p>
        </w:tc>
        <w:tc>
          <w:tcPr>
            <w:tcW w:type="dxa" w:w="360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Working week length. Affects capacity calculations and date math.</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workDays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string[]</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Subset of [Mon,Tue,Wed,Thu,Fri,Sat,Sun]</w:t>
            </w:r>
          </w:p>
        </w:tc>
        <w:tc>
          <w:tcPr>
            <w:tcW w:type="dxa" w:w="360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Specifies which days are working days for date arithmetic.</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alertPrefs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object</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360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Future: alert threshold preferences per metric.</w:t>
            </w:r>
          </w:p>
        </w:tc>
      </w:tr>
    </w:tbl>
    <w:p>
      <w:pPr>
        <w:spacing w:after="120"/>
      </w:pPr>
    </w:p>
    <w:p>
      <w:pPr>
        <w:pStyle w:val="Heading2"/>
        <w:keepNext/>
        <w:spacing w:before="360" w:after="120"/>
      </w:pPr>
      <w:r>
        <w:rPr>
          <w:rFonts w:ascii="Segoe UI" w:hAnsi="Segoe UI"/>
          <w:color w:val="1E9ED5"/>
        </w:rPr>
        <w:t>5.2  P.complexityFactors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Complexity Level</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Default Multiplier</w:t>
            </w:r>
          </w:p>
        </w:tc>
        <w:tc>
          <w:tcPr>
            <w:tcW w:type="dxa" w:w="172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Configurable?</w:t>
            </w:r>
          </w:p>
        </w:tc>
        <w:tc>
          <w:tcPr>
            <w:tcW w:type="dxa" w:w="302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Effect on Velocity</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Easy</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0.5x</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Complexity points = estEffort x 0.5. Tasks count less toward velocity.</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1.0x</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Complexity points = estEffort x 1.0. Baseline multiplier.</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1.5x</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Complexity points = estEffort x 1.5. Tasks count more toward velocity.</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24" w:color="C67C00"/>
              <w:top w:val="none"/>
              <w:right w:val="none"/>
              <w:bottom w:val="none"/>
            </w:tcBorders>
          </w:tcPr>
          <w:p>
            <w:pPr>
              <w:spacing w:before="120" w:after="40"/>
              <w:ind w:left="144"/>
            </w:pPr>
            <w:r>
              <w:rPr>
                <w:rFonts w:ascii="Segoe UI" w:hAnsi="Segoe UI"/>
                <w:b/>
                <w:color w:val="7D4E00"/>
                <w:sz w:val="18"/>
              </w:rPr>
              <w:t xml:space="preserve">[WARNING]  </w:t>
            </w:r>
          </w:p>
          <w:p>
            <w:pPr>
              <w:spacing w:before="40" w:after="120"/>
              <w:ind w:left="144"/>
            </w:pPr>
            <w:r>
              <w:rPr>
                <w:rFonts w:ascii="Segoe UI" w:hAnsi="Segoe UI"/>
                <w:sz w:val="20"/>
              </w:rPr>
              <w:t>Changing complexity multipliers in Settings -&gt; Complexity Factors triggers an immediate full cache rebuild, updating all velocity, EVM, and burn-up chart calculations across the application.</w:t>
            </w:r>
          </w:p>
        </w:tc>
      </w:tr>
    </w:tbl>
    <w:p/>
    <w:p>
      <w:r>
        <w:br w:type="page"/>
      </w:r>
    </w:p>
    <w:p>
      <w:r>
        <w:br w:type="page"/>
      </w:r>
    </w:p>
    <w:p>
      <w:r>
        <w:br/>
        <w:br/>
        <w:br/>
        <w:br/>
      </w:r>
    </w:p>
    <w:p>
      <w:pPr>
        <w:jc w:val="center"/>
      </w:pPr>
      <w:r>
        <w:rPr>
          <w:rFonts w:ascii="Segoe UI" w:hAnsi="Segoe UI"/>
          <w:b/>
          <w:color w:val="00C2A8"/>
          <w:sz w:val="26"/>
        </w:rPr>
        <w:t>PART II</w:t>
      </w:r>
    </w:p>
    <w:p>
      <w:pPr>
        <w:jc w:val="center"/>
      </w:pPr>
      <w:r>
        <w:rPr>
          <w:rFonts w:ascii="Segoe UI" w:hAnsi="Segoe UI"/>
          <w:b/>
          <w:color w:val="0D1B2A"/>
          <w:sz w:val="64"/>
        </w:rPr>
        <w:t>Module Functional Specifications</w:t>
      </w:r>
    </w:p>
    <w:p>
      <w:pPr>
        <w:jc w:val="center"/>
      </w:pPr>
      <w:r>
        <w:rPr>
          <w:rFonts w:ascii="Segoe UI" w:hAnsi="Segoe UI"/>
          <w:color w:val="00C2A8"/>
          <w:sz w:val="28"/>
        </w:rPr>
        <w:t>────────────────────────────────────────</w:t>
      </w:r>
    </w:p>
    <w:p>
      <w:r>
        <w:br/>
      </w:r>
    </w:p>
    <w:p>
      <w:pPr>
        <w:jc w:val="center"/>
      </w:pPr>
      <w:r>
        <w:rPr>
          <w:rFonts w:ascii="Segoe UI" w:hAnsi="Segoe UI"/>
          <w:i/>
          <w:color w:val="6C757D"/>
          <w:sz w:val="24"/>
        </w:rPr>
        <w:t>Complete specification of all 12 product modules — formulas, workflows, state machines, and business rules.</w:t>
      </w:r>
    </w:p>
    <w:p>
      <w:r>
        <w:br w:type="page"/>
      </w:r>
    </w:p>
    <w:p>
      <w:pPr>
        <w:pStyle w:val="Heading1"/>
        <w:keepNext/>
        <w:spacing w:before="360" w:after="12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6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Style w:val="TableGrid"/>
        <w:tblW w:type="auto" w:w="0"/>
        <w:jc w:val="center"/>
        <w:tblLook w:firstColumn="1" w:firstRow="1" w:lastColumn="0" w:lastRow="0" w:noHBand="0" w:noVBand="1" w:val="04A0"/>
      </w:tblPr>
      <w:tblGrid>
        <w:gridCol w:w="3024"/>
        <w:gridCol w:w="3024"/>
        <w:gridCol w:w="3024"/>
      </w:tblGrid>
      <w:tr>
        <w:tc>
          <w:tcPr>
            <w:tcW w:type="dxa" w:w="23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Variable</w:t>
            </w:r>
          </w:p>
        </w:tc>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Source</w:t>
            </w:r>
          </w:p>
        </w:tc>
        <w:tc>
          <w:tcPr>
            <w:tcW w:type="dxa" w:w="432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Description</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Overdue</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P.cache.overdueTasks</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tasks past their due date.</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Blocked</w:t>
            </w:r>
          </w:p>
        </w:tc>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P.cache.blockedTasks</w:t>
            </w:r>
          </w:p>
        </w:tc>
        <w:tc>
          <w:tcPr>
            <w:tcW w:type="dxa" w:w="43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Tasks on hold or with unresolved dependencies.</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OnHold</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computed inline</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Tasks with status == On Hold.</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P.cache.totalTasks</w:t>
            </w:r>
          </w:p>
        </w:tc>
        <w:tc>
          <w:tcPr>
            <w:tcW w:type="dxa" w:w="43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Total non-Completed, non-Cancelled tasks.</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criticalRaids</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P.cache.criticalRaids</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 items with exposureScore &gt;= 15.</w:t>
            </w:r>
          </w:p>
        </w:tc>
      </w:tr>
      <w:tr>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s1Blockers</w:t>
            </w:r>
          </w:p>
        </w:tc>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P.cache.s1Blockers</w:t>
            </w:r>
          </w:p>
        </w:tc>
        <w:tc>
          <w:tcPr>
            <w:tcW w:type="dxa" w:w="43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Open defects with severity == S1 Blocker.</w:t>
            </w:r>
          </w:p>
        </w:tc>
      </w:tr>
      <w:tr>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s2Critical</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P.cache.s2Critical</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Open defects with severity == S2 High.</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24" w:color="5E35B1"/>
              <w:top w:val="none"/>
              <w:right w:val="none"/>
              <w:bottom w:val="none"/>
            </w:tcBorders>
          </w:tcPr>
          <w:p>
            <w:pPr>
              <w:spacing w:before="120" w:after="40"/>
              <w:ind w:left="144"/>
            </w:pPr>
            <w:r>
              <w:rPr>
                <w:rFonts w:ascii="Segoe UI" w:hAnsi="Segoe UI"/>
                <w:b/>
                <w:color w:val="1A237E"/>
                <w:sz w:val="18"/>
              </w:rPr>
              <w:t xml:space="preserve">[BUSINESS RULE]  </w:t>
            </w:r>
          </w:p>
          <w:p>
            <w:pPr>
              <w:spacing w:before="40" w:after="120"/>
              <w:ind w:left="144"/>
            </w:pPr>
            <w:r>
              <w:rPr>
                <w:rFonts w:ascii="Segoe UI" w:hAnsi="Segoe UI"/>
                <w:sz w:val="20"/>
              </w:rPr>
              <w:t>The Health Index is floored at 0 and capped at 100. Completed and Cancelled tasks are excluded from the Active denominator. The index cannot go negative.</w:t>
            </w:r>
          </w:p>
        </w:tc>
      </w:tr>
    </w:tbl>
    <w:p/>
    <w:p>
      <w:pPr>
        <w:pStyle w:val="Heading2"/>
        <w:keepNext/>
        <w:spacing w:before="36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Variable</w:t>
            </w:r>
          </w:p>
        </w:tc>
        <w:tc>
          <w:tcPr>
            <w:tcW w:type="dxa" w:w="633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Calculation</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weeklyVelocity</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3-week rolling average of completed complexity points per week. Excludes holiday weeks.</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weeksRemaining</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Calendar weeks between today and the latest task due date in the active schedule.</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remainingPoints</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SUM(estEffort * complexityFactor) for all incomplete tasks.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24" w:color="1565C0"/>
              <w:top w:val="none"/>
              <w:right w:val="none"/>
              <w:bottom w:val="none"/>
            </w:tcBorders>
          </w:tcPr>
          <w:p>
            <w:pPr>
              <w:spacing w:before="120" w:after="40"/>
              <w:ind w:left="144"/>
            </w:pPr>
            <w:r>
              <w:rPr>
                <w:rFonts w:ascii="Segoe UI" w:hAnsi="Segoe UI"/>
                <w:b/>
                <w:color w:val="0D4F8B"/>
                <w:sz w:val="18"/>
              </w:rPr>
              <w:t xml:space="preserve">[INFO]  </w:t>
            </w:r>
          </w:p>
          <w:p>
            <w:pPr>
              <w:spacing w:before="40" w:after="120"/>
              <w:ind w:left="144"/>
            </w:pPr>
            <w:r>
              <w:rPr>
                <w:rFonts w:ascii="Segoe UI" w:hAnsi="Segoe UI"/>
                <w:sz w:val="20"/>
              </w:rPr>
              <w:t>Delivery Confidence is floored at 30% to prevent alarming users when no historical velocity data exists (e.g., a newly created project). The 30% floor communicates uncertainty rather than impossibility.</w:t>
            </w:r>
          </w:p>
        </w:tc>
      </w:tr>
    </w:tbl>
    <w:p/>
    <w:p>
      <w:pPr>
        <w:pStyle w:val="Heading2"/>
        <w:keepNext/>
        <w:spacing w:before="36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6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Health Range</w:t>
            </w:r>
          </w:p>
        </w:tc>
        <w:tc>
          <w:tcPr>
            <w:tcW w:type="dxa" w:w="23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Gauge Colour</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Glow Effect</w:t>
            </w:r>
          </w:p>
        </w:tc>
        <w:tc>
          <w:tcPr>
            <w:tcW w:type="dxa" w:w="316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Interpretation</w:t>
            </w:r>
          </w:p>
        </w:tc>
      </w:tr>
      <w:tr>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80-100</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Green  (#27AE60)</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Green neon glow</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 healthy. Maintain pace.</w:t>
            </w:r>
          </w:p>
        </w:tc>
      </w:tr>
      <w:tr>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50-79</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Amber  (#E67E22)</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Amber glow</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Warning. One or more risk factors active.</w:t>
            </w:r>
          </w:p>
        </w:tc>
      </w:tr>
      <w:tr>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0-49</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Red    (#C0392B)</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Red pulsing glow</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 Immediate intervention required.</w:t>
            </w:r>
          </w:p>
        </w:tc>
      </w:tr>
    </w:tbl>
    <w:p>
      <w:pPr>
        <w:spacing w:after="120"/>
      </w:pPr>
    </w:p>
    <w:p>
      <w:pPr>
        <w:pStyle w:val="Heading2"/>
        <w:keepNext/>
        <w:spacing w:before="36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Sandbox Control</w:t>
            </w:r>
          </w:p>
        </w:tc>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Input</w:t>
            </w:r>
          </w:p>
        </w:tc>
        <w:tc>
          <w:tcPr>
            <w:tcW w:type="dxa" w:w="48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Effect on P.sandboxTasks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Capacity Slider</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-10% to -50%</w:t>
            </w:r>
          </w:p>
        </w:tc>
        <w:tc>
          <w:tcPr>
            <w:tcW w:type="dxa" w:w="48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Multiplies each task's duration by 1/(1-reduction). E.g. -20% extends all task durations by 1.25x.</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Scope Multiplier</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1.1x to 2.0x</w:t>
            </w:r>
          </w:p>
        </w:tc>
        <w:tc>
          <w:tcPr>
            <w:tcW w:type="dxa" w:w="48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Multiplies estEffort of all Incomplete tasks by the factor. Pushes forecast dates outward proportionally.</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Commit Changes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48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Copies sandboxTasks to P.tasks. Logs a Sandbox Commit entry in P.log. Calls save().</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Discard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t>
            </w:r>
          </w:p>
        </w:tc>
        <w:tc>
          <w:tcPr>
            <w:tcW w:type="dxa" w:w="48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Sets P.sandboxTasks = null. Restores views to live P.tasks. No log entry created.</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24" w:color="C0392B"/>
              <w:top w:val="none"/>
              <w:right w:val="none"/>
              <w:bottom w:val="none"/>
            </w:tcBorders>
          </w:tcPr>
          <w:p>
            <w:pPr>
              <w:spacing w:before="120" w:after="40"/>
              <w:ind w:left="144"/>
            </w:pPr>
            <w:r>
              <w:rPr>
                <w:rFonts w:ascii="Segoe UI" w:hAnsi="Segoe UI"/>
                <w:b/>
                <w:color w:val="6E2222"/>
                <w:sz w:val="18"/>
              </w:rPr>
              <w:t xml:space="preserve">[CAUTION]  </w:t>
            </w:r>
          </w:p>
          <w:p>
            <w:pPr>
              <w:spacing w:before="40" w:after="120"/>
              <w:ind w:left="144"/>
            </w:pPr>
            <w:r>
              <w:rPr>
                <w:rFonts w:ascii="Segoe UI" w:hAnsi="Segoe UI"/>
                <w:sz w:val="20"/>
              </w:rPr>
              <w:t>Always capture a Schedule Baseline (see Section 16) before clicking Commit. A Commit operation is irreversible without a baseline to restore from.</w:t>
            </w:r>
          </w:p>
        </w:tc>
      </w:tr>
    </w:tbl>
    <w:p/>
    <w:p>
      <w:pPr>
        <w:pStyle w:val="Heading2"/>
        <w:keepNext/>
        <w:spacing w:before="36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167062"/>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360" w:after="12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6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Metric</w:t>
            </w:r>
          </w:p>
        </w:tc>
        <w:tc>
          <w:tcPr>
            <w:tcW w:type="dxa" w:w="72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Abbr.</w:t>
            </w:r>
          </w:p>
        </w:tc>
        <w:tc>
          <w:tcPr>
            <w:tcW w:type="dxa" w:w="316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Formula</w:t>
            </w:r>
          </w:p>
        </w:tc>
        <w:tc>
          <w:tcPr>
            <w:tcW w:type="dxa" w:w="144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Green Threshold</w:t>
            </w:r>
          </w:p>
        </w:tc>
        <w:tc>
          <w:tcPr>
            <w:tcW w:type="dxa" w:w="273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Interpretation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Planned Value</w:t>
            </w:r>
          </w:p>
        </w:tc>
        <w:tc>
          <w:tcPr>
            <w:tcW w:type="dxa" w:w="7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PV</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totalBudget x (daysElapsed / totalDays)</w:t>
            </w:r>
          </w:p>
        </w:tc>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N/A</w:t>
            </w:r>
          </w:p>
        </w:tc>
        <w:tc>
          <w:tcPr>
            <w:tcW w:type="dxa" w:w="27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Budget that should have been consumed by today per original plan.</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Earned Value</w:t>
            </w:r>
          </w:p>
        </w:tc>
        <w:tc>
          <w:tcPr>
            <w:tcW w:type="dxa" w:w="7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EV</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totalBudget x (completedPoints / totalPoints)</w:t>
            </w:r>
          </w:p>
        </w:tc>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EV &gt;= PV</w:t>
            </w:r>
          </w:p>
        </w:tc>
        <w:tc>
          <w:tcPr>
            <w:tcW w:type="dxa" w:w="27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Value of work actually delivered relative to plan.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Actual Cost</w:t>
            </w:r>
          </w:p>
        </w:tc>
        <w:tc>
          <w:tcPr>
            <w:tcW w:type="dxa" w:w="7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SUM(actEffort) x blendedRate</w:t>
            </w:r>
          </w:p>
        </w:tc>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 &lt;= EV</w:t>
            </w:r>
          </w:p>
        </w:tc>
        <w:tc>
          <w:tcPr>
            <w:tcW w:type="dxa" w:w="27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Real cost of resources consumed to date.</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 Variance</w:t>
            </w:r>
          </w:p>
        </w:tc>
        <w:tc>
          <w:tcPr>
            <w:tcW w:type="dxa" w:w="7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SV</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EV - PV</w:t>
            </w:r>
          </w:p>
        </w:tc>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SV &gt;= 0</w:t>
            </w:r>
          </w:p>
        </w:tc>
        <w:tc>
          <w:tcPr>
            <w:tcW w:type="dxa" w:w="27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Positive = ahead of schedule. Negative = behind schedule.</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 Performance Index</w:t>
            </w:r>
          </w:p>
        </w:tc>
        <w:tc>
          <w:tcPr>
            <w:tcW w:type="dxa" w:w="7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SPI</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EV / PV</w:t>
            </w:r>
          </w:p>
        </w:tc>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SPI &gt;= 1.0</w:t>
            </w:r>
          </w:p>
        </w:tc>
        <w:tc>
          <w:tcPr>
            <w:tcW w:type="dxa" w:w="27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SPI &lt; 1.0 = schedule slippage. SPI &gt; 1.0 = ahead of schedule.</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Cost Variance</w:t>
            </w:r>
          </w:p>
        </w:tc>
        <w:tc>
          <w:tcPr>
            <w:tcW w:type="dxa" w:w="7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CV</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EV - AC</w:t>
            </w:r>
          </w:p>
        </w:tc>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CV &gt;= 0</w:t>
            </w:r>
          </w:p>
        </w:tc>
        <w:tc>
          <w:tcPr>
            <w:tcW w:type="dxa" w:w="27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Positive = under budget. Negative = over budget.</w:t>
            </w:r>
          </w:p>
        </w:tc>
      </w:tr>
    </w:tbl>
    <w:p>
      <w:pPr>
        <w:spacing w:after="120"/>
      </w:pPr>
    </w:p>
    <w:p>
      <w:pPr>
        <w:pStyle w:val="Heading3"/>
        <w:keepNext/>
        <w:spacing w:before="360" w:after="12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76085"/>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76085"/>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60" w:after="120"/>
      </w:pPr>
      <w:r>
        <w:rPr>
          <w:rFonts w:ascii="Segoe UI" w:hAnsi="Segoe UI"/>
          <w:color w:val="1E9ED5"/>
        </w:rPr>
        <w:t>7.2  Burn-Up Chart Rendering</w:t>
      </w:r>
    </w:p>
    <w:p>
      <w:pPr>
        <w:spacing w:before="0" w:after="120"/>
      </w:pPr>
      <w:r>
        <w:rPr>
          <w:rFonts w:ascii="Segoe UI" w:hAnsi="Segoe UI"/>
          <w:sz w:val="21"/>
        </w:rPr>
        <w:t>The burn-up chart displays three lines plotted on a weekly time axis:</w:t>
      </w:r>
    </w:p>
    <w:p>
      <w:pPr>
        <w:pStyle w:val="ListBullet"/>
        <w:spacing w:before="0" w:after="60"/>
        <w:ind w:left="360"/>
      </w:pPr>
      <w:r>
        <w:rPr>
          <w:rFonts w:ascii="Segoe UI" w:hAnsi="Segoe UI"/>
          <w:sz w:val="21"/>
        </w:rPr>
        <w:t>Scope Line (Blue): SUM(estEffort x complexityFactor) for all tasks at each week. Rises when scope is added.</w:t>
      </w:r>
    </w:p>
    <w:p>
      <w:pPr>
        <w:pStyle w:val="ListBullet"/>
        <w:spacing w:before="0" w:after="60"/>
        <w:ind w:left="360"/>
      </w:pPr>
      <w:r>
        <w:rPr>
          <w:rFonts w:ascii="Segoe UI" w:hAnsi="Segoe UI"/>
          <w:sz w:val="21"/>
        </w:rPr>
        <w:t>Completion Line (Green): Cumulative SUM of completed task complexity points per week, using actCompletionDate for attribution.</w:t>
      </w:r>
    </w:p>
    <w:p>
      <w:pPr>
        <w:pStyle w:val="ListBullet"/>
        <w:spacing w:before="0" w:after="60"/>
        <w:ind w:left="360"/>
      </w:pPr>
      <w:r>
        <w:rPr>
          <w:rFonts w:ascii="Segoe UI" w:hAnsi="Segoe UI"/>
          <w:sz w:val="21"/>
        </w:rPr>
        <w:t>Projection Line (Dashed Amber): Linear extrapolation from current completion to 100% scope, based on rolling 3-week velocity.</w:t>
      </w:r>
    </w:p>
    <w:p>
      <w:pPr>
        <w:spacing w:before="0" w:after="80"/>
      </w:pPr>
      <w:r>
        <w:rPr>
          <w:rFonts w:ascii="Segoe UI" w:hAnsi="Segoe UI"/>
          <w:sz w:val="21"/>
        </w:rPr>
        <w:t>Projection formula:</w:t>
      </w:r>
    </w:p>
    <w:p>
      <w:pPr>
        <w:spacing w:before="120" w:after="160"/>
        <w:ind w:left="576"/>
      </w:pPr>
      <w:r>
        <w:rPr>
          <w:rFonts w:ascii="Courier New" w:hAnsi="Courier New"/>
          <w:b/>
          <w:color w:val="1E9ED5"/>
          <w:sz w:val="21"/>
        </w:rPr>
        <w:t>weeksToComplete = remainingPoints / weeklyVelocity</w:t>
        <w:br/>
        <w:t>projectedEndDate = today + weeksToComplete weeks</w:t>
      </w:r>
    </w:p>
    <w:tbl>
      <w:tblPr>
        <w:tblStyle w:val="TableGrid"/>
        <w:tblW w:type="auto" w:w="0"/>
        <w:jc w:val="center"/>
        <w:tblLook w:firstColumn="1" w:firstRow="1" w:lastColumn="0" w:lastRow="0" w:noHBand="0" w:noVBand="1" w:val="04A0"/>
      </w:tblPr>
      <w:tblGrid>
        <w:gridCol w:w="9072"/>
      </w:tblGrid>
      <w:tr>
        <w:tc>
          <w:tcPr>
            <w:tcW w:type="dxa" w:w="9072"/>
            <w:shd w:val="clear" w:color="auto" w:fill="E8F4FD"/>
            <w:tcBorders>
              <w:left w:val="single" w:sz="24" w:color="1565C0"/>
              <w:top w:val="none"/>
              <w:right w:val="none"/>
              <w:bottom w:val="none"/>
            </w:tcBorders>
          </w:tcPr>
          <w:p>
            <w:pPr>
              <w:spacing w:before="120" w:after="40"/>
              <w:ind w:left="144"/>
            </w:pPr>
            <w:r>
              <w:rPr>
                <w:rFonts w:ascii="Segoe UI" w:hAnsi="Segoe UI"/>
                <w:b/>
                <w:color w:val="0D4F8B"/>
                <w:sz w:val="18"/>
              </w:rPr>
              <w:t xml:space="preserve">[INFO]  </w:t>
            </w:r>
          </w:p>
          <w:p>
            <w:pPr>
              <w:spacing w:before="40" w:after="120"/>
              <w:ind w:left="144"/>
            </w:pPr>
            <w:r>
              <w:rPr>
                <w:rFonts w:ascii="Segoe UI" w:hAnsi="Segoe UI"/>
                <w:sz w:val="20"/>
              </w:rPr>
              <w:t>The projection line is only displayed when at least 3 weeks of velocity data exist. On newly created projects, only the Scope and Completion lines are shown.</w:t>
            </w:r>
          </w:p>
        </w:tc>
      </w:tr>
    </w:tbl>
    <w:p/>
    <w:p>
      <w:pPr>
        <w:pStyle w:val="Heading2"/>
        <w:keepNext/>
        <w:spacing w:before="36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24" w:color="5E35B1"/>
              <w:top w:val="none"/>
              <w:right w:val="none"/>
              <w:bottom w:val="none"/>
            </w:tcBorders>
          </w:tcPr>
          <w:p>
            <w:pPr>
              <w:spacing w:before="120" w:after="40"/>
              <w:ind w:left="144"/>
            </w:pPr>
            <w:r>
              <w:rPr>
                <w:rFonts w:ascii="Segoe UI" w:hAnsi="Segoe UI"/>
                <w:b/>
                <w:color w:val="1A237E"/>
                <w:sz w:val="18"/>
              </w:rPr>
              <w:t xml:space="preserve">[BUSINESS RULE]  </w:t>
            </w:r>
          </w:p>
          <w:p>
            <w:pPr>
              <w:spacing w:before="40" w:after="120"/>
              <w:ind w:left="144"/>
            </w:pPr>
            <w:r>
              <w:rPr>
                <w:rFonts w:ascii="Segoe UI" w:hAnsi="Segoe UI"/>
                <w:sz w:val="20"/>
              </w:rPr>
              <w:t>This retrospective date resolution is essential for teams who log completed work after the fact. Without it, all activity would cluster on the log entry dates rather than the actual completion dates, producing misleading velocity data.</w:t>
            </w:r>
          </w:p>
        </w:tc>
      </w:tr>
    </w:tbl>
    <w:p/>
    <w:p>
      <w:r>
        <w:br w:type="page"/>
      </w:r>
    </w:p>
    <w:p>
      <w:pPr>
        <w:pStyle w:val="Heading1"/>
        <w:keepNext/>
        <w:spacing w:before="360" w:after="12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6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6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6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From Status</w:t>
            </w:r>
          </w:p>
        </w:tc>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To Status</w:t>
            </w:r>
          </w:p>
        </w:tc>
        <w:tc>
          <w:tcPr>
            <w:tcW w:type="dxa" w:w="3168"/>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Guard / Condition</w:t>
            </w:r>
          </w:p>
        </w:tc>
        <w:tc>
          <w:tcPr>
            <w:tcW w:type="dxa" w:w="2016"/>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Required Effect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Not Started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Not Started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Cancelled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Under Review</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On Hold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Comment required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with comment.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Cancelled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Comment required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with comment.</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Under Review</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Completed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actCompletionDate = today. Log entry.</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Under Review</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Under Review</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Cancelled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Comment required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with comment.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On Hold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On Hold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Under Review</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On Hold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Cancelled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Comment required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with comment.</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Completed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 Progress</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 (re-open)</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Clear actCompletionDate. Log re-open.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Cancelled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Not Started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guard (re-activate)</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entry.</w:t>
            </w:r>
          </w:p>
        </w:tc>
      </w:tr>
    </w:tbl>
    <w:p>
      <w:pPr>
        <w:spacing w:after="120"/>
      </w:pPr>
    </w:p>
    <w:p>
      <w:pPr>
        <w:pStyle w:val="Heading3"/>
        <w:keepNext/>
        <w:spacing w:before="360" w:after="12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2833688"/>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2833688"/>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6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6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6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6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360" w:after="12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6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Zoom Level</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pixelsPerDay</w:t>
            </w:r>
          </w:p>
        </w:tc>
        <w:tc>
          <w:tcPr>
            <w:tcW w:type="dxa" w:w="48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Visible Horizon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Day</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60px</w:t>
            </w:r>
          </w:p>
        </w:tc>
        <w:tc>
          <w:tcPr>
            <w:tcW w:type="dxa" w:w="48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4 weeks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12px</w:t>
            </w:r>
          </w:p>
        </w:tc>
        <w:tc>
          <w:tcPr>
            <w:tcW w:type="dxa" w:w="48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6 months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Month</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4px</w:t>
            </w:r>
          </w:p>
        </w:tc>
        <w:tc>
          <w:tcPr>
            <w:tcW w:type="dxa" w:w="48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18 months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Quarter</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1.5px</w:t>
            </w:r>
          </w:p>
        </w:tc>
        <w:tc>
          <w:tcPr>
            <w:tcW w:type="dxa" w:w="48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3 years</w:t>
            </w:r>
          </w:p>
        </w:tc>
      </w:tr>
    </w:tbl>
    <w:p>
      <w:pPr>
        <w:spacing w:after="120"/>
      </w:pPr>
    </w:p>
    <w:p>
      <w:pPr>
        <w:pStyle w:val="Heading2"/>
        <w:keepNext/>
        <w:spacing w:before="36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360" w:after="12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167062"/>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6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24" w:color="C67C00"/>
              <w:top w:val="none"/>
              <w:right w:val="none"/>
              <w:bottom w:val="none"/>
            </w:tcBorders>
          </w:tcPr>
          <w:p>
            <w:pPr>
              <w:spacing w:before="120" w:after="40"/>
              <w:ind w:left="144"/>
            </w:pPr>
            <w:r>
              <w:rPr>
                <w:rFonts w:ascii="Segoe UI" w:hAnsi="Segoe UI"/>
                <w:b/>
                <w:color w:val="7D4E00"/>
                <w:sz w:val="18"/>
              </w:rPr>
              <w:t xml:space="preserve">[WARNING]  </w:t>
            </w:r>
          </w:p>
          <w:p>
            <w:pPr>
              <w:spacing w:before="40" w:after="120"/>
              <w:ind w:left="144"/>
            </w:pPr>
            <w:r>
              <w:rPr>
                <w:rFonts w:ascii="Segoe UI" w:hAnsi="Segoe UI"/>
                <w:sz w:val="20"/>
              </w:rPr>
              <w:t>Drag-reschedule modifies the live P.tasks schedule. Use Sandbox Mode to experiment safely before applying changes to the live plan.</w:t>
            </w:r>
          </w:p>
        </w:tc>
      </w:tr>
    </w:tbl>
    <w:p/>
    <w:p>
      <w:r>
        <w:br w:type="page"/>
      </w:r>
    </w:p>
    <w:p>
      <w:pPr>
        <w:pStyle w:val="Heading1"/>
        <w:keepNext/>
        <w:spacing w:before="360" w:after="12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6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6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60" w:after="120"/>
      </w:pPr>
      <w:r>
        <w:rPr>
          <w:rFonts w:ascii="Segoe UI" w:hAnsi="Segoe UI"/>
          <w:color w:val="1E9ED5"/>
        </w:rPr>
        <w:t>10.3  Heatmap Cell State Classification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State</w:t>
            </w:r>
          </w:p>
        </w:tc>
        <w:tc>
          <w:tcPr>
            <w:tcW w:type="dxa" w:w="302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Condition</w:t>
            </w:r>
          </w:p>
        </w:tc>
        <w:tc>
          <w:tcPr>
            <w:tcW w:type="dxa" w:w="172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Hex Colour</w:t>
            </w:r>
          </w:p>
        </w:tc>
        <w:tc>
          <w:tcPr>
            <w:tcW w:type="dxa" w:w="158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Cell Label</w:t>
            </w:r>
          </w:p>
        </w:tc>
        <w:tc>
          <w:tcPr>
            <w:tcW w:type="dxa" w:w="244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Action Required</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On Leave</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weeklyCapacity == 0 (leave recorded)</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#374151</w:t>
            </w:r>
          </w:p>
        </w:tc>
        <w:tc>
          <w:tcPr>
            <w:tcW w:type="dxa" w:w="158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0h / 0h</w:t>
            </w:r>
          </w:p>
        </w:tc>
        <w:tc>
          <w:tcPr>
            <w:tcW w:type="dxa" w:w="24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tasks should be assigned.</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Over-allocated</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allocation &gt; capacity</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#7F1D1D</w:t>
            </w:r>
          </w:p>
        </w:tc>
        <w:tc>
          <w:tcPr>
            <w:tcW w:type="dxa" w:w="158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XXh / YYh</w:t>
            </w:r>
          </w:p>
        </w:tc>
        <w:tc>
          <w:tcPr>
            <w:tcW w:type="dxa" w:w="24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Reassign tasks or extend dates.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Optimal</w:t>
            </w:r>
          </w:p>
        </w:tc>
        <w:tc>
          <w:tcPr>
            <w:tcW w:type="dxa" w:w="302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0.8 * capacity &lt;= allocation &lt;= capacity</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14532D</w:t>
            </w:r>
          </w:p>
        </w:tc>
        <w:tc>
          <w:tcPr>
            <w:tcW w:type="dxa" w:w="158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XXh / YYh</w:t>
            </w:r>
          </w:p>
        </w:tc>
        <w:tc>
          <w:tcPr>
            <w:tcW w:type="dxa" w:w="24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action required.</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Under-utilised</w:t>
            </w:r>
          </w:p>
        </w:tc>
        <w:tc>
          <w:tcPr>
            <w:tcW w:type="dxa" w:w="302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allocation &lt; 0.7 * capacity</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#374151</w:t>
            </w:r>
          </w:p>
        </w:tc>
        <w:tc>
          <w:tcPr>
            <w:tcW w:type="dxa" w:w="158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XXh / YYh</w:t>
            </w:r>
          </w:p>
        </w:tc>
        <w:tc>
          <w:tcPr>
            <w:tcW w:type="dxa" w:w="24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Consider additional assignments.</w:t>
            </w:r>
          </w:p>
        </w:tc>
      </w:tr>
    </w:tbl>
    <w:p>
      <w:pPr>
        <w:spacing w:after="120"/>
      </w:pPr>
    </w:p>
    <w:p>
      <w:pPr>
        <w:pStyle w:val="Heading2"/>
        <w:keepNext/>
        <w:spacing w:before="36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Conflict Type</w:t>
            </w:r>
          </w:p>
        </w:tc>
        <w:tc>
          <w:tcPr>
            <w:tcW w:type="dxa" w:w="432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Detection Condition</w:t>
            </w:r>
          </w:p>
        </w:tc>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Severity</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Over-Allocation</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weeklyAllocation(member, week) &gt; weeklyCapacity(member, week)</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Dependency Violation</w:t>
            </w:r>
          </w:p>
        </w:tc>
        <w:tc>
          <w:tcPr>
            <w:tcW w:type="dxa" w:w="432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task.startDate &lt; predecessor.dueDate for any predecessor in task.dependsOn</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Scheduling Gap</w:t>
            </w:r>
          </w:p>
        </w:tc>
        <w:tc>
          <w:tcPr>
            <w:tcW w:type="dxa" w:w="432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 task has no assignee and its start date is within 7 days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r>
    </w:tbl>
    <w:p>
      <w:pPr>
        <w:spacing w:after="120"/>
      </w:pPr>
    </w:p>
    <w:p>
      <w:pPr>
        <w:pStyle w:val="Heading2"/>
        <w:keepNext/>
        <w:spacing w:before="36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86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Heuristic</w:t>
            </w:r>
          </w:p>
        </w:tc>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Name</w:t>
            </w:r>
          </w:p>
        </w:tc>
        <w:tc>
          <w:tcPr>
            <w:tcW w:type="dxa" w:w="374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Logic</w:t>
            </w:r>
          </w:p>
        </w:tc>
        <w:tc>
          <w:tcPr>
            <w:tcW w:type="dxa" w:w="172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Pre-condition</w:t>
            </w:r>
          </w:p>
        </w:tc>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Post-condition</w:t>
            </w:r>
          </w:p>
        </w:tc>
      </w:tr>
      <w:tr>
        <w:tc>
          <w:tcPr>
            <w:tcW w:type="dxa" w:w="8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Auto-Sequence</w:t>
            </w:r>
          </w:p>
        </w:tc>
        <w:tc>
          <w:tcPr>
            <w:tcW w:type="dxa" w:w="374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For each dependency violation (Task_A -&gt; Task_B overlap): set Task_B.startDate = Task_A.dueDate + 1 day. Recalculate Task_B.dueDate = Task_B.startDate + originalDuration.</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Both tasks in sandbox.</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Task_B starts after Task_A ends.</w:t>
            </w:r>
          </w:p>
        </w:tc>
      </w:tr>
      <w:tr>
        <w:tc>
          <w:tcPr>
            <w:tcW w:type="dxa" w:w="8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Smart Reassignment</w:t>
            </w:r>
          </w:p>
        </w:tc>
        <w:tc>
          <w:tcPr>
            <w:tcW w:type="dxa" w:w="374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Role-matched member with spare capacity exists.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M's allocation drops below capacity.</w:t>
            </w:r>
          </w:p>
        </w:tc>
      </w:tr>
      <w:tr>
        <w:tc>
          <w:tcPr>
            <w:tcW w:type="dxa" w:w="8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Cascading Date Shift</w:t>
            </w:r>
          </w:p>
        </w:tc>
        <w:tc>
          <w:tcPr>
            <w:tcW w:type="dxa" w:w="374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Dependency graph is acyclic.</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All dependent tasks are scheduled after their predecessors.</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DE7F6"/>
            <w:tcBorders>
              <w:left w:val="single" w:sz="24" w:color="5E35B1"/>
              <w:top w:val="none"/>
              <w:right w:val="none"/>
              <w:bottom w:val="none"/>
            </w:tcBorders>
          </w:tcPr>
          <w:p>
            <w:pPr>
              <w:spacing w:before="120" w:after="40"/>
              <w:ind w:left="144"/>
            </w:pPr>
            <w:r>
              <w:rPr>
                <w:rFonts w:ascii="Segoe UI" w:hAnsi="Segoe UI"/>
                <w:b/>
                <w:color w:val="1A237E"/>
                <w:sz w:val="18"/>
              </w:rPr>
              <w:t xml:space="preserve">[BUSINESS RULE]  </w:t>
            </w:r>
          </w:p>
          <w:p>
            <w:pPr>
              <w:spacing w:before="40" w:after="120"/>
              <w:ind w:left="144"/>
            </w:pPr>
            <w:r>
              <w:rPr>
                <w:rFonts w:ascii="Segoe UI" w:hAnsi="Segoe UI"/>
                <w:sz w:val="20"/>
              </w:rPr>
              <w:t>All Copilot resolutions are applied to P.sandboxTasks only. The Diagnostics panel shows the proposed changes in full before the user clicks Commit.</w:t>
            </w:r>
          </w:p>
        </w:tc>
      </w:tr>
    </w:tbl>
    <w:p/>
    <w:p>
      <w:pPr>
        <w:pStyle w:val="Heading3"/>
        <w:keepNext/>
        <w:spacing w:before="360" w:after="12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167062"/>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60" w:after="120"/>
      </w:pPr>
      <w:r>
        <w:rPr>
          <w:rFonts w:ascii="Segoe UI" w:hAnsi="Segoe UI"/>
          <w:color w:val="1E9ED5"/>
        </w:rPr>
        <w:t>10.6  Sandbox Lifecycle — State Machine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From Status</w:t>
            </w:r>
          </w:p>
        </w:tc>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To Status</w:t>
            </w:r>
          </w:p>
        </w:tc>
        <w:tc>
          <w:tcPr>
            <w:tcW w:type="dxa" w:w="3168"/>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Guard / Condition</w:t>
            </w:r>
          </w:p>
        </w:tc>
        <w:tc>
          <w:tcPr>
            <w:tcW w:type="dxa" w:w="2016"/>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Required Effect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INACTIVE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(CLEAN)</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 enables Sandbox toggle</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Deep-clone P.tasks into P.sandboxTasks.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(CLEAN)</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(DIRTY)</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 adjusts Capacity or Scope sliders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Mutations applied to P.sandboxTasks only.</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(DIRTY)</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(DIRTY)</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 runs Copilot resolver</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Additional mutations applied to P.sandboxTasks.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(DIRTY)</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COMMITTED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 clicks Commit Changes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Copy P.sandboxTasks to P.tasks. Log entry. Call save(). Set P.sandboxTasks=null.</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(CLEAN)</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INACTIVE</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 clicks Discard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P.sandboxTasks=null. Views revert to P.tasks.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 (DIRTY)</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INACTIVE</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User clicks Discard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P.sandboxTasks=null. All sandbox changes lost.</w:t>
            </w:r>
          </w:p>
        </w:tc>
      </w:tr>
    </w:tbl>
    <w:p>
      <w:pPr>
        <w:spacing w:after="120"/>
      </w:pPr>
    </w:p>
    <w:p>
      <w:r>
        <w:br w:type="page"/>
      </w:r>
    </w:p>
    <w:p>
      <w:pPr>
        <w:pStyle w:val="Heading1"/>
        <w:keepNext/>
        <w:spacing w:before="360" w:after="12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60" w:after="120"/>
      </w:pPr>
      <w:r>
        <w:rPr>
          <w:rFonts w:ascii="Segoe UI" w:hAnsi="Segoe UI"/>
          <w:color w:val="1E9ED5"/>
        </w:rPr>
        <w:t>11.1  Classification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Type</w:t>
            </w:r>
          </w:p>
        </w:tc>
        <w:tc>
          <w:tcPr>
            <w:tcW w:type="dxa" w:w="316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Definition</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Who Raises It</w:t>
            </w:r>
          </w:p>
        </w:tc>
        <w:tc>
          <w:tcPr>
            <w:tcW w:type="dxa" w:w="23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Management Action</w:t>
            </w:r>
          </w:p>
        </w:tc>
      </w:tr>
      <w:tr>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Risk</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 potential future event that could negatively impact timeline, scope, or quality.</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Any team member</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Mitigate, transfer, or accept before the event occurs.</w:t>
            </w:r>
          </w:p>
        </w:tc>
      </w:tr>
      <w:tr>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Assumption</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 factor believed to be true for planning purposes without verified evidence.</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 Manager / Analyst</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Validate through testing or stakeholder confirmation.</w:t>
            </w:r>
          </w:p>
        </w:tc>
      </w:tr>
      <w:tr>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Issue</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An active, current problem impacting timeline, scope, or budget.</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Any team member</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Resolve immediately via assigned owner with clear mitigation strategy.</w:t>
            </w:r>
          </w:p>
        </w:tc>
      </w:tr>
      <w:tr>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Dependency</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 reliance on an external team, system, vendor, or deliverable.</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Lead Engineer / PM</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Map to task schedules. Monitor checkpoint dates. Escalate delays immediately.</w:t>
            </w:r>
          </w:p>
        </w:tc>
      </w:tr>
    </w:tbl>
    <w:p>
      <w:pPr>
        <w:spacing w:after="120"/>
      </w:pPr>
    </w:p>
    <w:p>
      <w:pPr>
        <w:pStyle w:val="Heading2"/>
        <w:keepNext/>
        <w:spacing w:before="36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Probability Label</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Int Value</w:t>
            </w:r>
          </w:p>
        </w:tc>
        <w:tc>
          <w:tcPr>
            <w:tcW w:type="dxa" w:w="158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Impact Label</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Int Value</w:t>
            </w:r>
          </w:p>
        </w:tc>
        <w:tc>
          <w:tcPr>
            <w:tcW w:type="dxa" w:w="172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Score Range</w:t>
            </w:r>
          </w:p>
        </w:tc>
        <w:tc>
          <w:tcPr>
            <w:tcW w:type="dxa" w:w="18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Rating</w:t>
            </w:r>
          </w:p>
        </w:tc>
      </w:tr>
      <w:tr>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3</w:t>
            </w:r>
          </w:p>
        </w:tc>
        <w:tc>
          <w:tcPr>
            <w:tcW w:type="dxa" w:w="158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3</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7-9</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 (Red)</w:t>
            </w:r>
          </w:p>
        </w:tc>
      </w:tr>
      <w:tr>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2</w:t>
            </w:r>
          </w:p>
        </w:tc>
        <w:tc>
          <w:tcPr>
            <w:tcW w:type="dxa" w:w="158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2</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4-6</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 (Amber)</w:t>
            </w:r>
          </w:p>
        </w:tc>
      </w:tr>
      <w:tr>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Low</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w:t>
            </w:r>
          </w:p>
        </w:tc>
        <w:tc>
          <w:tcPr>
            <w:tcW w:type="dxa" w:w="158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Low</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1-3</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Low (Green)</w:t>
            </w:r>
          </w:p>
        </w:tc>
      </w:tr>
    </w:tbl>
    <w:p>
      <w:pPr>
        <w:spacing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Score Range</w:t>
            </w:r>
          </w:p>
        </w:tc>
        <w:tc>
          <w:tcPr>
            <w:tcW w:type="dxa" w:w="144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Rating</w:t>
            </w:r>
          </w:p>
        </w:tc>
        <w:tc>
          <w:tcPr>
            <w:tcW w:type="dxa" w:w="129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Colour</w:t>
            </w:r>
          </w:p>
        </w:tc>
        <w:tc>
          <w:tcPr>
            <w:tcW w:type="dxa" w:w="532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Management Protocol</w:t>
            </w:r>
          </w:p>
        </w:tc>
      </w:tr>
      <w:tr>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7-9</w:t>
            </w:r>
          </w:p>
        </w:tc>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Red</w:t>
            </w:r>
          </w:p>
        </w:tc>
        <w:tc>
          <w:tcPr>
            <w:tcW w:type="dxa" w:w="53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Immediate mitigation plan required. Executive escalation mandatory. Contributes -5% to Health Index.</w:t>
            </w:r>
          </w:p>
        </w:tc>
      </w:tr>
      <w:tr>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4-6</w:t>
            </w:r>
          </w:p>
        </w:tc>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129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Amber</w:t>
            </w:r>
          </w:p>
        </w:tc>
        <w:tc>
          <w:tcPr>
            <w:tcW w:type="dxa" w:w="53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Weekly monitoring. Mitigation plan within 5 business days.</w:t>
            </w:r>
          </w:p>
        </w:tc>
      </w:tr>
      <w:tr>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1-3</w:t>
            </w:r>
          </w:p>
        </w:tc>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Low</w:t>
            </w:r>
          </w:p>
        </w:tc>
        <w:tc>
          <w:tcPr>
            <w:tcW w:type="dxa" w:w="129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Green</w:t>
            </w:r>
          </w:p>
        </w:tc>
        <w:tc>
          <w:tcPr>
            <w:tcW w:type="dxa" w:w="53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Logged and reviewed bi-weekly. No immediate action required.</w:t>
            </w:r>
          </w:p>
        </w:tc>
      </w:tr>
    </w:tbl>
    <w:p>
      <w:pPr>
        <w:spacing w:after="120"/>
      </w:pPr>
    </w:p>
    <w:p>
      <w:pPr>
        <w:pStyle w:val="Heading2"/>
        <w:keepNext/>
        <w:spacing w:before="360" w:after="120"/>
      </w:pPr>
      <w:r>
        <w:rPr>
          <w:rFonts w:ascii="Segoe UI" w:hAnsi="Segoe UI"/>
          <w:color w:val="1E9ED5"/>
        </w:rPr>
        <w:t>11.3  RAID Item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From Status</w:t>
            </w:r>
          </w:p>
        </w:tc>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To Status</w:t>
            </w:r>
          </w:p>
        </w:tc>
        <w:tc>
          <w:tcPr>
            <w:tcW w:type="dxa" w:w="3168"/>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Guard / Condition</w:t>
            </w:r>
          </w:p>
        </w:tc>
        <w:tc>
          <w:tcPr>
            <w:tcW w:type="dxa" w:w="2016"/>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Required Effect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Identified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Owner and mitigation plan assigned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Send notification to owner. Log status change.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Mitigation actions completed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closedDate. Log status change. Recalculate Health Index.</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Realized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Risk event has occurred (for Risks)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Convert to Issue. Log status change.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Mitigated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Closed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Effectiveness confirmed over 2+ weeks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closedDate. Permanently archived.</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Mitigation proved ineffective</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Clear closedDate. Reassign owner. Log re-activation.</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Identified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Closed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Item found invalid upon triage</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closedDate. Log closure.</w:t>
            </w:r>
          </w:p>
        </w:tc>
      </w:tr>
    </w:tbl>
    <w:p>
      <w:pPr>
        <w:spacing w:after="120"/>
      </w:pPr>
    </w:p>
    <w:p>
      <w:pPr>
        <w:pStyle w:val="Heading3"/>
        <w:keepNext/>
        <w:spacing w:before="360" w:after="12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167062"/>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0"/>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6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Style w:val="TableGrid"/>
        <w:tblW w:type="auto" w:w="0"/>
        <w:jc w:val="center"/>
        <w:tblLook w:firstColumn="1" w:firstRow="1" w:lastColumn="0" w:lastRow="0" w:noHBand="0" w:noVBand="1" w:val="04A0"/>
      </w:tblPr>
      <w:tblGrid>
        <w:gridCol w:w="9072"/>
      </w:tblGrid>
      <w:tr>
        <w:tc>
          <w:tcPr>
            <w:tcW w:type="dxa" w:w="9072"/>
            <w:shd w:val="clear" w:color="auto" w:fill="E8F5E9"/>
            <w:tcBorders>
              <w:left w:val="single" w:sz="24" w:color="2E7D32"/>
              <w:top w:val="none"/>
              <w:right w:val="none"/>
              <w:bottom w:val="none"/>
            </w:tcBorders>
          </w:tcPr>
          <w:p>
            <w:pPr>
              <w:spacing w:before="120" w:after="40"/>
              <w:ind w:left="144"/>
            </w:pPr>
            <w:r>
              <w:rPr>
                <w:rFonts w:ascii="Segoe UI" w:hAnsi="Segoe UI"/>
                <w:b/>
                <w:color w:val="1B5E20"/>
                <w:sz w:val="18"/>
              </w:rPr>
              <w:t xml:space="preserve">[CONSTRAINT]  </w:t>
            </w:r>
          </w:p>
          <w:p>
            <w:pPr>
              <w:spacing w:before="40" w:after="120"/>
              <w:ind w:left="144"/>
            </w:pPr>
            <w:r>
              <w:rPr>
                <w:rFonts w:ascii="Segoe UI" w:hAnsi="Segoe UI"/>
                <w:sz w:val="20"/>
              </w:rPr>
              <w:t>Governance requirement: every Active RAID item must have an Owner, a Mitigation Strategy, and a Target Closure Date. The application enforces these three fields before allowing an item to transition from Identified to Active.</w:t>
            </w:r>
          </w:p>
        </w:tc>
      </w:tr>
    </w:tbl>
    <w:p/>
    <w:p>
      <w:r>
        <w:br w:type="page"/>
      </w:r>
    </w:p>
    <w:p>
      <w:pPr>
        <w:pStyle w:val="Heading1"/>
        <w:keepNext/>
        <w:spacing w:before="360" w:after="12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6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60" w:after="120"/>
      </w:pPr>
      <w:r>
        <w:rPr>
          <w:rFonts w:ascii="Segoe UI" w:hAnsi="Segoe UI"/>
          <w:color w:val="1E9ED5"/>
        </w:rPr>
        <w:t>12.2  Member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From Status</w:t>
            </w:r>
          </w:p>
        </w:tc>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To Status</w:t>
            </w:r>
          </w:p>
        </w:tc>
        <w:tc>
          <w:tcPr>
            <w:tcW w:type="dxa" w:w="3168"/>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Guard / Condition</w:t>
            </w:r>
          </w:p>
        </w:tc>
        <w:tc>
          <w:tcPr>
            <w:tcW w:type="dxa" w:w="2016"/>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Required Effect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On Leave</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Leave period starts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effectiveCapacity set to 0 for leave weeks.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On Leave</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Leave period ends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effectiveCapacity restored to normal.</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Other Assignment</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 temporarily reassigned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Excluded from Scheduler capacity. Tasks remain assigned.</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Active</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Serving Notice Period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Resignation submitted</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Excluded from future task assignments in Copilot.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Serving Notice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Departed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Employment ended</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Excluded from all capacity and assignment logic.</w:t>
            </w:r>
          </w:p>
        </w:tc>
      </w:tr>
    </w:tbl>
    <w:p>
      <w:pPr>
        <w:spacing w:after="120"/>
      </w:pPr>
    </w:p>
    <w:p>
      <w:pPr>
        <w:pStyle w:val="Heading2"/>
        <w:keepNext/>
        <w:spacing w:before="36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Style w:val="TableGrid"/>
        <w:tblW w:type="auto" w:w="0"/>
        <w:jc w:val="center"/>
        <w:tblLook w:firstColumn="1" w:firstRow="1" w:lastColumn="0" w:lastRow="0" w:noHBand="0" w:noVBand="1" w:val="04A0"/>
      </w:tblPr>
      <w:tblGrid>
        <w:gridCol w:w="9072"/>
      </w:tblGrid>
      <w:tr>
        <w:tc>
          <w:tcPr>
            <w:tcW w:type="dxa" w:w="9072"/>
            <w:shd w:val="clear" w:color="auto" w:fill="E1F5FE"/>
            <w:tcBorders>
              <w:left w:val="single" w:sz="24" w:color="0277BD"/>
              <w:top w:val="none"/>
              <w:right w:val="none"/>
              <w:bottom w:val="none"/>
            </w:tcBorders>
          </w:tcPr>
          <w:p>
            <w:pPr>
              <w:spacing w:before="120" w:after="40"/>
              <w:ind w:left="144"/>
            </w:pPr>
            <w:r>
              <w:rPr>
                <w:rFonts w:ascii="Segoe UI" w:hAnsi="Segoe UI"/>
                <w:b/>
                <w:color w:val="01579B"/>
                <w:sz w:val="18"/>
              </w:rPr>
              <w:t xml:space="preserve">[INTEGRATION]  </w:t>
            </w:r>
          </w:p>
          <w:p>
            <w:pPr>
              <w:spacing w:before="40" w:after="120"/>
              <w:ind w:left="144"/>
            </w:pPr>
            <w:r>
              <w:rPr>
                <w:rFonts w:ascii="Segoe UI" w:hAnsi="Segoe UI"/>
                <w:sz w:val="20"/>
              </w:rPr>
              <w:t>Role names are configured in Settings -&gt; Dropdown Manager -&gt; Role. Ensure role names are consistent across all member profiles for Copilot to function correctly.</w:t>
            </w:r>
          </w:p>
        </w:tc>
      </w:tr>
    </w:tbl>
    <w:p/>
    <w:p>
      <w:r>
        <w:br w:type="page"/>
      </w:r>
    </w:p>
    <w:p>
      <w:pPr>
        <w:pStyle w:val="Heading1"/>
        <w:keepNext/>
        <w:spacing w:before="360" w:after="12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60" w:after="120"/>
      </w:pPr>
      <w:r>
        <w:rPr>
          <w:rFonts w:ascii="Segoe UI" w:hAnsi="Segoe UI"/>
          <w:color w:val="1E9ED5"/>
        </w:rPr>
        <w:t>13.1  Severity Matrix &amp; SLA Targets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58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Severity</w:t>
            </w:r>
          </w:p>
        </w:tc>
        <w:tc>
          <w:tcPr>
            <w:tcW w:type="dxa" w:w="86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Code</w:t>
            </w:r>
          </w:p>
        </w:tc>
        <w:tc>
          <w:tcPr>
            <w:tcW w:type="dxa" w:w="331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Definition</w:t>
            </w:r>
          </w:p>
        </w:tc>
        <w:tc>
          <w:tcPr>
            <w:tcW w:type="dxa" w:w="230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Health Index Impact</w:t>
            </w:r>
          </w:p>
        </w:tc>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SLA Target</w:t>
            </w:r>
          </w:p>
        </w:tc>
      </w:tr>
      <w:tr>
        <w:tc>
          <w:tcPr>
            <w:tcW w:type="dxa" w:w="158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Blocker</w:t>
            </w:r>
          </w:p>
        </w:tc>
        <w:tc>
          <w:tcPr>
            <w:tcW w:type="dxa" w:w="8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S1</w:t>
            </w:r>
          </w:p>
        </w:tc>
        <w:tc>
          <w:tcPr>
            <w:tcW w:type="dxa" w:w="331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Critical function completely broken. No workaround. Application unusable.</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-10% per active Blocker</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24 hours</w:t>
            </w:r>
          </w:p>
        </w:tc>
      </w:tr>
      <w:tr>
        <w:tc>
          <w:tcPr>
            <w:tcW w:type="dxa" w:w="158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High</w:t>
            </w:r>
          </w:p>
        </w:tc>
        <w:tc>
          <w:tcPr>
            <w:tcW w:type="dxa" w:w="8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S2</w:t>
            </w:r>
          </w:p>
        </w:tc>
        <w:tc>
          <w:tcPr>
            <w:tcW w:type="dxa" w:w="331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Major functionality impaired. Temporary workaround exists but is impractical.</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-5% per active High</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48 hours</w:t>
            </w:r>
          </w:p>
        </w:tc>
      </w:tr>
      <w:tr>
        <w:tc>
          <w:tcPr>
            <w:tcW w:type="dxa" w:w="158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Medium</w:t>
            </w:r>
          </w:p>
        </w:tc>
        <w:tc>
          <w:tcPr>
            <w:tcW w:type="dxa" w:w="8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S3</w:t>
            </w:r>
          </w:p>
        </w:tc>
        <w:tc>
          <w:tcPr>
            <w:tcW w:type="dxa" w:w="331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Significant issue. Clear and stable workaround available.</w:t>
            </w:r>
          </w:p>
        </w:tc>
        <w:tc>
          <w:tcPr>
            <w:tcW w:type="dxa" w:w="230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-2% per active Medium</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5 business days</w:t>
            </w:r>
          </w:p>
        </w:tc>
      </w:tr>
      <w:tr>
        <w:tc>
          <w:tcPr>
            <w:tcW w:type="dxa" w:w="158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Low</w:t>
            </w:r>
          </w:p>
        </w:tc>
        <w:tc>
          <w:tcPr>
            <w:tcW w:type="dxa" w:w="8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S4</w:t>
            </w:r>
          </w:p>
        </w:tc>
        <w:tc>
          <w:tcPr>
            <w:tcW w:type="dxa" w:w="331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Trivial cosmetic issue, spelling error, or minor UI inconsistency.</w:t>
            </w:r>
          </w:p>
        </w:tc>
        <w:tc>
          <w:tcPr>
            <w:tcW w:type="dxa" w:w="230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-0.5% per active Low</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10 business days</w:t>
            </w:r>
          </w:p>
        </w:tc>
      </w:tr>
    </w:tbl>
    <w:p>
      <w:pPr>
        <w:spacing w:after="12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60" w:after="120"/>
      </w:pPr>
      <w:r>
        <w:rPr>
          <w:rFonts w:ascii="Segoe UI" w:hAnsi="Segoe UI"/>
          <w:color w:val="1E9ED5"/>
        </w:rPr>
        <w:t>13.2  Defect Status Lifecycle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From Status</w:t>
            </w:r>
          </w:p>
        </w:tc>
        <w:tc>
          <w:tcPr>
            <w:tcW w:type="dxa" w:w="2160"/>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To Status</w:t>
            </w:r>
          </w:p>
        </w:tc>
        <w:tc>
          <w:tcPr>
            <w:tcW w:type="dxa" w:w="3168"/>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Guard / Condition</w:t>
            </w:r>
          </w:p>
        </w:tc>
        <w:tc>
          <w:tcPr>
            <w:tcW w:type="dxa" w:w="2016"/>
            <w:shd w:val="clear" w:color="auto" w:fill="1A1A2E"/>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Required Effect</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New</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Owner allocated by Engineering Manager</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Notify assignee.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Fixed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Developer applies code fix</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SLA timer stops.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Fixed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Retest</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Fix deployed to test environment</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Notify QA.</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Retest</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Closed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QA verifies fix is correct</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closedDate. Health penalty removed.</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Retest</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QA finds fix incomplete (re-open)</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Notify developer.</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New</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Rejected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 is by design or not reproducible</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closedDate. Log rejection reason.</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Rejected</w:t>
            </w:r>
          </w:p>
        </w:tc>
        <w:tc>
          <w:tcPr>
            <w:tcW w:type="dxa" w:w="316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Investigation reveals non-defect</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closedDate. Log rejection reason.</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Assigned</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Deferred</w:t>
            </w:r>
          </w:p>
        </w:tc>
        <w:tc>
          <w:tcPr>
            <w:tcW w:type="dxa" w:w="316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Fix postponed to future release</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Log Status Changed with release target.</w:t>
            </w:r>
          </w:p>
        </w:tc>
      </w:tr>
    </w:tbl>
    <w:p>
      <w:pPr>
        <w:spacing w:after="120"/>
      </w:pPr>
    </w:p>
    <w:p>
      <w:pPr>
        <w:pStyle w:val="Heading3"/>
        <w:keepNext/>
        <w:spacing w:before="360" w:after="12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2833688"/>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3"/>
                    <a:stretch>
                      <a:fillRect/>
                    </a:stretch>
                  </pic:blipFill>
                  <pic:spPr>
                    <a:xfrm>
                      <a:off x="0" y="0"/>
                      <a:ext cx="5760720" cy="2833688"/>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6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360" w:after="12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6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360" w:after="12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167062"/>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5"/>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60" w:after="120"/>
      </w:pPr>
      <w:r>
        <w:rPr>
          <w:rFonts w:ascii="Segoe UI" w:hAnsi="Segoe UI"/>
          <w:color w:val="1E9ED5"/>
        </w:rPr>
        <w:t>14.2  Excel Workbook Architecture — 8 Sheets</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Sheet</w:t>
            </w:r>
          </w:p>
        </w:tc>
        <w:tc>
          <w:tcPr>
            <w:tcW w:type="dxa" w:w="504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Contents</w:t>
            </w:r>
          </w:p>
        </w:tc>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Live Formulas</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System State</w:t>
            </w:r>
          </w:p>
        </w:tc>
        <w:tc>
          <w:tcPr>
            <w:tcW w:type="dxa" w:w="50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Project name, description, settings, effort unit, last saved timestamp, file sync path.</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Tasks</w:t>
            </w:r>
          </w:p>
        </w:tc>
        <w:tc>
          <w:tcPr>
            <w:tcW w:type="dxa" w:w="50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Full task register: all fields, baseline dates, variance calculations, slippage reasons.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 (variance)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Team</w:t>
            </w:r>
          </w:p>
        </w:tc>
        <w:tc>
          <w:tcPr>
            <w:tcW w:type="dxa" w:w="50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Member directory: roles, statuses, capacity parameters, leave records.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 Register</w:t>
            </w:r>
          </w:p>
        </w:tc>
        <w:tc>
          <w:tcPr>
            <w:tcW w:type="dxa" w:w="50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All RAID items: type, exposure score, owner, mitigation, status lifecycle.</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 (exposure)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Defects</w:t>
            </w:r>
          </w:p>
        </w:tc>
        <w:tc>
          <w:tcPr>
            <w:tcW w:type="dxa" w:w="50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Complete defect log: severity, priority, status, SLA, linked tasks, repro steps.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 (SLA)</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Activity Log</w:t>
            </w:r>
          </w:p>
        </w:tc>
        <w:tc>
          <w:tcPr>
            <w:tcW w:type="dxa" w:w="50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Last 500 audit log entries: timestamps, users, actions, diff payloads.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Baselines</w:t>
            </w:r>
          </w:p>
        </w:tc>
        <w:tc>
          <w:tcPr>
            <w:tcW w:type="dxa" w:w="50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All captured baseline snapshots with per-task variance calculations.</w:t>
            </w:r>
          </w:p>
        </w:tc>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 (variance)</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Releases</w:t>
            </w:r>
          </w:p>
        </w:tc>
        <w:tc>
          <w:tcPr>
            <w:tcW w:type="dxa" w:w="50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Release version registry with status and target dates.</w:t>
            </w:r>
          </w:p>
        </w:tc>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w:t>
            </w:r>
          </w:p>
        </w:tc>
      </w:tr>
    </w:tbl>
    <w:p>
      <w:pPr>
        <w:spacing w:after="120"/>
      </w:pPr>
    </w:p>
    <w:p>
      <w:pPr>
        <w:pStyle w:val="Heading2"/>
        <w:keepNext/>
        <w:spacing w:before="360" w:after="120"/>
      </w:pPr>
      <w:r>
        <w:rPr>
          <w:rFonts w:ascii="Segoe UI" w:hAnsi="Segoe UI"/>
          <w:color w:val="1E9ED5"/>
        </w:rPr>
        <w:t>14.3  Excel Cell Colour Coding Rules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Colour</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Background Hex</w:t>
            </w:r>
          </w:p>
        </w:tc>
        <w:tc>
          <w:tcPr>
            <w:tcW w:type="dxa" w:w="172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Text Hex</w:t>
            </w:r>
          </w:p>
        </w:tc>
        <w:tc>
          <w:tcPr>
            <w:tcW w:type="dxa" w:w="417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Applied When</w:t>
            </w:r>
          </w:p>
        </w:tc>
      </w:tr>
      <w:tr>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Green</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#D1E7DD</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#0F5132</w:t>
            </w:r>
          </w:p>
        </w:tc>
        <w:tc>
          <w:tcPr>
            <w:tcW w:type="dxa" w:w="417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 = Completed / Closed / Mitigated / Low RAID exposure.</w:t>
            </w:r>
          </w:p>
        </w:tc>
      </w:tr>
      <w:tr>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Yellow</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#FFF3CD</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#664D03</w:t>
            </w:r>
          </w:p>
        </w:tc>
        <w:tc>
          <w:tcPr>
            <w:tcW w:type="dxa" w:w="417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 = In Progress / Under Review / Medium risk / Deferred.</w:t>
            </w:r>
          </w:p>
        </w:tc>
      </w:tr>
      <w:tr>
        <w:tc>
          <w:tcPr>
            <w:tcW w:type="dxa" w:w="144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Red</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#F8D7DA</w:t>
            </w:r>
          </w:p>
        </w:tc>
        <w:tc>
          <w:tcPr>
            <w:tcW w:type="dxa" w:w="172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#842029</w:t>
            </w:r>
          </w:p>
        </w:tc>
        <w:tc>
          <w:tcPr>
            <w:tcW w:type="dxa" w:w="417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 = Blocked / Overdue / Critical risk / S1-S2 Defect.</w:t>
            </w:r>
          </w:p>
        </w:tc>
      </w:tr>
      <w:tr>
        <w:tc>
          <w:tcPr>
            <w:tcW w:type="dxa" w:w="144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Grey</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#F8F9FA</w:t>
            </w:r>
          </w:p>
        </w:tc>
        <w:tc>
          <w:tcPr>
            <w:tcW w:type="dxa" w:w="172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#6C757D</w:t>
            </w:r>
          </w:p>
        </w:tc>
        <w:tc>
          <w:tcPr>
            <w:tcW w:type="dxa" w:w="417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Status = Cancelled / Rejected / On Hold / Departed member.</w:t>
            </w:r>
          </w:p>
        </w:tc>
      </w:tr>
    </w:tbl>
    <w:p>
      <w:pPr>
        <w:spacing w:after="120"/>
      </w:pPr>
    </w:p>
    <w:tbl>
      <w:tblPr>
        <w:tblStyle w:val="TableGrid"/>
        <w:tblW w:type="auto" w:w="0"/>
        <w:jc w:val="center"/>
        <w:tblLook w:firstColumn="1" w:firstRow="1" w:lastColumn="0" w:lastRow="0" w:noHBand="0" w:noVBand="1" w:val="04A0"/>
      </w:tblPr>
      <w:tblGrid>
        <w:gridCol w:w="9072"/>
      </w:tblGrid>
      <w:tr>
        <w:tc>
          <w:tcPr>
            <w:tcW w:type="dxa" w:w="9072"/>
            <w:shd w:val="clear" w:color="auto" w:fill="E9F7EF"/>
            <w:tcBorders>
              <w:left w:val="single" w:sz="24" w:color="1E8449"/>
              <w:top w:val="none"/>
              <w:right w:val="none"/>
              <w:bottom w:val="none"/>
            </w:tcBorders>
          </w:tcPr>
          <w:p>
            <w:pPr>
              <w:spacing w:before="120" w:after="40"/>
              <w:ind w:left="144"/>
            </w:pPr>
            <w:r>
              <w:rPr>
                <w:rFonts w:ascii="Segoe UI" w:hAnsi="Segoe UI"/>
                <w:b/>
                <w:color w:val="145A32"/>
                <w:sz w:val="18"/>
              </w:rPr>
              <w:t xml:space="preserve">[TIP]  </w:t>
            </w:r>
          </w:p>
          <w:p>
            <w:pPr>
              <w:spacing w:before="40" w:after="120"/>
              <w:ind w:left="144"/>
            </w:pPr>
            <w:r>
              <w:rPr>
                <w:rFonts w:ascii="Segoe UI" w:hAnsi="Segoe UI"/>
                <w:sz w:val="20"/>
              </w:rPr>
              <w:t>Excel cells in the Tasks sheet contain live formulas for Variance Days and Effort Variance. Stakeholders can modify the workbook after export without breaking these calculations.</w:t>
            </w:r>
          </w:p>
        </w:tc>
      </w:tr>
    </w:tbl>
    <w:p/>
    <w:p>
      <w:r>
        <w:br w:type="page"/>
      </w:r>
    </w:p>
    <w:p>
      <w:pPr>
        <w:pStyle w:val="Heading1"/>
        <w:keepNext/>
        <w:spacing w:before="360" w:after="12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both accountability reporting and session rollback.</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6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24" w:color="C67C00"/>
              <w:top w:val="none"/>
              <w:right w:val="none"/>
              <w:bottom w:val="none"/>
            </w:tcBorders>
          </w:tcPr>
          <w:p>
            <w:pPr>
              <w:spacing w:before="120" w:after="40"/>
              <w:ind w:left="144"/>
            </w:pPr>
            <w:r>
              <w:rPr>
                <w:rFonts w:ascii="Segoe UI" w:hAnsi="Segoe UI"/>
                <w:b/>
                <w:color w:val="7D4E00"/>
                <w:sz w:val="18"/>
              </w:rPr>
              <w:t xml:space="preserve">[WARNING]  </w:t>
            </w:r>
          </w:p>
          <w:p>
            <w:pPr>
              <w:spacing w:before="40" w:after="120"/>
              <w:ind w:left="144"/>
            </w:pPr>
            <w:r>
              <w:rPr>
                <w:rFonts w:ascii="Segoe UI" w:hAnsi="Segoe UI"/>
                <w:sz w:val="20"/>
              </w:rPr>
              <w:t>The 500-entry auto-pruning policy removes the oldest entries when the log exceeds 500 records. Export the log to Excel before reaching this limit if a permanent audit record is required.</w:t>
            </w:r>
          </w:p>
        </w:tc>
      </w:tr>
    </w:tbl>
    <w:p/>
    <w:p>
      <w:pPr>
        <w:pStyle w:val="Heading2"/>
        <w:keepNext/>
        <w:spacing w:before="360" w:after="120"/>
      </w:pPr>
      <w:r>
        <w:rPr>
          <w:rFonts w:ascii="Segoe UI" w:hAnsi="Segoe UI"/>
          <w:color w:val="1E9ED5"/>
        </w:rPr>
        <w:t>15.2  Session Rollback Algorithm</w:t>
      </w:r>
    </w:p>
    <w:p>
      <w:pPr>
        <w:spacing w:before="0" w:after="120"/>
      </w:pPr>
      <w:r>
        <w:rPr>
          <w:rFonts w:ascii="Segoe UI" w:hAnsi="Segoe UI"/>
          <w:sz w:val="21"/>
        </w:rPr>
        <w:t>The rollback system computes the inverse of all log entries between the current state and the target restore point, then applies them in reverse chronological order.</w:t>
      </w:r>
    </w:p>
    <w:p>
      <w:pPr>
        <w:pStyle w:val="ListNumber"/>
        <w:spacing w:before="0" w:after="60"/>
      </w:pPr>
      <w:r>
        <w:rPr>
          <w:rFonts w:ascii="Segoe UI" w:hAnsi="Segoe UI"/>
          <w:sz w:val="21"/>
        </w:rPr>
        <w:t>User selects a target log entry (the desired restore point).</w:t>
      </w:r>
    </w:p>
    <w:p>
      <w:pPr>
        <w:pStyle w:val="ListNumber"/>
        <w:spacing w:before="0" w:after="60"/>
      </w:pPr>
      <w:r>
        <w:rPr>
          <w:rFonts w:ascii="Segoe UI" w:hAnsi="Segoe UI"/>
          <w:sz w:val="21"/>
        </w:rPr>
        <w:t>System collects all log entries with ts &gt; target.ts in reverse chronological order.</w:t>
      </w:r>
    </w:p>
    <w:p>
      <w:pPr>
        <w:pStyle w:val="ListNumber"/>
        <w:spacing w:before="0" w:after="60"/>
      </w:pPr>
      <w:r>
        <w:rPr>
          <w:rFonts w:ascii="Segoe UI" w:hAnsi="Segoe UI"/>
          <w:sz w:val="21"/>
        </w:rPr>
        <w:t>For each collected log entry, the inverse operation is computed:</w:t>
      </w:r>
    </w:p>
    <w:p>
      <w:pPr>
        <w:pStyle w:val="ListBullet"/>
        <w:spacing w:before="0" w:after="60"/>
        <w:ind w:left="720"/>
      </w:pPr>
      <w:r>
        <w:rPr>
          <w:rFonts w:ascii="Segoe UI" w:hAnsi="Segoe UI"/>
          <w:sz w:val="21"/>
        </w:rPr>
        <w:t>Created -&gt; Deleted (remove entity from array).</w:t>
      </w:r>
    </w:p>
    <w:p>
      <w:pPr>
        <w:pStyle w:val="ListBullet"/>
        <w:spacing w:before="0" w:after="60"/>
        <w:ind w:left="720"/>
      </w:pPr>
      <w:r>
        <w:rPr>
          <w:rFonts w:ascii="Segoe UI" w:hAnsi="Segoe UI"/>
          <w:sz w:val="21"/>
        </w:rPr>
        <w:t>Updated -&gt; Updated (swap oldVal/newVal, restore previous value).</w:t>
      </w:r>
    </w:p>
    <w:p>
      <w:pPr>
        <w:pStyle w:val="ListBullet"/>
        <w:spacing w:before="0" w:after="60"/>
        <w:ind w:left="720"/>
      </w:pPr>
      <w:r>
        <w:rPr>
          <w:rFonts w:ascii="Segoe UI" w:hAnsi="Segoe UI"/>
          <w:sz w:val="21"/>
        </w:rPr>
        <w:t>Status Changed -&gt; Status Changed (restore previous status).</w:t>
      </w:r>
    </w:p>
    <w:p>
      <w:pPr>
        <w:pStyle w:val="ListBullet"/>
        <w:spacing w:before="0" w:after="60"/>
        <w:ind w:left="720"/>
      </w:pPr>
      <w:r>
        <w:rPr>
          <w:rFonts w:ascii="Segoe UI" w:hAnsi="Segoe UI"/>
          <w:sz w:val="21"/>
        </w:rPr>
        <w:t>Deleted -&gt; Created (restore entity from snapshot in log entry).</w:t>
      </w:r>
    </w:p>
    <w:p>
      <w:pPr>
        <w:pStyle w:val="ListNumber"/>
        <w:spacing w:before="0" w:after="60"/>
      </w:pPr>
      <w:r>
        <w:rPr>
          <w:rFonts w:ascii="Segoe UI" w:hAnsi="Segoe UI"/>
          <w:sz w:val="21"/>
        </w:rPr>
        <w:t>Inverse operations are applied sequentially to P.tasks/P.raids/P.defects/P.members.</w:t>
      </w:r>
    </w:p>
    <w:p>
      <w:pPr>
        <w:pStyle w:val="ListNumber"/>
        <w:spacing w:before="0" w:after="60"/>
      </w:pPr>
      <w:r>
        <w:rPr>
          <w:rFonts w:ascii="Segoe UI" w:hAnsi="Segoe UI"/>
          <w:sz w:val="21"/>
        </w:rPr>
        <w:t>render() is called after all inverses are applied.</w:t>
      </w:r>
    </w:p>
    <w:p>
      <w:pPr>
        <w:pStyle w:val="ListNumber"/>
        <w:spacing w:before="0" w:after="60"/>
      </w:pPr>
      <w:r>
        <w:rPr>
          <w:rFonts w:ascii="Segoe UI" w:hAnsi="Segoe UI"/>
          <w:sz w:val="21"/>
        </w:rPr>
        <w:t>A new 'Rollback' entry is appended to P.log describing what was restored.</w:t>
      </w:r>
    </w:p>
    <w:p>
      <w:pPr>
        <w:pStyle w:val="ListNumber"/>
        <w:spacing w:before="0" w:after="60"/>
      </w:pPr>
      <w:r>
        <w:rPr>
          <w:rFonts w:ascii="Segoe UI" w:hAnsi="Segoe UI"/>
          <w:sz w:val="21"/>
        </w:rPr>
        <w:t>save() is called to persist the restored state.</w:t>
      </w:r>
    </w:p>
    <w:p>
      <w:r>
        <w:br w:type="page"/>
      </w:r>
    </w:p>
    <w:p>
      <w:pPr>
        <w:pStyle w:val="Heading1"/>
        <w:keepNext/>
        <w:spacing w:before="360" w:after="12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60" w:after="120"/>
      </w:pPr>
      <w:r>
        <w:rPr>
          <w:rFonts w:ascii="Segoe UI" w:hAnsi="Segoe UI"/>
          <w:color w:val="1E9ED5"/>
        </w:rPr>
        <w:t>16.1  Three Date Set Model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1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Date Set</w:t>
            </w:r>
          </w:p>
        </w:tc>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Task Fields</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Lifecycle</w:t>
            </w:r>
          </w:p>
        </w:tc>
        <w:tc>
          <w:tcPr>
            <w:tcW w:type="dxa" w:w="2448"/>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Purpose</w:t>
            </w:r>
          </w:p>
        </w:tc>
      </w:tr>
      <w:tr>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Planned Dates</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startDate, dueDate, estEffort</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Updated during execution</w:t>
            </w:r>
          </w:p>
        </w:tc>
        <w:tc>
          <w:tcPr>
            <w:tcW w:type="dxa" w:w="24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Current target dates that resources work towards.</w:t>
            </w:r>
          </w:p>
        </w:tc>
      </w:tr>
      <w:tr>
        <w:tc>
          <w:tcPr>
            <w:tcW w:type="dxa" w:w="201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 Dates</w:t>
            </w:r>
          </w:p>
        </w:tc>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baselineStartDate, baselineDueDate, baselineEffort</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Frozen at capture; updated at each new snapshot</w:t>
            </w:r>
          </w:p>
        </w:tc>
        <w:tc>
          <w:tcPr>
            <w:tcW w:type="dxa" w:w="2448"/>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Immutable reference for variance calculation.</w:t>
            </w:r>
          </w:p>
        </w:tc>
      </w:tr>
      <w:tr>
        <w:tc>
          <w:tcPr>
            <w:tcW w:type="dxa" w:w="201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Actual Dates</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actCompletionDate, actEffort</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Set when task is completed</w:t>
            </w:r>
          </w:p>
        </w:tc>
        <w:tc>
          <w:tcPr>
            <w:tcW w:type="dxa" w:w="2448"/>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Real completion dates used for EVM and velocity reporting.</w:t>
            </w:r>
          </w:p>
        </w:tc>
      </w:tr>
    </w:tbl>
    <w:p>
      <w:pPr>
        <w:spacing w:after="120"/>
      </w:pPr>
    </w:p>
    <w:p>
      <w:pPr>
        <w:pStyle w:val="Heading2"/>
        <w:keepNext/>
        <w:spacing w:before="36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6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6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Style w:val="TableGrid"/>
        <w:tblW w:type="auto" w:w="0"/>
        <w:jc w:val="center"/>
        <w:tblLook w:firstColumn="1" w:firstRow="1" w:lastColumn="0" w:lastRow="0" w:noHBand="0" w:noVBand="1" w:val="04A0"/>
      </w:tblPr>
      <w:tblGrid>
        <w:gridCol w:w="9072"/>
      </w:tblGrid>
      <w:tr>
        <w:tc>
          <w:tcPr>
            <w:tcW w:type="dxa" w:w="9072"/>
            <w:shd w:val="clear" w:color="auto" w:fill="FDEDEC"/>
            <w:tcBorders>
              <w:left w:val="single" w:sz="24" w:color="C0392B"/>
              <w:top w:val="none"/>
              <w:right w:val="none"/>
              <w:bottom w:val="none"/>
            </w:tcBorders>
          </w:tcPr>
          <w:p>
            <w:pPr>
              <w:spacing w:before="120" w:after="40"/>
              <w:ind w:left="144"/>
            </w:pPr>
            <w:r>
              <w:rPr>
                <w:rFonts w:ascii="Segoe UI" w:hAnsi="Segoe UI"/>
                <w:b/>
                <w:color w:val="6E2222"/>
                <w:sz w:val="18"/>
              </w:rPr>
              <w:t xml:space="preserve">[CAUTION]  </w:t>
            </w:r>
          </w:p>
          <w:p>
            <w:pPr>
              <w:spacing w:before="40" w:after="120"/>
              <w:ind w:left="144"/>
            </w:pPr>
            <w:r>
              <w:rPr>
                <w:rFonts w:ascii="Segoe UI" w:hAnsi="Segoe UI"/>
                <w:sz w:val="20"/>
              </w:rPr>
              <w:t>A restore operation overwrites all current planned dates. Always capture a 'Current State' snapshot before restoring a historical baseline, so you can return to the pre-restore position if needed.</w:t>
            </w:r>
          </w:p>
        </w:tc>
      </w:tr>
    </w:tbl>
    <w:p/>
    <w:p>
      <w:pPr>
        <w:pStyle w:val="Heading3"/>
        <w:keepNext/>
        <w:spacing w:before="360" w:after="12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167062"/>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7"/>
                    <a:stretch>
                      <a:fillRect/>
                    </a:stretch>
                  </pic:blipFill>
                  <pic:spPr>
                    <a:xfrm>
                      <a:off x="0" y="0"/>
                      <a:ext cx="5760720" cy="3167062"/>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360" w:after="12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9072"/>
      </w:tblGrid>
      <w:tr>
        <w:tc>
          <w:tcPr>
            <w:tcW w:type="dxa" w:w="9072"/>
            <w:shd w:val="clear" w:color="auto" w:fill="FFFFFF"/>
            <w:tcBorders>
              <w:top w:val="single" w:sz="4" w:color="E2E8F0"/>
              <w:left w:val="single" w:sz="4" w:color="E2E8F0"/>
              <w:bottom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6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24" w:color="C67C00"/>
              <w:top w:val="none"/>
              <w:right w:val="none"/>
              <w:bottom w:val="none"/>
            </w:tcBorders>
          </w:tcPr>
          <w:p>
            <w:pPr>
              <w:spacing w:before="120" w:after="40"/>
              <w:ind w:left="144"/>
            </w:pPr>
            <w:r>
              <w:rPr>
                <w:rFonts w:ascii="Segoe UI" w:hAnsi="Segoe UI"/>
                <w:b/>
                <w:color w:val="7D4E00"/>
                <w:sz w:val="18"/>
              </w:rPr>
              <w:t xml:space="preserve">[WARNING]  </w:t>
            </w:r>
          </w:p>
          <w:p>
            <w:pPr>
              <w:spacing w:before="40" w:after="120"/>
              <w:ind w:left="144"/>
            </w:pPr>
            <w:r>
              <w:rPr>
                <w:rFonts w:ascii="Segoe UI" w:hAnsi="Segoe UI"/>
                <w:sz w:val="20"/>
              </w:rPr>
              <w:t>Removing a dropdown option that is currently assigned to active tasks will NOT delete those tasks or their data — the old value is preserved on existing records. However, the old value will not appear as a selectable option for new assignments.</w:t>
            </w:r>
          </w:p>
        </w:tc>
      </w:tr>
    </w:tbl>
    <w:p/>
    <w:p>
      <w:pPr>
        <w:pStyle w:val="Heading2"/>
        <w:keepNext/>
        <w:spacing w:before="36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Attribute</w:t>
            </w:r>
          </w:p>
        </w:tc>
        <w:tc>
          <w:tcPr>
            <w:tcW w:type="dxa" w:w="633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Value</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Supported Types</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Text, Number, Date, Dropdown (with custom option list), Checkbox</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Scope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Custom fields are defined independently for Tasks and for Defects</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Visibility</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Custom fields appear as additional columns in Delivery Matrix and Defect Tracker</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Persistence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Custom field values stored in task.customFields[fieldId] = value</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Export</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Custom field columns are included in the Tasks and Defects sheets of the Excel workbook</w:t>
            </w:r>
          </w:p>
        </w:tc>
      </w:tr>
    </w:tbl>
    <w:p>
      <w:pPr>
        <w:spacing w:after="120"/>
      </w:pPr>
    </w:p>
    <w:p>
      <w:pPr>
        <w:pStyle w:val="Heading2"/>
        <w:keepNext/>
        <w:spacing w:before="36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jc w:val="center"/>
      </w:pPr>
      <w:r>
        <w:rPr>
          <w:rFonts w:ascii="Segoe UI" w:hAnsi="Segoe UI"/>
          <w:b/>
          <w:color w:val="00C2A8"/>
          <w:sz w:val="26"/>
        </w:rPr>
        <w:t>PART III</w:t>
      </w:r>
    </w:p>
    <w:p>
      <w:pPr>
        <w:jc w:val="center"/>
      </w:pPr>
      <w:r>
        <w:rPr>
          <w:rFonts w:ascii="Segoe UI" w:hAnsi="Segoe UI"/>
          <w:b/>
          <w:color w:val="0D1B2A"/>
          <w:sz w:val="64"/>
        </w:rPr>
        <w:t>Cross-Cutting Concerns</w:t>
      </w:r>
    </w:p>
    <w:p>
      <w:pPr>
        <w:jc w:val="center"/>
      </w:pPr>
      <w:r>
        <w:rPr>
          <w:rFonts w:ascii="Segoe UI" w:hAnsi="Segoe UI"/>
          <w:color w:val="00C2A8"/>
          <w:sz w:val="28"/>
        </w:rPr>
        <w:t>────────────────────────────────────────</w:t>
      </w:r>
    </w:p>
    <w:p>
      <w:r>
        <w:br/>
      </w:r>
    </w:p>
    <w:p>
      <w:pPr>
        <w:jc w:val="center"/>
      </w:pPr>
      <w:r>
        <w:rPr>
          <w:rFonts w:ascii="Segoe UI" w:hAnsi="Segoe UI"/>
          <w:i/>
          <w:color w:val="6C757D"/>
          <w:sz w:val="24"/>
        </w:rPr>
        <w:t>Security, performance limits, browser compatibility, and error handling.</w:t>
      </w:r>
    </w:p>
    <w:p>
      <w:r>
        <w:br w:type="page"/>
      </w:r>
    </w:p>
    <w:p>
      <w:pPr>
        <w:pStyle w:val="Heading1"/>
        <w:keepNext/>
        <w:spacing w:before="360" w:after="12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Style w:val="TableGrid"/>
        <w:tblW w:type="auto" w:w="0"/>
        <w:jc w:val="center"/>
        <w:tblLook w:firstColumn="1" w:firstRow="1" w:lastColumn="0" w:lastRow="0" w:noHBand="0" w:noVBand="1" w:val="04A0"/>
      </w:tblPr>
      <w:tblGrid>
        <w:gridCol w:w="9072"/>
      </w:tblGrid>
      <w:tr>
        <w:tc>
          <w:tcPr>
            <w:tcW w:type="dxa" w:w="9072"/>
            <w:shd w:val="clear" w:color="auto" w:fill="FEF9E7"/>
            <w:tcBorders>
              <w:left w:val="single" w:sz="24" w:color="C67C00"/>
              <w:top w:val="none"/>
              <w:right w:val="none"/>
              <w:bottom w:val="none"/>
            </w:tcBorders>
          </w:tcPr>
          <w:p>
            <w:pPr>
              <w:spacing w:before="120" w:after="40"/>
              <w:ind w:left="144"/>
            </w:pPr>
            <w:r>
              <w:rPr>
                <w:rFonts w:ascii="Segoe UI" w:hAnsi="Segoe UI"/>
                <w:b/>
                <w:color w:val="7D4E00"/>
                <w:sz w:val="18"/>
              </w:rPr>
              <w:t xml:space="preserve">[WARNING]  </w:t>
            </w:r>
          </w:p>
          <w:p>
            <w:pPr>
              <w:spacing w:before="40" w:after="120"/>
              <w:ind w:left="144"/>
            </w:pPr>
            <w:r>
              <w:rPr>
                <w:rFonts w:ascii="Segoe UI" w:hAnsi="Segoe UI"/>
                <w:sz w:val="20"/>
              </w:rPr>
              <w:t>Organizations with sensitive project data should ensure the projectpulse.html file is served from a secure, access-controlled web server rather than opened directly from the filesystem if multiple users share a device.</w:t>
            </w:r>
          </w:p>
        </w:tc>
      </w:tr>
    </w:tbl>
    <w:p/>
    <w:p>
      <w:pPr>
        <w:pStyle w:val="Heading1"/>
        <w:keepNext/>
        <w:spacing w:before="360" w:after="120"/>
      </w:pPr>
      <w:r>
        <w:rPr>
          <w:rFonts w:ascii="Segoe UI" w:hAnsi="Segoe UI"/>
          <w:color w:val="0D1B2A"/>
        </w:rPr>
        <w:t>19  Performance &amp; Scalability Limits</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Resource</w:t>
            </w:r>
          </w:p>
        </w:tc>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Practical Limit</w:t>
            </w:r>
          </w:p>
        </w:tc>
        <w:tc>
          <w:tcPr>
            <w:tcW w:type="dxa" w:w="403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Technical Reason</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Tasks</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Up to 500 tasks recommended</w:t>
            </w:r>
          </w:p>
        </w:tc>
        <w:tc>
          <w:tcPr>
            <w:tcW w:type="dxa" w:w="40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localStorage 5MB cap. Above 500 tasks with full logs may approach limit.</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Activity Log</w:t>
            </w:r>
          </w:p>
        </w:tc>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500 entries (auto-pruned)</w:t>
            </w:r>
          </w:p>
        </w:tc>
        <w:tc>
          <w:tcPr>
            <w:tcW w:type="dxa" w:w="40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Fixed cap enforced in code. Older entries removed when limit reached.</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Baselines</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hard limit</w:t>
            </w:r>
          </w:p>
        </w:tc>
        <w:tc>
          <w:tcPr>
            <w:tcW w:type="dxa" w:w="40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Each baseline snapshot stores per-task date triples. 20 baselines x 500 tasks = ~1MB.</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Team Members</w:t>
            </w:r>
          </w:p>
        </w:tc>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 hard limit (50 practical)</w:t>
            </w:r>
          </w:p>
        </w:tc>
        <w:tc>
          <w:tcPr>
            <w:tcW w:type="dxa" w:w="403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Scheduler grid becomes unwieldy beyond ~50 rows.</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Render Performance</w:t>
            </w:r>
          </w:p>
        </w:tc>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Smooth up to ~300 tasks</w:t>
            </w:r>
          </w:p>
        </w:tc>
        <w:tc>
          <w:tcPr>
            <w:tcW w:type="dxa" w:w="403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DOM virtualisation not implemented. Above 300 rows may cause perceptible render lag.</w:t>
            </w:r>
          </w:p>
        </w:tc>
      </w:tr>
    </w:tbl>
    <w:p>
      <w:pPr>
        <w:spacing w:after="120"/>
      </w:pPr>
    </w:p>
    <w:p>
      <w:pPr>
        <w:pStyle w:val="Heading1"/>
        <w:keepNext/>
        <w:spacing w:before="360" w:after="120"/>
      </w:pPr>
      <w:r>
        <w:rPr>
          <w:rFonts w:ascii="Segoe UI" w:hAnsi="Segoe UI"/>
          <w:color w:val="0D1B2A"/>
        </w:rPr>
        <w:t>20  Browser Compatibility Matrix</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Browser</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Minimum Version</w:t>
            </w:r>
          </w:p>
        </w:tc>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Full Support</w:t>
            </w:r>
          </w:p>
        </w:tc>
        <w:tc>
          <w:tcPr>
            <w:tcW w:type="dxa" w:w="374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File Sync API</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Google Chrome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110+</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74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 (File System Access API)</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Microsoft Edge</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110+</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74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 (File System Access API)</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Mozilla Firefox</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115+</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74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 (API not supported)</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Apple Safari</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16+</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Yes</w:t>
            </w:r>
          </w:p>
        </w:tc>
        <w:tc>
          <w:tcPr>
            <w:tcW w:type="dxa" w:w="374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 (API not supported)</w:t>
            </w:r>
          </w:p>
        </w:tc>
      </w:tr>
      <w:tr>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Mobile Chrome</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110+</w:t>
            </w:r>
          </w:p>
        </w:tc>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Partial (grid views limited)</w:t>
            </w:r>
          </w:p>
        </w:tc>
        <w:tc>
          <w:tcPr>
            <w:tcW w:type="dxa" w:w="374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No</w:t>
            </w:r>
          </w:p>
        </w:tc>
      </w:tr>
      <w:tr>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Mobile Safari</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16+</w:t>
            </w:r>
          </w:p>
        </w:tc>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Partial (grid views limited)</w:t>
            </w:r>
          </w:p>
        </w:tc>
        <w:tc>
          <w:tcPr>
            <w:tcW w:type="dxa" w:w="374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No</w:t>
            </w:r>
          </w:p>
        </w:tc>
      </w:tr>
    </w:tbl>
    <w:p>
      <w:pPr>
        <w:spacing w:after="120"/>
      </w:pPr>
    </w:p>
    <w:p>
      <w:r>
        <w:br w:type="page"/>
      </w:r>
    </w:p>
    <w:p>
      <w:r>
        <w:br w:type="page"/>
      </w:r>
    </w:p>
    <w:p>
      <w:r>
        <w:br/>
        <w:br/>
        <w:br/>
        <w:br/>
      </w:r>
    </w:p>
    <w:p>
      <w:pPr>
        <w:jc w:val="center"/>
      </w:pPr>
      <w:r>
        <w:rPr>
          <w:rFonts w:ascii="Segoe UI" w:hAnsi="Segoe UI"/>
          <w:b/>
          <w:color w:val="00C2A8"/>
          <w:sz w:val="26"/>
        </w:rPr>
        <w:t>APPENDICES</w:t>
      </w:r>
    </w:p>
    <w:p>
      <w:pPr>
        <w:jc w:val="center"/>
      </w:pPr>
      <w:r>
        <w:rPr>
          <w:rFonts w:ascii="Segoe UI" w:hAnsi="Segoe UI"/>
          <w:b/>
          <w:color w:val="0D1B2A"/>
          <w:sz w:val="64"/>
        </w:rPr>
        <w:t>Reference Material</w:t>
      </w:r>
    </w:p>
    <w:p>
      <w:pPr>
        <w:jc w:val="center"/>
      </w:pPr>
      <w:r>
        <w:rPr>
          <w:rFonts w:ascii="Segoe UI" w:hAnsi="Segoe UI"/>
          <w:color w:val="00C2A8"/>
          <w:sz w:val="28"/>
        </w:rPr>
        <w:t>────────────────────────────────────────</w:t>
      </w:r>
    </w:p>
    <w:p>
      <w:r>
        <w:br/>
      </w:r>
    </w:p>
    <w:p>
      <w:pPr>
        <w:jc w:val="center"/>
      </w:pPr>
      <w:r>
        <w:rPr>
          <w:rFonts w:ascii="Segoe UI" w:hAnsi="Segoe UI"/>
          <w:i/>
          <w:color w:val="6C757D"/>
          <w:sz w:val="24"/>
        </w:rPr>
        <w:t>Keyboard shortcuts, formula reference, and glossary.</w:t>
      </w:r>
    </w:p>
    <w:p>
      <w:r>
        <w:br w:type="page"/>
      </w:r>
    </w:p>
    <w:p>
      <w:pPr>
        <w:pStyle w:val="Heading1"/>
        <w:keepNext/>
        <w:spacing w:before="360" w:after="120"/>
      </w:pPr>
      <w:r>
        <w:rPr>
          <w:rFonts w:ascii="Segoe UI" w:hAnsi="Segoe UI"/>
          <w:color w:val="0D1B2A"/>
        </w:rPr>
        <w:t>Appendix A — Keyboard Shortcuts Reference</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216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Shortcut</w:t>
            </w:r>
          </w:p>
        </w:tc>
        <w:tc>
          <w:tcPr>
            <w:tcW w:type="dxa" w:w="4464"/>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Action</w:t>
            </w:r>
          </w:p>
        </w:tc>
        <w:tc>
          <w:tcPr>
            <w:tcW w:type="dxa" w:w="259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Scope</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Ctrl + S</w:t>
            </w:r>
          </w:p>
        </w:tc>
        <w:tc>
          <w:tcPr>
            <w:tcW w:type="dxa" w:w="44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Force immediate save to localStorage.</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Global</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Ctrl + Z</w:t>
            </w:r>
          </w:p>
        </w:tc>
        <w:tc>
          <w:tcPr>
            <w:tcW w:type="dxa" w:w="44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Undo last inline cell edit.</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Ctrl + F</w:t>
            </w:r>
          </w:p>
        </w:tc>
        <w:tc>
          <w:tcPr>
            <w:tcW w:type="dxa" w:w="44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Focus the search / filter bar.</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 Defects</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Escape</w:t>
            </w:r>
          </w:p>
        </w:tc>
        <w:tc>
          <w:tcPr>
            <w:tcW w:type="dxa" w:w="44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Close open modal, flyout, or dropdown.</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Global</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Enter</w:t>
            </w:r>
          </w:p>
        </w:tc>
        <w:tc>
          <w:tcPr>
            <w:tcW w:type="dxa" w:w="44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Confirm inline cell edit.</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Tab</w:t>
            </w:r>
          </w:p>
        </w:tc>
        <w:tc>
          <w:tcPr>
            <w:tcW w:type="dxa" w:w="44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Move to next editable cell.</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Shift + Tab</w:t>
            </w:r>
          </w:p>
        </w:tc>
        <w:tc>
          <w:tcPr>
            <w:tcW w:type="dxa" w:w="44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Move to previous editable cell.</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Arrow Keys</w:t>
            </w:r>
          </w:p>
        </w:tc>
        <w:tc>
          <w:tcPr>
            <w:tcW w:type="dxa" w:w="44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Navigate between grid cells.</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r>
        <w:tc>
          <w:tcPr>
            <w:tcW w:type="dxa" w:w="216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Ctrl + Click</w:t>
            </w:r>
          </w:p>
        </w:tc>
        <w:tc>
          <w:tcPr>
            <w:tcW w:type="dxa" w:w="4464"/>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Multi-select tasks for bulk operations.</w:t>
            </w:r>
          </w:p>
        </w:tc>
        <w:tc>
          <w:tcPr>
            <w:tcW w:type="dxa" w:w="259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r>
        <w:tc>
          <w:tcPr>
            <w:tcW w:type="dxa" w:w="216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Space</w:t>
            </w:r>
          </w:p>
        </w:tc>
        <w:tc>
          <w:tcPr>
            <w:tcW w:type="dxa" w:w="4464"/>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Toggle expand/collapse on selected parent row.</w:t>
            </w:r>
          </w:p>
        </w:tc>
        <w:tc>
          <w:tcPr>
            <w:tcW w:type="dxa" w:w="259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r>
    </w:tbl>
    <w:p>
      <w:pPr>
        <w:spacing w:after="120"/>
      </w:pPr>
    </w:p>
    <w:p>
      <w:pPr>
        <w:pStyle w:val="Heading1"/>
        <w:keepNext/>
        <w:spacing w:before="360" w:after="120"/>
      </w:pPr>
      <w:r>
        <w:rPr>
          <w:rFonts w:ascii="Segoe UI" w:hAnsi="Segoe UI"/>
          <w:color w:val="0D1B2A"/>
        </w:rPr>
        <w:t>Appendix B — Formula Reference Card</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3024"/>
        <w:gridCol w:w="3024"/>
        <w:gridCol w:w="3024"/>
      </w:tblGrid>
      <w:tr>
        <w:tc>
          <w:tcPr>
            <w:tcW w:type="dxa" w:w="54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Formula</w:t>
            </w:r>
          </w:p>
        </w:tc>
        <w:tc>
          <w:tcPr>
            <w:tcW w:type="dxa" w:w="187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Module</w:t>
            </w:r>
          </w:p>
        </w:tc>
        <w:tc>
          <w:tcPr>
            <w:tcW w:type="dxa" w:w="1152"/>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Reference</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Health = 100 - (Overdue/Active*50) - (Blocked/Active*30) - (OnHold/Active*20) - (critRaids*5) - (s1*10) - (s2*5)</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Overview</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6.1</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Confidence = MIN(100, MAX(30, velocity*weeksRemaining/remainingPoints*100))</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Overview</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6.2</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arcAngle = healthIndex/100*270</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Overview Gauge</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6.4</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PV = totalBudget * (daysElapsed/totalDays)</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Insights EVM</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7.1</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EV = totalBudget * (completedPoints/totalPoints)</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Insights EVM</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7.1</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SV = EV - PV</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Insights EVM</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7.1</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SPI = EV / PV</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Insights EVM</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7.1</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complexityPoints = estEffort * complexityFactor</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8.4</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parentProgress = SUM(st.progress * st.effort) / SUM(st.effort)</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Matrix</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8.5</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effectiveCapacity = hoursPerDay * daysPerWeek * utilisationRate - leaveHours</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Scheduler</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10.1</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ExposureScore = probability_int * impact_int</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11.2</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healthDefectPenalty = s1*10 + s2*5 + s3*2 + s4*0.5</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Defects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13.1</w:t>
            </w:r>
          </w:p>
        </w:tc>
      </w:tr>
      <w:tr>
        <w:tc>
          <w:tcPr>
            <w:tcW w:type="dxa" w:w="54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varianceDays = dueDate - baselineDueDate</w:t>
            </w:r>
          </w:p>
        </w:tc>
        <w:tc>
          <w:tcPr>
            <w:tcW w:type="dxa" w:w="187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Baselines</w:t>
            </w:r>
          </w:p>
        </w:tc>
        <w:tc>
          <w:tcPr>
            <w:tcW w:type="dxa" w:w="1152"/>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16.3</w:t>
            </w:r>
          </w:p>
        </w:tc>
      </w:tr>
      <w:tr>
        <w:tc>
          <w:tcPr>
            <w:tcW w:type="dxa" w:w="54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effortVariance = estEffort - baselineEffort</w:t>
            </w:r>
          </w:p>
        </w:tc>
        <w:tc>
          <w:tcPr>
            <w:tcW w:type="dxa" w:w="187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Baselines</w:t>
            </w:r>
          </w:p>
        </w:tc>
        <w:tc>
          <w:tcPr>
            <w:tcW w:type="dxa" w:w="1152"/>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Section 16.3</w:t>
            </w:r>
          </w:p>
        </w:tc>
      </w:tr>
    </w:tbl>
    <w:p>
      <w:pPr>
        <w:spacing w:after="120"/>
      </w:pPr>
    </w:p>
    <w:p>
      <w:pPr>
        <w:pStyle w:val="Heading1"/>
        <w:keepNext/>
        <w:spacing w:before="360" w:after="120"/>
      </w:pPr>
      <w:r>
        <w:rPr>
          <w:rFonts w:ascii="Segoe UI" w:hAnsi="Segoe UI"/>
          <w:color w:val="0D1B2A"/>
        </w:rPr>
        <w:t>Appendix C — Glossary</w:t>
      </w:r>
    </w:p>
    <w:p>
      <w:pPr>
        <w:pBdr>
          <w:bottom w:val="single" w:sz="6" w:space="1" w:color="00C2A8"/>
        </w:pBdr>
        <w:spacing w:before="0" w:after="120"/>
      </w:pPr>
    </w:p>
    <w:tbl>
      <w:tblPr>
        <w:tblStyle w:val="TableGrid"/>
        <w:tblW w:type="auto" w:w="0"/>
        <w:jc w:val="center"/>
        <w:tblLook w:firstColumn="1" w:firstRow="1" w:lastColumn="0" w:lastRow="0" w:noHBand="0" w:noVBand="1" w:val="04A0"/>
      </w:tblPr>
      <w:tblGrid>
        <w:gridCol w:w="4536"/>
        <w:gridCol w:w="4536"/>
      </w:tblGrid>
      <w:tr>
        <w:tc>
          <w:tcPr>
            <w:tcW w:type="dxa" w:w="2880"/>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Term</w:t>
            </w:r>
          </w:p>
        </w:tc>
        <w:tc>
          <w:tcPr>
            <w:tcW w:type="dxa" w:w="6336"/>
            <w:shd w:val="clear" w:color="auto" w:fill="0D1B2A"/>
            <w:tcBorders>
              <w:top w:val="single" w:sz="4" w:color="0D1B2A"/>
              <w:left w:val="single" w:sz="4" w:color="0D1B2A"/>
              <w:bottom w:val="single" w:sz="4" w:color="0D1B2A"/>
              <w:right w:val="single" w:sz="4" w:color="0D1B2A"/>
            </w:tcBorders>
          </w:tcPr>
          <w:p>
            <w:pPr>
              <w:jc w:val="center"/>
            </w:pPr>
            <w:r>
              <w:rPr>
                <w:rFonts w:ascii="Segoe UI" w:hAnsi="Segoe UI"/>
                <w:b/>
                <w:color w:val="FFFFFF"/>
                <w:sz w:val="19"/>
              </w:rPr>
              <w:t>Definition</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actCompletionDate</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actual date work was finished, used for retrospective activity attribution.</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Baseline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 named, timestamped snapshot of planned task dates and efforts.</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buildDashCache</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O(n) single-pass analytics aggregation function that populates P.cache.</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Complexity Factor</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A multiplier (0.5x / 1.0x / 1.5x) applied to task effort for velocity scoring.</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Copilot</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automated conflict resolution engine in the Weekly Scheduler.</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Delivery Confidence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velocity-based probability of delivering all remaining work on schedule.</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EVM</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Earned Value Management — a PMI-standard project performance measurement framework.</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Exposure Score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 risk score: probability_int x impact_int. Ranges 1-9.</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Health Index</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Composite project health score (0-100) derived from overdue tasks, risks, and defects.</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localStorage</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Browser-native key-value storage used to persist project data.</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P</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global JavaScript state object containing all project data.</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pp-data</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localStorage key under which the serialised P object is stored.</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RAID</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Risks, Assumptions, Issues, and Dependencies — the four governance entity types.</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Sandbox</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non-destructive simulation environment for what-if scenario modelling.</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SPI</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 Performance Index: EV / PV. &lt; 1.0 = schedule slippage.</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SV</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Schedule Variance: EV - PV. Negative = behind schedule.</w:t>
            </w:r>
          </w:p>
        </w:tc>
      </w:tr>
      <w:tr>
        <w:tc>
          <w:tcPr>
            <w:tcW w:type="dxa" w:w="2880"/>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VALID_TRANSITIONS</w:t>
            </w:r>
          </w:p>
        </w:tc>
        <w:tc>
          <w:tcPr>
            <w:tcW w:type="dxa" w:w="6336"/>
            <w:shd w:val="clear" w:color="auto" w:fill="F8FAFC"/>
            <w:tcBorders>
              <w:top w:val="single" w:sz="4" w:color="E2E8F0"/>
              <w:left w:val="single" w:sz="4" w:color="E2E8F0"/>
              <w:bottom w:val="single" w:sz="4" w:color="E2E8F0"/>
              <w:right w:val="single" w:sz="4" w:color="E2E8F0"/>
            </w:tcBorders>
          </w:tcPr>
          <w:p>
            <w:pPr>
              <w:spacing w:before="60" w:after="60"/>
            </w:pPr>
            <w:r>
              <w:rPr>
                <w:rFonts w:ascii="Segoe UI" w:hAnsi="Segoe UI"/>
                <w:sz w:val="19"/>
              </w:rPr>
              <w:t>The authoritative map of permitted task status transitions enforced by the state machine.</w:t>
            </w:r>
          </w:p>
        </w:tc>
      </w:tr>
      <w:tr>
        <w:tc>
          <w:tcPr>
            <w:tcW w:type="dxa" w:w="2880"/>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Velocity</w:t>
            </w:r>
          </w:p>
        </w:tc>
        <w:tc>
          <w:tcPr>
            <w:tcW w:type="dxa" w:w="6336"/>
            <w:shd w:val="clear" w:color="auto" w:fill="FFFFFF"/>
            <w:tcBorders>
              <w:top w:val="single" w:sz="4" w:color="E2E8F0"/>
              <w:left w:val="single" w:sz="4" w:color="E2E8F0"/>
              <w:bottom w:val="single" w:sz="4" w:color="E2E8F0"/>
              <w:right w:val="single" w:sz="4" w:color="E2E8F0"/>
            </w:tcBorders>
          </w:tcPr>
          <w:p>
            <w:pPr>
              <w:spacing w:before="60" w:after="60"/>
            </w:pPr>
            <w:r>
              <w:rPr>
                <w:rFonts w:ascii="Segoe UI" w:hAnsi="Segoe UI"/>
                <w:sz w:val="19"/>
              </w:rPr>
              <w:t>Rolling 3-week average of completed complexity points per week.</w:t>
            </w:r>
          </w:p>
        </w:tc>
      </w:tr>
    </w:tbl>
    <w:p>
      <w:pPr>
        <w:spacing w:after="120"/>
      </w:pPr>
    </w:p>
    <w:sectPr w:rsidR="00FC693F" w:rsidRPr="0006063C" w:rsidSect="00034616">
      <w:footerReference w:type="default" r:id="rId9"/>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1C1C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