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Bdr>
          <w:bottom w:val="single" w:sz="36" w:space="1" w:color="00C2A8"/>
        </w:pBdr>
        <w:spacing w:before="0" w:after="160"/>
      </w:pPr>
    </w:p>
    <w:p>
      <w:pPr>
        <w:spacing w:before="360" w:after="80"/>
        <w:jc w:val="left"/>
      </w:pPr>
      <w:r>
        <w:rPr>
          <w:rFonts w:ascii="Segoe UI" w:hAnsi="Segoe UI"/>
          <w:b/>
          <w:color w:val="0D1B2A"/>
          <w:sz w:val="76"/>
        </w:rPr>
        <w:t>ProjectPulse</w:t>
      </w:r>
    </w:p>
    <w:p>
      <w:pPr>
        <w:spacing w:before="80" w:after="560"/>
        <w:jc w:val="left"/>
      </w:pPr>
      <w:r>
        <w:rPr>
          <w:rFonts w:ascii="Segoe UI" w:hAnsi="Segoe UI"/>
          <w:color w:val="00C2A8"/>
          <w:sz w:val="32"/>
        </w:rPr>
        <w:t>Product Capabilities Document</w:t>
      </w:r>
    </w:p>
    <w:p>
      <w:r>
        <w:br/>
      </w:r>
    </w:p>
    <w:tbl>
      <w:tblPr>
        <w:tblW w:type="auto" w:w="0"/>
        <w:jc w:val="left"/>
        <w:tblLook w:firstColumn="1" w:firstRow="1" w:lastColumn="0" w:lastRow="0" w:noHBand="0" w:noVBand="1" w:val="04A0"/>
      </w:tblPr>
      <w:tblGrid>
        <w:gridCol w:w="8640"/>
      </w:tblGrid>
      <w:tr>
        <w:tc>
          <w:tcPr>
            <w:tcW w:type="dxa" w:w="8640"/>
            <w:shd w:val="clear" w:color="auto" w:fill="F4F7FA"/>
            <w:tcMar>
              <w:top w:w="180" w:type="dxa"/>
              <w:bottom w:w="180" w:type="dxa"/>
              <w:left w:w="240" w:type="dxa"/>
              <w:right w:w="240" w:type="dxa"/>
            </w:tcMar>
            <w:tcBorders>
              <w:top w:val="none"/>
              <w:bottom w:val="none"/>
              <w:left w:val="single" w:sz="24" w:color="00C2A8"/>
              <w:right w:val="none"/>
            </w:tcBorders>
          </w:tcPr>
          <w:p>
            <w:pPr>
              <w:spacing w:before="40" w:after="40" w:line="276" w:lineRule="auto"/>
            </w:pPr>
            <w:r>
              <w:rPr>
                <w:rFonts w:ascii="Segoe UI" w:hAnsi="Segoe UI"/>
                <w:b/>
                <w:color w:val="0D1B2A"/>
                <w:sz w:val="20"/>
              </w:rPr>
              <w:t xml:space="preserve">Document Type:  </w:t>
            </w:r>
            <w:r>
              <w:rPr>
                <w:rFonts w:ascii="Segoe UI" w:hAnsi="Segoe UI"/>
                <w:color w:val="1C1C1E"/>
                <w:sz w:val="20"/>
              </w:rPr>
              <w:t>Product Capabilities Document</w:t>
            </w:r>
          </w:p>
          <w:p>
            <w:pPr>
              <w:spacing w:before="40" w:after="40" w:line="276" w:lineRule="auto"/>
            </w:pPr>
            <w:r>
              <w:rPr>
                <w:rFonts w:ascii="Segoe UI" w:hAnsi="Segoe UI"/>
                <w:b/>
                <w:color w:val="0D1B2A"/>
                <w:sz w:val="20"/>
              </w:rPr>
              <w:t xml:space="preserve">Version:  </w:t>
            </w:r>
            <w:r>
              <w:rPr>
                <w:rFonts w:ascii="Segoe UI" w:hAnsi="Segoe UI"/>
                <w:color w:val="1C1C1E"/>
                <w:sz w:val="20"/>
              </w:rPr>
              <w:t>v2.1.0</w:t>
            </w:r>
          </w:p>
          <w:p>
            <w:pPr>
              <w:spacing w:before="40" w:after="40" w:line="276" w:lineRule="auto"/>
            </w:pPr>
            <w:r>
              <w:rPr>
                <w:rFonts w:ascii="Segoe UI" w:hAnsi="Segoe UI"/>
                <w:b/>
                <w:color w:val="0D1B2A"/>
                <w:sz w:val="20"/>
              </w:rPr>
              <w:t xml:space="preserve">Audience:  </w:t>
            </w:r>
            <w:r>
              <w:rPr>
                <w:rFonts w:ascii="Segoe UI" w:hAnsi="Segoe UI"/>
                <w:color w:val="1C1C1E"/>
                <w:sz w:val="20"/>
              </w:rPr>
              <w:t>Executives · Sales · Leadership · Prospects</w:t>
            </w:r>
          </w:p>
          <w:p>
            <w:pPr>
              <w:spacing w:before="40" w:after="40" w:line="276" w:lineRule="auto"/>
            </w:pPr>
            <w:r>
              <w:rPr>
                <w:rFonts w:ascii="Segoe UI" w:hAnsi="Segoe UI"/>
                <w:b/>
                <w:color w:val="0D1B2A"/>
                <w:sz w:val="20"/>
              </w:rPr>
              <w:t xml:space="preserve">Date:  </w:t>
            </w:r>
            <w:r>
              <w:rPr>
                <w:rFonts w:ascii="Segoe UI" w:hAnsi="Segoe UI"/>
                <w:color w:val="1C1C1E"/>
                <w:sz w:val="20"/>
              </w:rPr>
              <w:t>08 September 2026</w:t>
            </w:r>
          </w:p>
          <w:p>
            <w:pPr>
              <w:spacing w:before="40" w:after="40" w:line="276" w:lineRule="auto"/>
            </w:pPr>
            <w:r>
              <w:rPr>
                <w:rFonts w:ascii="Segoe UI" w:hAnsi="Segoe UI"/>
                <w:b/>
                <w:color w:val="0D1B2A"/>
                <w:sz w:val="20"/>
              </w:rPr>
              <w:t xml:space="preserve">Confidentiality:  </w:t>
            </w:r>
            <w:r>
              <w:rPr>
                <w:rFonts w:ascii="Segoe UI" w:hAnsi="Segoe UI"/>
                <w:color w:val="1C1C1E"/>
                <w:sz w:val="20"/>
              </w:rPr>
              <w:t>Commercial in Confidence</w:t>
            </w:r>
          </w:p>
        </w:tc>
      </w:tr>
    </w:tbl>
    <w:p>
      <w:r>
        <w:br w:type="page"/>
      </w:r>
    </w:p>
    <w:p>
      <w:pPr>
        <w:pStyle w:val="Heading1"/>
        <w:keepNext/>
        <w:spacing w:before="480" w:after="160"/>
      </w:pPr>
      <w:r>
        <w:rPr>
          <w:rFonts w:ascii="Segoe UI" w:hAnsi="Segoe UI"/>
          <w:color w:val="0D1B2A"/>
        </w:rPr>
        <w:t>Table of Contents</w:t>
      </w:r>
    </w:p>
    <w:p>
      <w:pPr>
        <w:pBdr>
          <w:bottom w:val="single" w:sz="6" w:space="1" w:color="00C2A8"/>
        </w:pBdr>
        <w:spacing w:before="0" w:after="120"/>
      </w:pPr>
    </w:p>
    <w:p>
      <w:pPr>
        <w:spacing w:after="120"/>
      </w:pPr>
    </w:p>
    <w:tbl>
      <w:tblPr>
        <w:tblW w:type="auto" w:w="0"/>
        <w:jc w:val="left"/>
        <w:tblLook w:firstColumn="1" w:firstRow="1" w:lastColumn="0" w:lastRow="0" w:noHBand="0" w:noVBand="1" w:val="04A0"/>
      </w:tblPr>
      <w:tblGrid>
        <w:gridCol w:w="2880"/>
        <w:gridCol w:w="2880"/>
        <w:gridCol w:w="2880"/>
      </w:tblGrid>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Executive Summary</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3</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Product Overview</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4</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2</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The 12 Core Capabilities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6</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3</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Key Differentiators</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18</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4</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Capability Matrix</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20</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5</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Application Screenshots Gallery</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21</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A</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Appendix — Technical Compatibility</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26</w:t>
            </w:r>
          </w:p>
        </w:tc>
      </w:tr>
    </w:tbl>
    <w:p>
      <w:pPr>
        <w:spacing w:after="240"/>
      </w:pPr>
    </w:p>
    <w:p>
      <w:r>
        <w:br w:type="page"/>
      </w:r>
    </w:p>
    <w:p>
      <w:pPr>
        <w:pStyle w:val="Heading1"/>
        <w:keepNext/>
        <w:spacing w:before="480" w:after="160"/>
      </w:pPr>
      <w:r>
        <w:rPr>
          <w:rFonts w:ascii="Segoe UI" w:hAnsi="Segoe UI"/>
          <w:color w:val="0D1B2A"/>
        </w:rPr>
        <w:t>Executive Summary</w:t>
      </w:r>
    </w:p>
    <w:p>
      <w:pPr>
        <w:pBdr>
          <w:bottom w:val="single" w:sz="6" w:space="1" w:color="00C2A8"/>
        </w:pBdr>
        <w:spacing w:before="0" w:after="120"/>
      </w:pPr>
    </w:p>
    <w:p>
      <w:pPr>
        <w:spacing w:before="0" w:after="200"/>
      </w:pPr>
      <w:r>
        <w:rPr>
          <w:rFonts w:ascii="Segoe UI" w:hAnsi="Segoe UI"/>
          <w:sz w:val="21"/>
        </w:rPr>
        <w:t>ProjectPulse is a comprehensive, browser-based project intelligence workstation designed for modern software delivery teams. It combines real-time health monitoring, resource optimisation, risk governance, and stakeholder reporting into a single, zero-installation platform that runs entirely in the browser with no backend infrastructure required.</w:t>
      </w:r>
    </w:p>
    <w:p>
      <w:pPr>
        <w:pStyle w:val="Heading2"/>
        <w:keepNext/>
        <w:spacing w:before="320" w:after="120"/>
      </w:pPr>
      <w:r>
        <w:rPr>
          <w:rFonts w:ascii="Segoe UI" w:hAnsi="Segoe UI"/>
          <w:color w:val="1E9ED5"/>
        </w:rPr>
        <w:t>Three Core Value Pillars</w:t>
      </w:r>
    </w:p>
    <w:tbl>
      <w:tblPr>
        <w:tblW w:type="auto" w:w="0"/>
        <w:jc w:val="center"/>
        <w:tblLook w:firstColumn="1" w:firstRow="1" w:lastColumn="0" w:lastRow="0" w:noHBand="0" w:noVBand="1" w:val="04A0"/>
      </w:tblPr>
      <w:tblGrid>
        <w:gridCol w:w="2880"/>
        <w:gridCol w:w="2880"/>
        <w:gridCol w:w="2880"/>
      </w:tblGrid>
      <w:tr>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Pillar</w:t>
            </w:r>
          </w:p>
        </w:tc>
        <w:tc>
          <w:tcPr>
            <w:tcW w:type="dxa" w:w="331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Promise</w:t>
            </w:r>
          </w:p>
        </w:tc>
        <w:tc>
          <w:tcPr>
            <w:tcW w:type="dxa" w:w="403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Key Capabilities</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VISIBILITY</w:t>
            </w:r>
          </w:p>
        </w:tc>
        <w:tc>
          <w:tcPr>
            <w:tcW w:type="dxa" w:w="331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Know the true state of your project at every moment — not just at the weekly status meeting.</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Real-time Health Index · EVM Analytics · 30-Day Heatmap · Burn-up Projections · Audit Trail</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CONTROL</w:t>
            </w:r>
          </w:p>
        </w:tc>
        <w:tc>
          <w:tcPr>
            <w:tcW w:type="dxa" w:w="331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 on problems before they become crises. Every risk, resource constraint, and dependency is surfaced and actionable.</w:t>
            </w:r>
          </w:p>
        </w:tc>
        <w:tc>
          <w:tcPr>
            <w:tcW w:type="dxa" w:w="40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Register · Weekly Scheduler · Conflict Resolver · Gantt Timeline · Defect Lifecycle</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INTELLIGENCE</w:t>
            </w:r>
          </w:p>
        </w:tc>
        <w:tc>
          <w:tcPr>
            <w:tcW w:type="dxa" w:w="331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Make data-driven decisions with confidence. Simulate scenarios, forecast outcomes, and present board-ready insights in one click.</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Predictive Sandbox · Copilot Auto-Resolver · EVM Metrics · Executive Board Packs · Schedule Baselines</w:t>
            </w:r>
          </w:p>
        </w:tc>
      </w:tr>
    </w:tbl>
    <w:p>
      <w:pPr>
        <w:spacing w:after="160"/>
      </w:pPr>
    </w:p>
    <w:p>
      <w:pPr>
        <w:pStyle w:val="Heading2"/>
        <w:keepNext/>
        <w:spacing w:before="320" w:after="120"/>
      </w:pPr>
      <w:r>
        <w:rPr>
          <w:rFonts w:ascii="Segoe UI" w:hAnsi="Segoe UI"/>
          <w:color w:val="1E9ED5"/>
        </w:rPr>
        <w:t>Who Is ProjectPulse For?</w:t>
      </w:r>
    </w:p>
    <w:tbl>
      <w:tblPr>
        <w:tblW w:type="auto" w:w="0"/>
        <w:jc w:val="center"/>
        <w:tblLook w:firstColumn="1" w:firstRow="1" w:lastColumn="0" w:lastRow="0" w:noHBand="0" w:noVBand="1" w:val="04A0"/>
      </w:tblPr>
      <w:tblGrid>
        <w:gridCol w:w="2880"/>
        <w:gridCol w:w="2880"/>
        <w:gridCol w:w="288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Persona</w:t>
            </w:r>
          </w:p>
        </w:tc>
        <w:tc>
          <w:tcPr>
            <w:tcW w:type="dxa" w:w="432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Primary Use</w:t>
            </w:r>
          </w:p>
        </w:tc>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Key Views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Engineering Manager</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Day-to-day project oversight, conflict resolution, resource management.</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Overview · Scheduler · Team Hub</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 Manager / DevOps</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Software release governance, ALM/PDN change tracking, smoke testing.</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Deliveries · Scheduler · Reports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Product Manager</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Scope pacing, stakeholder communication, risk governance.</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Deliveries · Task Matrix · RAID · Reports</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Executive / Sponsor</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High-level health signals, milestone confidence, board reporting.</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Overview Dashboard · Board Packs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QA Lead</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lifecycle management, severity tracking, release readiness.</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Tracker · Deliveries · Reports</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Lead Engineer</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planning, dependency management, baseline tracking.</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Matrix · Gantt Timeline · Baselines</w:t>
            </w:r>
          </w:p>
        </w:tc>
      </w:tr>
    </w:tbl>
    <w:p>
      <w:pPr>
        <w:spacing w:after="160"/>
      </w:pPr>
    </w:p>
    <w:p>
      <w:r>
        <w:br w:type="page"/>
      </w:r>
    </w:p>
    <w:p>
      <w:pPr>
        <w:pStyle w:val="Heading1"/>
        <w:keepNext/>
        <w:spacing w:before="480" w:after="160"/>
      </w:pPr>
      <w:r>
        <w:rPr>
          <w:rFonts w:ascii="Segoe UI" w:hAnsi="Segoe UI"/>
          <w:color w:val="0D1B2A"/>
        </w:rPr>
        <w:t>1  Product Overview</w:t>
      </w:r>
    </w:p>
    <w:p>
      <w:pPr>
        <w:pBdr>
          <w:bottom w:val="single" w:sz="6" w:space="1" w:color="00C2A8"/>
        </w:pBdr>
        <w:spacing w:before="0" w:after="120"/>
      </w:pPr>
    </w:p>
    <w:p>
      <w:pPr>
        <w:spacing w:before="0" w:after="200"/>
      </w:pPr>
      <w:r>
        <w:rPr>
          <w:rFonts w:ascii="Segoe UI" w:hAnsi="Segoe UI"/>
          <w:sz w:val="21"/>
        </w:rPr>
        <w:t>ProjectPulse is architected as a single-page application (SPA) that runs entirely within the browser. There is no server to configure, no database to provision, and no deployment to manage. All project data is persisted locally via the browser's localStorage API and can be exported at any time to a professionally formatted Excel workbook.</w:t>
      </w:r>
    </w:p>
    <w:p>
      <w:pPr>
        <w:pStyle w:val="Heading2"/>
        <w:keepNext/>
        <w:spacing w:before="320" w:after="120"/>
      </w:pPr>
      <w:r>
        <w:rPr>
          <w:rFonts w:ascii="Segoe UI" w:hAnsi="Segoe UI"/>
          <w:color w:val="1E9ED5"/>
        </w:rPr>
        <w:t>1.1  The 12 Core Modules</w:t>
      </w:r>
    </w:p>
    <w:tbl>
      <w:tblPr>
        <w:tblW w:type="auto" w:w="0"/>
        <w:jc w:val="center"/>
        <w:tblLook w:firstColumn="1" w:firstRow="1" w:lastColumn="0" w:lastRow="0" w:noHBand="0" w:noVBand="1" w:val="04A0"/>
      </w:tblPr>
      <w:tblGrid>
        <w:gridCol w:w="2880"/>
        <w:gridCol w:w="2880"/>
        <w:gridCol w:w="2880"/>
      </w:tblGrid>
      <w:tr>
        <w:tc>
          <w:tcPr>
            <w:tcW w:type="dxa" w:w="43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w:t>
            </w:r>
          </w:p>
        </w:tc>
        <w:tc>
          <w:tcPr>
            <w:tcW w:type="dxa" w:w="302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Module</w:t>
            </w:r>
          </w:p>
        </w:tc>
        <w:tc>
          <w:tcPr>
            <w:tcW w:type="dxa" w:w="57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One-Line Description</w:t>
            </w:r>
          </w:p>
        </w:tc>
      </w:tr>
      <w:tr>
        <w:tc>
          <w:tcPr>
            <w:tcW w:type="dxa" w:w="4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Executive Overview Dashboard</w:t>
            </w:r>
          </w:p>
        </w:tc>
        <w:tc>
          <w:tcPr>
            <w:tcW w:type="dxa" w:w="57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Real-time health signals, KPI cards, and the predictive what-if sandbox.</w:t>
            </w:r>
          </w:p>
        </w:tc>
      </w:tr>
      <w:tr>
        <w:tc>
          <w:tcPr>
            <w:tcW w:type="dxa" w:w="4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2</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Live Insights &amp; Analytics</w:t>
            </w:r>
          </w:p>
        </w:tc>
        <w:tc>
          <w:tcPr>
            <w:tcW w:type="dxa" w:w="57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Full EVM suite, burn-up projections, velocity tracking, and 30-day activity heatmap.</w:t>
            </w:r>
          </w:p>
        </w:tc>
      </w:tr>
      <w:tr>
        <w:tc>
          <w:tcPr>
            <w:tcW w:type="dxa" w:w="4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3</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Hierarchical Delivery Matrix</w:t>
            </w:r>
          </w:p>
        </w:tc>
        <w:tc>
          <w:tcPr>
            <w:tcW w:type="dxa" w:w="57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Spreadsheet-style task grid with parent-child hierarchies, inline editing, and status workflows.</w:t>
            </w:r>
          </w:p>
        </w:tc>
      </w:tr>
      <w:tr>
        <w:tc>
          <w:tcPr>
            <w:tcW w:type="dxa" w:w="4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4</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Gantt Timeline</w:t>
            </w:r>
          </w:p>
        </w:tc>
        <w:tc>
          <w:tcPr>
            <w:tcW w:type="dxa" w:w="57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Interactive visual timeline with dependency arrows, drag-to-reschedule, and baseline overlay.</w:t>
            </w:r>
          </w:p>
        </w:tc>
      </w:tr>
      <w:tr>
        <w:tc>
          <w:tcPr>
            <w:tcW w:type="dxa" w:w="4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5</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Scheduler</w:t>
            </w:r>
          </w:p>
        </w:tc>
        <w:tc>
          <w:tcPr>
            <w:tcW w:type="dxa" w:w="57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Resource capacity heatmap with over-allocation detection and Copilot auto-resolution.</w:t>
            </w:r>
          </w:p>
        </w:tc>
      </w:tr>
      <w:tr>
        <w:tc>
          <w:tcPr>
            <w:tcW w:type="dxa" w:w="4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6</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Register</w:t>
            </w:r>
          </w:p>
        </w:tc>
        <w:tc>
          <w:tcPr>
            <w:tcW w:type="dxa" w:w="57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Unified Risk, Assumption, Issue, and Dependency register with exposure scoring.</w:t>
            </w:r>
          </w:p>
        </w:tc>
      </w:tr>
      <w:tr>
        <w:tc>
          <w:tcPr>
            <w:tcW w:type="dxa" w:w="4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7</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 Capacity Hub</w:t>
            </w:r>
          </w:p>
        </w:tc>
        <w:tc>
          <w:tcPr>
            <w:tcW w:type="dxa" w:w="57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profiles, capacity parameters, leave management, and utilisation tracking.</w:t>
            </w:r>
          </w:p>
        </w:tc>
      </w:tr>
      <w:tr>
        <w:tc>
          <w:tcPr>
            <w:tcW w:type="dxa" w:w="4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8</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Tracker</w:t>
            </w:r>
          </w:p>
        </w:tc>
        <w:tc>
          <w:tcPr>
            <w:tcW w:type="dxa" w:w="57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Full bug lifecycle from logging through fix, retest, and closure — linked to tasks.</w:t>
            </w:r>
          </w:p>
        </w:tc>
      </w:tr>
      <w:tr>
        <w:tc>
          <w:tcPr>
            <w:tcW w:type="dxa" w:w="4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9</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Reports &amp; Board Packs</w:t>
            </w:r>
          </w:p>
        </w:tc>
        <w:tc>
          <w:tcPr>
            <w:tcW w:type="dxa" w:w="57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One-click Executive Board Pack and multi-sheet Excel workbook export.</w:t>
            </w:r>
          </w:p>
        </w:tc>
      </w:tr>
      <w:tr>
        <w:tc>
          <w:tcPr>
            <w:tcW w:type="dxa" w:w="4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Audit Log</w:t>
            </w:r>
          </w:p>
        </w:tc>
        <w:tc>
          <w:tcPr>
            <w:tcW w:type="dxa" w:w="57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Immutable activity stream with before/after diff payloads for traceability.</w:t>
            </w:r>
          </w:p>
        </w:tc>
      </w:tr>
      <w:tr>
        <w:tc>
          <w:tcPr>
            <w:tcW w:type="dxa" w:w="4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11</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Baselines</w:t>
            </w:r>
          </w:p>
        </w:tc>
        <w:tc>
          <w:tcPr>
            <w:tcW w:type="dxa" w:w="57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Snapshot-based baseline management with variance and slippage analysis.</w:t>
            </w:r>
          </w:p>
        </w:tc>
      </w:tr>
      <w:tr>
        <w:tc>
          <w:tcPr>
            <w:tcW w:type="dxa" w:w="4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12</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System Configuration</w:t>
            </w:r>
          </w:p>
        </w:tc>
        <w:tc>
          <w:tcPr>
            <w:tcW w:type="dxa" w:w="57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Flexible dropdown management, custom fields, 20 visual themes, and effort unit switching.</w:t>
            </w:r>
          </w:p>
        </w:tc>
      </w:tr>
    </w:tbl>
    <w:p>
      <w:pPr>
        <w:spacing w:after="160"/>
      </w:pPr>
    </w:p>
    <w:p>
      <w:pPr>
        <w:pStyle w:val="Heading2"/>
        <w:keepNext/>
        <w:spacing w:before="320" w:after="120"/>
      </w:pPr>
      <w:r>
        <w:rPr>
          <w:rFonts w:ascii="Segoe UI" w:hAnsi="Segoe UI"/>
          <w:color w:val="1E9ED5"/>
        </w:rPr>
        <w:t>1.2  Architecture at a Glance</w:t>
      </w:r>
    </w:p>
    <w:tbl>
      <w:tblPr>
        <w:tblW w:type="auto" w:w="0"/>
        <w:jc w:val="center"/>
        <w:tblLook w:firstColumn="1" w:firstRow="1" w:lastColumn="0" w:lastRow="0" w:noHBand="0" w:noVBand="1" w:val="04A0"/>
      </w:tblPr>
      <w:tblGrid>
        <w:gridCol w:w="4320"/>
        <w:gridCol w:w="4320"/>
      </w:tblGrid>
      <w:tr>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Attribute</w:t>
            </w:r>
          </w:p>
        </w:tc>
        <w:tc>
          <w:tcPr>
            <w:tcW w:type="dxa" w:w="604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Value</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Deployment Model</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Zero-backend — runs entirely in the browser</w:t>
            </w:r>
          </w:p>
        </w:tc>
      </w:tr>
      <w:tr>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Data Persistence</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Browser localStorage (pp-data key) + Excel export</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Rendering Engine</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Native HTML5, CSS3, SVG — no framework dependencies</w:t>
            </w:r>
          </w:p>
        </w:tc>
      </w:tr>
      <w:tr>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Analytics Engine</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 single-pass buildDashCache computation model</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Export Technology</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ExcelJS (in-browser workbook generation)</w:t>
            </w:r>
          </w:p>
        </w:tc>
      </w:tr>
      <w:tr>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Theme System</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20 curated visual themes with dark/light mode override</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Browser Support</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Chrome 110+, Edge 110+, Firefox 115+, Safari 16+</w:t>
            </w:r>
          </w:p>
        </w:tc>
      </w:tr>
    </w:tbl>
    <w:p>
      <w:pPr>
        <w:spacing w:after="160"/>
      </w:pPr>
    </w:p>
    <w:p>
      <w:pPr>
        <w:pStyle w:val="Heading2"/>
        <w:keepNext/>
        <w:spacing w:before="320" w:after="120"/>
      </w:pPr>
      <w:r>
        <w:rPr>
          <w:rFonts w:ascii="Segoe UI" w:hAnsi="Segoe UI"/>
          <w:color w:val="1E9ED5"/>
        </w:rPr>
        <w:t>1.3  System Architecture Design &amp; Data Flow Lifecycle</w:t>
      </w:r>
    </w:p>
    <w:p>
      <w:pPr>
        <w:spacing w:before="0" w:after="160"/>
      </w:pPr>
      <w:r>
        <w:rPr>
          <w:rFonts w:ascii="Segoe UI" w:hAnsi="Segoe UI"/>
          <w:sz w:val="21"/>
        </w:rPr>
        <w:t>ProjectPulse is built on a decentralized philosophy. Since the entire application runs client-side, data flows directly between the user interface, a fast local memory cache, and browser localStorage. The diagram below illustrates how data is modified in memory, automatically synchronized to browser storage, and exported to external Excel/JSON files on demand.</w:t>
      </w:r>
    </w:p>
    <w:p>
      <w:pPr>
        <w:spacing w:before="160" w:after="0"/>
        <w:jc w:val="center"/>
      </w:pPr>
      <w:r>
        <w:drawing>
          <wp:inline xmlns:a="http://schemas.openxmlformats.org/drawingml/2006/main" xmlns:pic="http://schemas.openxmlformats.org/drawingml/2006/picture">
            <wp:extent cx="5760720" cy="321528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1.1 — ProjectPulse Client-Side SPA System Architecture &amp; Data Flow</w:t>
      </w:r>
    </w:p>
    <w:p>
      <w:r>
        <w:br w:type="page"/>
      </w:r>
    </w:p>
    <w:p>
      <w:pPr>
        <w:pStyle w:val="Heading1"/>
        <w:keepNext/>
        <w:spacing w:before="480" w:after="160"/>
      </w:pPr>
      <w:r>
        <w:rPr>
          <w:rFonts w:ascii="Segoe UI" w:hAnsi="Segoe UI"/>
          <w:color w:val="0D1B2A"/>
        </w:rPr>
        <w:t>2  The 13 Core Capabilities</w:t>
      </w:r>
    </w:p>
    <w:p>
      <w:pPr>
        <w:pBdr>
          <w:bottom w:val="single" w:sz="6" w:space="1" w:color="00C2A8"/>
        </w:pBdr>
        <w:spacing w:before="0" w:after="120"/>
      </w:pPr>
    </w:p>
    <w:p>
      <w:pPr>
        <w:spacing w:before="0" w:after="200"/>
      </w:pPr>
      <w:r>
        <w:rPr>
          <w:rFonts w:ascii="Segoe UI" w:hAnsi="Segoe UI"/>
          <w:sz w:val="21"/>
        </w:rPr>
        <w:t>Each of the 13 modules delivers a distinct, high-value capability. Together they form a complete project intelligence platform that eliminates the need for multiple disconnected tools.</w:t>
      </w:r>
    </w:p>
    <w:p>
      <w:pPr>
        <w:pStyle w:val="Heading2"/>
        <w:keepNext/>
        <w:spacing w:before="320" w:after="120"/>
      </w:pPr>
      <w:r>
        <w:rPr>
          <w:rFonts w:ascii="Segoe UI" w:hAnsi="Segoe UI"/>
          <w:color w:val="1E9ED5"/>
        </w:rPr>
        <w:t>2.1  Executive Command Centre</w:t>
      </w:r>
    </w:p>
    <w:p>
      <w:pPr>
        <w:spacing w:before="0" w:after="160"/>
      </w:pPr>
      <w:r>
        <w:rPr>
          <w:rFonts w:ascii="Segoe UI" w:hAnsi="Segoe UI"/>
          <w:sz w:val="21"/>
        </w:rPr>
        <w:t>The Overview Dashboard gives project leadership an always-current, single-pane view of project health. The composite Health Index (0–100) aggregates overdue tasks, blocked items, critical risks, and open defects into a single RAG signal — so you know instantly whether to escalate or celebrate. The Predictive Sandbox lets managers simulate capacity reductions and scope expansions before committing to any plan change.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01_overview_dashboard.png"/>
                          <pic:cNvPicPr/>
                        </pic:nvPicPr>
                        <pic:blipFill>
                          <a:blip r:embed="rId11"/>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2.1 — Executive Overview Dashboard: Health Gauge, KPI Cards, and Predictive Sandbox</w:t>
      </w:r>
    </w:p>
    <w:p/>
    <w:p>
      <w:pPr>
        <w:pStyle w:val="Heading2"/>
        <w:keepNext/>
        <w:spacing w:before="320" w:after="120"/>
      </w:pPr>
      <w:r>
        <w:rPr>
          <w:rFonts w:ascii="Segoe UI" w:hAnsi="Segoe UI"/>
          <w:color w:val="1E9ED5"/>
        </w:rPr>
        <w:t>2.2  Live Analytics &amp; EVM Intelligence</w:t>
      </w:r>
    </w:p>
    <w:p>
      <w:pPr>
        <w:spacing w:before="0" w:after="160"/>
      </w:pPr>
      <w:r>
        <w:rPr>
          <w:rFonts w:ascii="Segoe UI" w:hAnsi="Segoe UI"/>
          <w:sz w:val="21"/>
        </w:rPr>
        <w:t>The Insights module transforms raw task and effort data into the industry-standard Earned Value Management (EVM) metric suite — Planned Value, Earned Value, Schedule Variance, and Cost Performance Index — updated in real time. A burn-up chart projects the exact week of project completion based on rolling 3-week velocity, giving management an evidence-based delivery forecast.</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01b_insights_analytics.png"/>
                          <pic:cNvPicPr/>
                        </pic:nvPicPr>
                        <pic:blipFill>
                          <a:blip r:embed="rId12"/>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2.2 — Live Insights: EVM Performance Metrics, Burn-up Chart, and Weekly Velocity</w:t>
      </w:r>
    </w:p>
    <w:p/>
    <w:p>
      <w:pPr>
        <w:pStyle w:val="Heading2"/>
        <w:keepNext/>
        <w:spacing w:before="320" w:after="120"/>
      </w:pPr>
      <w:r>
        <w:rPr>
          <w:rFonts w:ascii="Segoe UI" w:hAnsi="Segoe UI"/>
          <w:color w:val="1E9ED5"/>
        </w:rPr>
        <w:t>2.3  Software Deliveries &amp; Deployment Schedule</w:t>
      </w:r>
    </w:p>
    <w:p>
      <w:pPr>
        <w:spacing w:before="0" w:after="160"/>
      </w:pPr>
      <w:r>
        <w:rPr>
          <w:rFonts w:ascii="Segoe UI" w:hAnsi="Segoe UI"/>
          <w:sz w:val="21"/>
        </w:rPr>
        <w:t>The Software Deliveries &amp; Deployment workstation is ProjectPulse's release governance command centre. It tracks production releases, Application Lifecycle Management (ALM) identifiers, and Production Deployment Notification (PDN) tickets across multi-tier environments (Dev, UAT, Staging, Production). Deliveries link directly to parent tasks and granular UI screens with automatic linkage inference. Dual synchronized perspectives — a high-density tabular grid and an interactive visual perspective heatmap (pivoting by Module, Version, or Deployment Phase) — provide comprehensive release visibility. The module enforces formal sign-off gates, smoke test verification, and automated cycle lead time tracking, powered by an intelligent 5-strategy responsive column autofit engine and bi-directional Excel synchronization.</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02b_software_deliveries.png"/>
                          <pic:cNvPicPr/>
                        </pic:nvPicPr>
                        <pic:blipFill>
                          <a:blip r:embed="rId13"/>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2.3a — Software Deliveries &amp; Deployment Schedule: ALM/PDN tracking, verification gates, and cycle lead times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02c_deliveries_heatmap.png"/>
                          <pic:cNvPicPr/>
                        </pic:nvPicPr>
                        <pic:blipFill>
                          <a:blip r:embed="rId14"/>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2.3b — Deliveries Visual Perspective Heatmap: multi-dimensional release flow and screen shaping maturity</w:t>
      </w:r>
    </w:p>
    <w:p/>
    <w:p>
      <w:pPr>
        <w:pStyle w:val="Heading2"/>
        <w:keepNext/>
        <w:spacing w:before="320" w:after="120"/>
      </w:pPr>
      <w:r>
        <w:rPr>
          <w:rFonts w:ascii="Segoe UI" w:hAnsi="Segoe UI"/>
          <w:color w:val="1E9ED5"/>
        </w:rPr>
        <w:t>2.4  Hierarchical Task Matrix &amp; Work Breakdown Structure</w:t>
      </w:r>
    </w:p>
    <w:p>
      <w:pPr>
        <w:spacing w:before="0" w:after="160"/>
      </w:pPr>
      <w:r>
        <w:rPr>
          <w:rFonts w:ascii="Segoe UI" w:hAnsi="Segoe UI"/>
          <w:sz w:val="21"/>
        </w:rPr>
        <w:t>The Task Matrix is the operational backbone of ProjectPulse — a high-density, spreadsheet-style task grid supporting unlimited parent-child hierarchies (WBS). Every deliverable, epic, task, and subtask is managed here with inline editing, Fibonacci complexity scaling, a controlled status workflow, dependency linking, and multi-dimensional filtering.</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02_delivery_matrix.png"/>
                          <pic:cNvPicPr/>
                        </pic:nvPicPr>
                        <pic:blipFill>
                          <a:blip r:embed="rId15"/>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2.4 — Hierarchical Task Matrix: parent tasks, subtasks, status pills, inline editing</w:t>
      </w:r>
    </w:p>
    <w:p/>
    <w:p>
      <w:pPr>
        <w:pStyle w:val="Heading2"/>
        <w:keepNext/>
        <w:spacing w:before="320" w:after="120"/>
      </w:pPr>
      <w:r>
        <w:rPr>
          <w:rFonts w:ascii="Segoe UI" w:hAnsi="Segoe UI"/>
          <w:color w:val="1E9ED5"/>
        </w:rPr>
        <w:t>2.5  Visual Gantt &amp; Dependency Graph</w:t>
      </w:r>
    </w:p>
    <w:p>
      <w:pPr>
        <w:spacing w:before="0" w:after="160"/>
      </w:pPr>
      <w:r>
        <w:rPr>
          <w:rFonts w:ascii="Segoe UI" w:hAnsi="Segoe UI"/>
          <w:sz w:val="21"/>
        </w:rPr>
        <w:t>The Gantt Timeline provides a time-anchored visual schedule with interactive task bars, dependency arrows (colour-coded by health: green=resolved, red=violated), baseline overlay ghost bars, and drag-to-reschedule with optional cascading date propagation. Four zoom levels (Day/Week/Month/Quarter) support both sprint-level and programme-level views.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7" name="Picture 7"/>
                  <wp:cNvGraphicFramePr>
                    <a:graphicFrameLocks noChangeAspect="1"/>
                  </wp:cNvGraphicFramePr>
                  <a:graphic>
                    <a:graphicData uri="http://schemas.openxmlformats.org/drawingml/2006/picture">
                      <pic:pic>
                        <pic:nvPicPr>
                          <pic:cNvPr id="0" name="03_gantt_timeline.png"/>
                          <pic:cNvPicPr/>
                        </pic:nvPicPr>
                        <pic:blipFill>
                          <a:blip r:embed="rId16"/>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2.5 — Gantt Timeline: dependency arrows, baseline overlay, and drag-to-reschedule</w:t>
      </w:r>
    </w:p>
    <w:p/>
    <w:p>
      <w:pPr>
        <w:pStyle w:val="Heading2"/>
        <w:keepNext/>
        <w:spacing w:before="320" w:after="120"/>
      </w:pPr>
      <w:r>
        <w:rPr>
          <w:rFonts w:ascii="Segoe UI" w:hAnsi="Segoe UI"/>
          <w:color w:val="1E9ED5"/>
        </w:rPr>
        <w:t>2.6  Smart Resource Scheduler</w:t>
      </w:r>
    </w:p>
    <w:p>
      <w:pPr>
        <w:spacing w:before="0" w:after="160"/>
      </w:pPr>
      <w:r>
        <w:rPr>
          <w:rFonts w:ascii="Segoe UI" w:hAnsi="Segoe UI"/>
          <w:sz w:val="21"/>
        </w:rPr>
        <w:t>The Weekly Scheduler maps every team member's allocated hours against their weekly capacity across a rolling 12-week horizon. Over-allocated cells glow crimson; optimal cells glow green. The Copilot engine applies three automated resolution heuristics — Auto-Sequence, Smart Reassignment, and Cascading Date Shift — to eliminate conflicts in a single click.</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8" name="Picture 8"/>
                  <wp:cNvGraphicFramePr>
                    <a:graphicFrameLocks noChangeAspect="1"/>
                  </wp:cNvGraphicFramePr>
                  <a:graphic>
                    <a:graphicData uri="http://schemas.openxmlformats.org/drawingml/2006/picture">
                      <pic:pic>
                        <pic:nvPicPr>
                          <pic:cNvPr id="0" name="04_weekly_scheduler.png"/>
                          <pic:cNvPicPr/>
                        </pic:nvPicPr>
                        <pic:blipFill>
                          <a:blip r:embed="rId17"/>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2.6 — Weekly Scheduler: resource heatmap, over-allocation alerts, and Copilot Cockpit</w:t>
      </w:r>
    </w:p>
    <w:p/>
    <w:p>
      <w:pPr>
        <w:pStyle w:val="Heading2"/>
        <w:keepNext/>
        <w:spacing w:before="320" w:after="120"/>
      </w:pPr>
      <w:r>
        <w:rPr>
          <w:rFonts w:ascii="Segoe UI" w:hAnsi="Segoe UI"/>
          <w:color w:val="1E9ED5"/>
        </w:rPr>
        <w:t>2.7  RAID Risk Governance</w:t>
      </w:r>
    </w:p>
    <w:p>
      <w:pPr>
        <w:spacing w:before="0" w:after="160"/>
      </w:pPr>
      <w:r>
        <w:rPr>
          <w:rFonts w:ascii="Segoe UI" w:hAnsi="Segoe UI"/>
          <w:sz w:val="21"/>
        </w:rPr>
        <w:t>The RAID Register consolidates all Risks, Assumptions, Issues, and Dependencies into a single searchable register with a formal 5x5 exposure scoring matrix. Critical items (Exposure Score &gt;= 15) automatically surface on the Executive Dashboard and deduct points from the Health Index until mitigated.</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9" name="Picture 9"/>
                  <wp:cNvGraphicFramePr>
                    <a:graphicFrameLocks noChangeAspect="1"/>
                  </wp:cNvGraphicFramePr>
                  <a:graphic>
                    <a:graphicData uri="http://schemas.openxmlformats.org/drawingml/2006/picture">
                      <pic:pic>
                        <pic:nvPicPr>
                          <pic:cNvPr id="0" name="04_weekly_scheduler.png"/>
                          <pic:cNvPicPr/>
                        </pic:nvPicPr>
                        <pic:blipFill>
                          <a:blip r:embed="rId17"/>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2.7 — Unified RAID Register: risk matrix, RAID items, and exposure scoring</w:t>
      </w:r>
    </w:p>
    <w:p/>
    <w:p>
      <w:pPr>
        <w:pStyle w:val="Heading2"/>
        <w:keepNext/>
        <w:spacing w:before="320" w:after="120"/>
      </w:pPr>
      <w:r>
        <w:rPr>
          <w:rFonts w:ascii="Segoe UI" w:hAnsi="Segoe UI"/>
          <w:color w:val="1E9ED5"/>
        </w:rPr>
        <w:t>2.8  Team Capacity Hub</w:t>
      </w:r>
    </w:p>
    <w:p>
      <w:pPr>
        <w:spacing w:before="0" w:after="160"/>
      </w:pPr>
      <w:r>
        <w:rPr>
          <w:rFonts w:ascii="Segoe UI" w:hAnsi="Segoe UI"/>
          <w:sz w:val="21"/>
        </w:rPr>
        <w:t>The Capacity Hub maintains rich member profiles with role assignments, weekly hour caps, utilisation rates, and planned leave calendars. All scheduling calculations — from the Weekly Scheduler's heatmap to the Copilot's Smart Reassignment — draw their capacity data from this module in real time.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0" name="Picture 10"/>
                  <wp:cNvGraphicFramePr>
                    <a:graphicFrameLocks noChangeAspect="1"/>
                  </wp:cNvGraphicFramePr>
                  <a:graphic>
                    <a:graphicData uri="http://schemas.openxmlformats.org/drawingml/2006/picture">
                      <pic:pic>
                        <pic:nvPicPr>
                          <pic:cNvPr id="0" name="06_team_capacity_hub.png"/>
                          <pic:cNvPicPr/>
                        </pic:nvPicPr>
                        <pic:blipFill>
                          <a:blip r:embed="rId18"/>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2.8 — Team Capacity Hub: member utilisation bars and leave calendar integration</w:t>
      </w:r>
    </w:p>
    <w:p/>
    <w:p>
      <w:pPr>
        <w:pStyle w:val="Heading2"/>
        <w:keepNext/>
        <w:spacing w:before="320" w:after="120"/>
      </w:pPr>
      <w:r>
        <w:rPr>
          <w:rFonts w:ascii="Segoe UI" w:hAnsi="Segoe UI"/>
          <w:color w:val="1E9ED5"/>
        </w:rPr>
        <w:t>2.9  Defect Lifecycle Management</w:t>
      </w:r>
    </w:p>
    <w:p>
      <w:pPr>
        <w:spacing w:before="0" w:after="160"/>
      </w:pPr>
      <w:r>
        <w:rPr>
          <w:rFonts w:ascii="Segoe UI" w:hAnsi="Segoe UI"/>
          <w:sz w:val="21"/>
        </w:rPr>
        <w:t>The Defect Tracker provides a formal bug lifecycle from initial logging through assignment, fix, retest, and closure. S1 Blocker defects trigger dashboard alerts and SLA countdown timers. Every defect is linked to a specific task, subtask, or GUI screen for full traceability, and open defects automatically impact the Health Index.</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1" name="Picture 11"/>
                  <wp:cNvGraphicFramePr>
                    <a:graphicFrameLocks noChangeAspect="1"/>
                  </wp:cNvGraphicFramePr>
                  <a:graphic>
                    <a:graphicData uri="http://schemas.openxmlformats.org/drawingml/2006/picture">
                      <pic:pic>
                        <pic:nvPicPr>
                          <pic:cNvPr id="0" name="07_defect_tracker.png"/>
                          <pic:cNvPicPr/>
                        </pic:nvPicPr>
                        <pic:blipFill>
                          <a:blip r:embed="rId19"/>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2.9 — Defect Tracker: severity cards, defect register, and lifecycle workflow</w:t>
      </w:r>
    </w:p>
    <w:p/>
    <w:p>
      <w:pPr>
        <w:pStyle w:val="Heading2"/>
        <w:keepNext/>
        <w:spacing w:before="320" w:after="120"/>
      </w:pPr>
      <w:r>
        <w:rPr>
          <w:rFonts w:ascii="Segoe UI" w:hAnsi="Segoe UI"/>
          <w:color w:val="1E9ED5"/>
        </w:rPr>
        <w:t>2.10  Stakeholder Board Packs &amp; Reporting</w:t>
      </w:r>
    </w:p>
    <w:p>
      <w:pPr>
        <w:spacing w:before="0" w:after="160"/>
      </w:pPr>
      <w:r>
        <w:rPr>
          <w:rFonts w:ascii="Segoe UI" w:hAnsi="Segoe UI"/>
          <w:sz w:val="21"/>
        </w:rPr>
        <w:t>ProjectPulse generates a full Executive Board Pack — project narrative, health trend sparkline, top risks, velocity trend, and critical path highlights — and exports the complete project dataset to an 8-sheet Excel workbook with live formulas, colour-coded status cells, and executive-ready formatting. No spreadsheet maintenance required.</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2" name="Picture 12"/>
                  <wp:cNvGraphicFramePr>
                    <a:graphicFrameLocks noChangeAspect="1"/>
                  </wp:cNvGraphicFramePr>
                  <a:graphic>
                    <a:graphicData uri="http://schemas.openxmlformats.org/drawingml/2006/picture">
                      <pic:pic>
                        <pic:nvPicPr>
                          <pic:cNvPr id="0" name="08_reports_boardpack.png"/>
                          <pic:cNvPicPr/>
                        </pic:nvPicPr>
                        <pic:blipFill>
                          <a:blip r:embed="rId20"/>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2.10 — Reports &amp; Board Packs: export controls, preview panel, workbook sheet map</w:t>
      </w:r>
    </w:p>
    <w:p>
      <w:pPr>
        <w:spacing w:before="160" w:after="0"/>
        <w:jc w:val="center"/>
      </w:pPr>
      <w:r>
        <w:drawing>
          <wp:inline xmlns:a="http://schemas.openxmlformats.org/drawingml/2006/main" xmlns:pic="http://schemas.openxmlformats.org/drawingml/2006/picture">
            <wp:extent cx="5760720" cy="3215286"/>
            <wp:docPr id="13" name="Picture 13"/>
            <wp:cNvGraphicFramePr>
              <a:graphicFrameLocks noChangeAspect="1"/>
            </wp:cNvGraphicFramePr>
            <a:graphic>
              <a:graphicData uri="http://schemas.openxmlformats.org/drawingml/2006/picture">
                <pic:pic>
                  <pic:nvPicPr>
                    <pic:cNvPr id="0" name="report_workflow.png"/>
                    <pic:cNvPicPr/>
                  </pic:nvPicPr>
                  <pic:blipFill>
                    <a:blip r:embed="rId21"/>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2.10b — Report Compilation and Board Pack Export Pipeline Flow</w:t>
      </w:r>
    </w:p>
    <w:p/>
    <w:p>
      <w:pPr>
        <w:pStyle w:val="Heading2"/>
        <w:keepNext/>
        <w:spacing w:before="320" w:after="120"/>
      </w:pPr>
      <w:r>
        <w:rPr>
          <w:rFonts w:ascii="Segoe UI" w:hAnsi="Segoe UI"/>
          <w:color w:val="1E9ED5"/>
        </w:rPr>
        <w:t>2.11  Immutable Audit Trail</w:t>
      </w:r>
    </w:p>
    <w:p>
      <w:pPr>
        <w:spacing w:before="0" w:after="160"/>
      </w:pPr>
      <w:r>
        <w:rPr>
          <w:rFonts w:ascii="Segoe UI" w:hAnsi="Segoe UI"/>
          <w:sz w:val="21"/>
        </w:rPr>
        <w:t>Every state mutation — task creation, status change, RAID update, member modification — is captured in an immutable, timestamped audit log with full before/after diff payloads. Teams can trace any change back to who made it, when, and why, allowing manual recovery if needed.</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4" name="Picture 14"/>
                  <wp:cNvGraphicFramePr>
                    <a:graphicFrameLocks noChangeAspect="1"/>
                  </wp:cNvGraphicFramePr>
                  <a:graphic>
                    <a:graphicData uri="http://schemas.openxmlformats.org/drawingml/2006/picture">
                      <pic:pic>
                        <pic:nvPicPr>
                          <pic:cNvPr id="0" name="09_activity_audit_log.png"/>
                          <pic:cNvPicPr/>
                        </pic:nvPicPr>
                        <pic:blipFill>
                          <a:blip r:embed="rId22"/>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2.11 — Audit Log: chronological activity stream with diff payloads</w:t>
      </w:r>
    </w:p>
    <w:p/>
    <w:p>
      <w:pPr>
        <w:pStyle w:val="Heading2"/>
        <w:keepNext/>
        <w:spacing w:before="320" w:after="120"/>
      </w:pPr>
      <w:r>
        <w:rPr>
          <w:rFonts w:ascii="Segoe UI" w:hAnsi="Segoe UI"/>
          <w:color w:val="1E9ED5"/>
        </w:rPr>
        <w:t>2.12  Schedule Baseline History</w:t>
      </w:r>
    </w:p>
    <w:p>
      <w:pPr>
        <w:spacing w:before="0" w:after="160"/>
      </w:pPr>
      <w:r>
        <w:rPr>
          <w:rFonts w:ascii="Segoe UI" w:hAnsi="Segoe UI"/>
          <w:sz w:val="21"/>
        </w:rPr>
        <w:t>ProjectPulse tracks three parallel date sets per task (Planned, Baseline, Actual) and supports unlimited named baseline snapshots — taken at kickoff, phase gates, or re-scopes. Schedule variance and slippage analysis are calculated automatically, and any baseline can be restored in one click.</w:t>
      </w:r>
    </w:p>
    <w:p/>
    <w:p>
      <w:pPr>
        <w:pStyle w:val="Heading2"/>
        <w:keepNext/>
        <w:spacing w:before="320" w:after="120"/>
      </w:pPr>
      <w:r>
        <w:rPr>
          <w:rFonts w:ascii="Segoe UI" w:hAnsi="Segoe UI"/>
          <w:color w:val="1E9ED5"/>
        </w:rPr>
        <w:t>2.13  Flexible Configuration &amp; Theming</w:t>
      </w:r>
    </w:p>
    <w:p>
      <w:pPr>
        <w:spacing w:before="0" w:after="160"/>
      </w:pPr>
      <w:r>
        <w:rPr>
          <w:rFonts w:ascii="Segoe UI" w:hAnsi="Segoe UI"/>
          <w:sz w:val="21"/>
        </w:rPr>
        <w:t>All categorical dropdowns (Status, Priority, Module, Role, etc.) are fully configurable via the Dropdown Manager. Custom Fields extend the Task and Defect schemas with project-specific attributes. The effort unit (hrs/days/months) switches globally with one setting. Twenty curated visual themes with dark/light override ensure the interface matches your team's preference.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5" name="Picture 15"/>
                  <wp:cNvGraphicFramePr>
                    <a:graphicFrameLocks noChangeAspect="1"/>
                  </wp:cNvGraphicFramePr>
                  <a:graphic>
                    <a:graphicData uri="http://schemas.openxmlformats.org/drawingml/2006/picture">
                      <pic:pic>
                        <pic:nvPicPr>
                          <pic:cNvPr id="0" name="10_configuration_settings.png"/>
                          <pic:cNvPicPr/>
                        </pic:nvPicPr>
                        <pic:blipFill>
                          <a:blip r:embed="rId23"/>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2.13 — System Configuration: settings panel, dropdown manager, custom fields</w:t>
      </w:r>
    </w:p>
    <w:p/>
    <w:p>
      <w:r>
        <w:br w:type="page"/>
      </w:r>
    </w:p>
    <w:p>
      <w:pPr>
        <w:pStyle w:val="Heading1"/>
        <w:keepNext/>
        <w:spacing w:before="480" w:after="160"/>
      </w:pPr>
      <w:r>
        <w:rPr>
          <w:rFonts w:ascii="Segoe UI" w:hAnsi="Segoe UI"/>
          <w:color w:val="0D1B2A"/>
        </w:rPr>
        <w:t>3  Key Differentiators</w:t>
      </w:r>
    </w:p>
    <w:p>
      <w:pPr>
        <w:pBdr>
          <w:bottom w:val="single" w:sz="6" w:space="1" w:color="00C2A8"/>
        </w:pBdr>
        <w:spacing w:before="0" w:after="120"/>
      </w:pPr>
    </w:p>
    <w:p>
      <w:pPr>
        <w:spacing w:before="0" w:after="200"/>
      </w:pPr>
      <w:r>
        <w:rPr>
          <w:rFonts w:ascii="Segoe UI" w:hAnsi="Segoe UI"/>
          <w:sz w:val="21"/>
        </w:rPr>
        <w:t>ProjectPulse is purpose-built for software delivery teams who need more than a task list. The following capabilities set it apart from generic project management tools.</w:t>
      </w:r>
    </w:p>
    <w:p>
      <w:pPr>
        <w:pStyle w:val="Heading2"/>
        <w:keepNext/>
        <w:spacing w:before="320" w:after="120"/>
      </w:pPr>
      <w:r>
        <w:rPr>
          <w:rFonts w:ascii="Segoe UI" w:hAnsi="Segoe UI"/>
          <w:color w:val="1E9ED5"/>
        </w:rPr>
        <w:t>Health Intelligence Engine</w:t>
      </w:r>
    </w:p>
    <w:p>
      <w:pPr>
        <w:spacing w:before="0" w:after="200"/>
      </w:pPr>
      <w:r>
        <w:rPr>
          <w:rFonts w:ascii="Segoe UI" w:hAnsi="Segoe UI"/>
          <w:sz w:val="21"/>
        </w:rPr>
        <w:t>Unlike tools that report status manually, ProjectPulse continuously computes a composite Health Index from four real signals: overdue tasks, blocked items, unmitigated critical risks, and open S1/S2 defects. The index degrades in real time as problems accumulate and recovers as they are resolved — giving leadership a live, truthful project health signal at all times.</w:t>
      </w:r>
    </w:p>
    <w:p>
      <w:pPr>
        <w:pStyle w:val="Heading2"/>
        <w:keepNext/>
        <w:spacing w:before="320" w:after="120"/>
      </w:pPr>
      <w:r>
        <w:rPr>
          <w:rFonts w:ascii="Segoe UI" w:hAnsi="Segoe UI"/>
          <w:color w:val="1E9ED5"/>
        </w:rPr>
        <w:t>What-If Predictive Sandbox</w:t>
      </w:r>
    </w:p>
    <w:p>
      <w:pPr>
        <w:spacing w:before="0" w:after="200"/>
      </w:pPr>
      <w:r>
        <w:rPr>
          <w:rFonts w:ascii="Segoe UI" w:hAnsi="Segoe UI"/>
          <w:sz w:val="21"/>
        </w:rPr>
        <w:t>The Predictive Sandbox is a non-destructive simulation environment that lets managers model capacity reductions (e.g., losing 20% of resource availability) or scope expansions (e.g., 1.2x complexity multiplier) and observe the projected impact on delivery dates — without touching the live schedule. Changes can be committed or discarded with a single click.</w:t>
      </w:r>
    </w:p>
    <w:p>
      <w:pPr>
        <w:pStyle w:val="Heading2"/>
        <w:keepNext/>
        <w:spacing w:before="320" w:after="120"/>
      </w:pPr>
      <w:r>
        <w:rPr>
          <w:rFonts w:ascii="Segoe UI" w:hAnsi="Segoe UI"/>
          <w:color w:val="1E9ED5"/>
        </w:rPr>
        <w:t>Automated Copilot Conflict Resolution</w:t>
      </w:r>
    </w:p>
    <w:p>
      <w:pPr>
        <w:spacing w:before="0" w:after="200"/>
      </w:pPr>
      <w:r>
        <w:rPr>
          <w:rFonts w:ascii="Segoe UI" w:hAnsi="Segoe UI"/>
          <w:sz w:val="21"/>
        </w:rPr>
        <w:t>When the Weekly Scheduler detects over-allocations or dependency violations, the Copilot engine can resolve all conflicts automatically using three heuristics: sequencing overlapping dependent tasks, redistributing work to role-matched resources with available capacity, and cascading date shifts across the critical path. The proposed resolution is previewed before any change is applied.</w:t>
      </w:r>
    </w:p>
    <w:p>
      <w:pPr>
        <w:pStyle w:val="Heading2"/>
        <w:keepNext/>
        <w:spacing w:before="320" w:after="120"/>
      </w:pPr>
      <w:r>
        <w:rPr>
          <w:rFonts w:ascii="Segoe UI" w:hAnsi="Segoe UI"/>
          <w:color w:val="1E9ED5"/>
        </w:rPr>
        <w:t>Zero-Backend Architecture</w:t>
      </w:r>
    </w:p>
    <w:p>
      <w:pPr>
        <w:spacing w:before="0" w:after="200"/>
      </w:pPr>
      <w:r>
        <w:rPr>
          <w:rFonts w:ascii="Segoe UI" w:hAnsi="Segoe UI"/>
          <w:sz w:val="21"/>
        </w:rPr>
        <w:t>ProjectPulse requires no server, no database, no deployment pipeline, and no DevOps overhead. It runs entirely in the browser. Teams can be operational in under five minutes with no IT involvement. Data lives locally and exports to Excel on demand — giving teams full data ownership and portability.</w:t>
      </w:r>
    </w:p>
    <w:p>
      <w:r>
        <w:br w:type="page"/>
      </w:r>
    </w:p>
    <w:p>
      <w:pPr>
        <w:pStyle w:val="Heading1"/>
        <w:keepNext/>
        <w:spacing w:before="480" w:after="160"/>
      </w:pPr>
      <w:r>
        <w:rPr>
          <w:rFonts w:ascii="Segoe UI" w:hAnsi="Segoe UI"/>
          <w:color w:val="0D1B2A"/>
        </w:rPr>
        <w:t>4  Capability Matrix</w:t>
      </w:r>
    </w:p>
    <w:p>
      <w:pPr>
        <w:pBdr>
          <w:bottom w:val="single" w:sz="6" w:space="1" w:color="00C2A8"/>
        </w:pBdr>
        <w:spacing w:before="0" w:after="120"/>
      </w:pPr>
    </w:p>
    <w:p>
      <w:pPr>
        <w:spacing w:before="0" w:after="200"/>
      </w:pPr>
      <w:r>
        <w:rPr>
          <w:rFonts w:ascii="Segoe UI" w:hAnsi="Segoe UI"/>
          <w:sz w:val="21"/>
        </w:rPr>
        <w:t>The table below maps each ProjectPulse module to the key capabilities it delivers. A tick indicates that the capability is fully supported within that module.</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02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Module</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Real-Time Data</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Inline Editing</w:t>
            </w:r>
          </w:p>
        </w:tc>
        <w:tc>
          <w:tcPr>
            <w:tcW w:type="dxa" w:w="100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Export</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Analytics</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Scheduling</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Governance</w:t>
            </w:r>
          </w:p>
        </w:tc>
      </w:tr>
      <w:tr>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Overview Dashboard</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0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r>
      <w:tr>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Live Insights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0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r>
      <w:tr>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Software Deliveries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0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r>
      <w:tr>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Hierarchical Task Matrix</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0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r>
      <w:tr>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Gantt Timeline</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0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r>
      <w:tr>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Scheduler</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0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r>
      <w:tr>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Register</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0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r>
      <w:tr>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 Capacity Hub</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0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r>
      <w:tr>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Tracker</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0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r>
      <w:tr>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Reports &amp; Board Packs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0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r>
      <w:tr>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Audit Log</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0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r>
      <w:tr>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Baselines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00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r>
      <w:tr>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Configuration</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100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r>
    </w:tbl>
    <w:p>
      <w:pPr>
        <w:spacing w:after="160"/>
      </w:pPr>
    </w:p>
    <w:p>
      <w:r>
        <w:br w:type="page"/>
      </w:r>
    </w:p>
    <w:p>
      <w:pPr>
        <w:pStyle w:val="Heading1"/>
        <w:keepNext/>
        <w:spacing w:before="480" w:after="160"/>
      </w:pPr>
      <w:r>
        <w:rPr>
          <w:rFonts w:ascii="Segoe UI" w:hAnsi="Segoe UI"/>
          <w:color w:val="0D1B2A"/>
        </w:rPr>
        <w:t>5  Application Screenshots Gallery</w:t>
      </w:r>
    </w:p>
    <w:p>
      <w:pPr>
        <w:pBdr>
          <w:bottom w:val="single" w:sz="6" w:space="1" w:color="00C2A8"/>
        </w:pBdr>
        <w:spacing w:before="0" w:after="120"/>
      </w:pPr>
    </w:p>
    <w:p>
      <w:pPr>
        <w:spacing w:before="0" w:after="240"/>
      </w:pPr>
      <w:r>
        <w:rPr>
          <w:rFonts w:ascii="Segoe UI" w:hAnsi="Segoe UI"/>
          <w:sz w:val="21"/>
        </w:rPr>
        <w:t>The following screenshots show ProjectPulse loaded with a representative software delivery project ('Phoenix Platform v2.0'), demonstrating the application at full operational capacity.</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6" name="Picture 16"/>
                  <wp:cNvGraphicFramePr>
                    <a:graphicFrameLocks noChangeAspect="1"/>
                  </wp:cNvGraphicFramePr>
                  <a:graphic>
                    <a:graphicData uri="http://schemas.openxmlformats.org/drawingml/2006/picture">
                      <pic:pic>
                        <pic:nvPicPr>
                          <pic:cNvPr id="0" name="01_overview_dashboard.png"/>
                          <pic:cNvPicPr/>
                        </pic:nvPicPr>
                        <pic:blipFill>
                          <a:blip r:embed="rId11"/>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Executive Overview Dashboard — Health Gauge, KPI Cards, and Predictive Sandbox</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7" name="Picture 17"/>
                  <wp:cNvGraphicFramePr>
                    <a:graphicFrameLocks noChangeAspect="1"/>
                  </wp:cNvGraphicFramePr>
                  <a:graphic>
                    <a:graphicData uri="http://schemas.openxmlformats.org/drawingml/2006/picture">
                      <pic:pic>
                        <pic:nvPicPr>
                          <pic:cNvPr id="0" name="02b_software_deliveries.png"/>
                          <pic:cNvPicPr/>
                        </pic:nvPicPr>
                        <pic:blipFill>
                          <a:blip r:embed="rId13"/>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Software Deliveries &amp; Deployment Schedule — ALM/PDN tracking, sign-offs, and cycle lead times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8" name="Picture 18"/>
                  <wp:cNvGraphicFramePr>
                    <a:graphicFrameLocks noChangeAspect="1"/>
                  </wp:cNvGraphicFramePr>
                  <a:graphic>
                    <a:graphicData uri="http://schemas.openxmlformats.org/drawingml/2006/picture">
                      <pic:pic>
                        <pic:nvPicPr>
                          <pic:cNvPr id="0" name="02c_deliveries_heatmap.png"/>
                          <pic:cNvPicPr/>
                        </pic:nvPicPr>
                        <pic:blipFill>
                          <a:blip r:embed="rId14"/>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Deliveries Heatmap Matrix — multi-perspective release flow and screen shaping maturity</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9" name="Picture 19"/>
                  <wp:cNvGraphicFramePr>
                    <a:graphicFrameLocks noChangeAspect="1"/>
                  </wp:cNvGraphicFramePr>
                  <a:graphic>
                    <a:graphicData uri="http://schemas.openxmlformats.org/drawingml/2006/picture">
                      <pic:pic>
                        <pic:nvPicPr>
                          <pic:cNvPr id="0" name="02_delivery_matrix.png"/>
                          <pic:cNvPicPr/>
                        </pic:nvPicPr>
                        <pic:blipFill>
                          <a:blip r:embed="rId15"/>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Hierarchical Task Matrix — parent tasks, subtasks, status pills, and inline controls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0" name="Picture 20"/>
                  <wp:cNvGraphicFramePr>
                    <a:graphicFrameLocks noChangeAspect="1"/>
                  </wp:cNvGraphicFramePr>
                  <a:graphic>
                    <a:graphicData uri="http://schemas.openxmlformats.org/drawingml/2006/picture">
                      <pic:pic>
                        <pic:nvPicPr>
                          <pic:cNvPr id="0" name="03_gantt_timeline.png"/>
                          <pic:cNvPicPr/>
                        </pic:nvPicPr>
                        <pic:blipFill>
                          <a:blip r:embed="rId16"/>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Gantt Timeline — dependency arrows, baseline overlay, and today marker</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1" name="Picture 21"/>
                  <wp:cNvGraphicFramePr>
                    <a:graphicFrameLocks noChangeAspect="1"/>
                  </wp:cNvGraphicFramePr>
                  <a:graphic>
                    <a:graphicData uri="http://schemas.openxmlformats.org/drawingml/2006/picture">
                      <pic:pic>
                        <pic:nvPicPr>
                          <pic:cNvPr id="0" name="04_weekly_scheduler.png"/>
                          <pic:cNvPicPr/>
                        </pic:nvPicPr>
                        <pic:blipFill>
                          <a:blip r:embed="rId17"/>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Weekly Scheduler — resource heatmap, over-allocation detection, and Copilot Cockpit</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2" name="Picture 22"/>
                  <wp:cNvGraphicFramePr>
                    <a:graphicFrameLocks noChangeAspect="1"/>
                  </wp:cNvGraphicFramePr>
                  <a:graphic>
                    <a:graphicData uri="http://schemas.openxmlformats.org/drawingml/2006/picture">
                      <pic:pic>
                        <pic:nvPicPr>
                          <pic:cNvPr id="0" name="04_weekly_scheduler.png"/>
                          <pic:cNvPicPr/>
                        </pic:nvPicPr>
                        <pic:blipFill>
                          <a:blip r:embed="rId17"/>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RAID Register — risk classification, exposure scoring, and item lifecycle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3" name="Picture 23"/>
                  <wp:cNvGraphicFramePr>
                    <a:graphicFrameLocks noChangeAspect="1"/>
                  </wp:cNvGraphicFramePr>
                  <a:graphic>
                    <a:graphicData uri="http://schemas.openxmlformats.org/drawingml/2006/picture">
                      <pic:pic>
                        <pic:nvPicPr>
                          <pic:cNvPr id="0" name="06_team_capacity_hub.png"/>
                          <pic:cNvPicPr/>
                        </pic:nvPicPr>
                        <pic:blipFill>
                          <a:blip r:embed="rId18"/>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Team Capacity Hub — member profiles, utilisation bars, and leave calendar</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4" name="Picture 24"/>
                  <wp:cNvGraphicFramePr>
                    <a:graphicFrameLocks noChangeAspect="1"/>
                  </wp:cNvGraphicFramePr>
                  <a:graphic>
                    <a:graphicData uri="http://schemas.openxmlformats.org/drawingml/2006/picture">
                      <pic:pic>
                        <pic:nvPicPr>
                          <pic:cNvPr id="0" name="07_defect_tracker.png"/>
                          <pic:cNvPicPr/>
                        </pic:nvPicPr>
                        <pic:blipFill>
                          <a:blip r:embed="rId19"/>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Defect Tracker — severity cards, defect register, and lifecycle workflow</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5" name="Picture 25"/>
                  <wp:cNvGraphicFramePr>
                    <a:graphicFrameLocks noChangeAspect="1"/>
                  </wp:cNvGraphicFramePr>
                  <a:graphic>
                    <a:graphicData uri="http://schemas.openxmlformats.org/drawingml/2006/picture">
                      <pic:pic>
                        <pic:nvPicPr>
                          <pic:cNvPr id="0" name="08_reports_boardpack.png"/>
                          <pic:cNvPicPr/>
                        </pic:nvPicPr>
                        <pic:blipFill>
                          <a:blip r:embed="rId20"/>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Reports &amp; Board Packs — export builder and workbook preview</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6" name="Picture 26"/>
                  <wp:cNvGraphicFramePr>
                    <a:graphicFrameLocks noChangeAspect="1"/>
                  </wp:cNvGraphicFramePr>
                  <a:graphic>
                    <a:graphicData uri="http://schemas.openxmlformats.org/drawingml/2006/picture">
                      <pic:pic>
                        <pic:nvPicPr>
                          <pic:cNvPr id="0" name="09_activity_audit_log.png"/>
                          <pic:cNvPicPr/>
                        </pic:nvPicPr>
                        <pic:blipFill>
                          <a:blip r:embed="rId22"/>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Audit Log — chronological activity stream with diff payloads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7" name="Picture 27"/>
                  <wp:cNvGraphicFramePr>
                    <a:graphicFrameLocks noChangeAspect="1"/>
                  </wp:cNvGraphicFramePr>
                  <a:graphic>
                    <a:graphicData uri="http://schemas.openxmlformats.org/drawingml/2006/picture">
                      <pic:pic>
                        <pic:nvPicPr>
                          <pic:cNvPr id="0" name="10_configuration_settings.png"/>
                          <pic:cNvPicPr/>
                        </pic:nvPicPr>
                        <pic:blipFill>
                          <a:blip r:embed="rId23"/>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System Configuration — general settings, dropdown manager, and custom fields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8" name="Picture 28"/>
                  <wp:cNvGraphicFramePr>
                    <a:graphicFrameLocks noChangeAspect="1"/>
                  </wp:cNvGraphicFramePr>
                  <a:graphic>
                    <a:graphicData uri="http://schemas.openxmlformats.org/drawingml/2006/picture">
                      <pic:pic>
                        <pic:nvPicPr>
                          <pic:cNvPr id="0" name="11b_delivery_flyout.png"/>
                          <pic:cNvPicPr/>
                        </pic:nvPicPr>
                        <pic:blipFill>
                          <a:blip r:embed="rId24"/>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Screenshot: Delivery Detail Drawer — verification gates, smoke test results, and linked tasks</w:t>
      </w:r>
    </w:p>
    <w:p>
      <w:r>
        <w:br w:type="page"/>
      </w:r>
    </w:p>
    <w:p>
      <w:pPr>
        <w:pStyle w:val="Heading1"/>
        <w:keepNext/>
        <w:spacing w:before="480" w:after="160"/>
      </w:pPr>
      <w:r>
        <w:rPr>
          <w:rFonts w:ascii="Segoe UI" w:hAnsi="Segoe UI"/>
          <w:color w:val="0D1B2A"/>
        </w:rPr>
        <w:t>Appendix — Technical Compatibility &amp; Deployment</w:t>
      </w:r>
    </w:p>
    <w:p>
      <w:pPr>
        <w:pBdr>
          <w:bottom w:val="single" w:sz="6" w:space="1" w:color="00C2A8"/>
        </w:pBdr>
        <w:spacing w:before="0" w:after="120"/>
      </w:pPr>
    </w:p>
    <w:tbl>
      <w:tblPr>
        <w:tblW w:type="auto" w:w="0"/>
        <w:jc w:val="center"/>
        <w:tblLook w:firstColumn="1" w:firstRow="1" w:lastColumn="0" w:lastRow="0" w:noHBand="0" w:noVBand="1" w:val="04A0"/>
      </w:tblPr>
      <w:tblGrid>
        <w:gridCol w:w="4320"/>
        <w:gridCol w:w="4320"/>
      </w:tblGrid>
      <w:tr>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Item</w:t>
            </w:r>
          </w:p>
        </w:tc>
        <w:tc>
          <w:tcPr>
            <w:tcW w:type="dxa" w:w="604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Specification</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Browser Support</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Chrome 110+, Microsoft Edge 110+, Firefox 115+, Safari 16+</w:t>
            </w:r>
          </w:p>
        </w:tc>
      </w:tr>
      <w:tr>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Installation</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None — open projectpulse.html in any supported browser</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Internet Connection</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 required — fully offline-capable</w:t>
            </w:r>
          </w:p>
        </w:tc>
      </w:tr>
      <w:tr>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Data Storage</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Browser localStorage (~5MB per origin, sufficient for 500+ tasks)</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Export Format</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Microsoft Excel (.xlsx) — generated in-browser via ExcelJS</w:t>
            </w:r>
          </w:p>
        </w:tc>
      </w:tr>
      <w:tr>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File Sync</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Optional file system sync via File System Access API (Chrome/Edge only)</w:t>
            </w:r>
          </w:p>
        </w:tc>
      </w:tr>
      <w:tr>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Screen Resolution</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Minimum 1280 x 768px recommended for full grid views</w:t>
            </w:r>
          </w:p>
        </w:tc>
      </w:tr>
      <w:tr>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Mobile Support</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Responsive layout for tablet (768px+). Limited functionality on mobile.</w:t>
            </w:r>
          </w:p>
        </w:tc>
      </w:tr>
    </w:tbl>
    <w:p>
      <w:pPr>
        <w:spacing w:after="16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Segoe UI" w:hAnsi="Segoe UI"/>
        <w:color w:val="6C757D"/>
        <w:sz w:val="16"/>
      </w:rPr>
      <w:t xml:space="preserve">ProjectPulse  |  Product Capabilities Document  |  Page </w:t>
    </w:r>
    <w:r>
      <w:rPr>
        <w:rFonts w:ascii="Segoe UI" w:hAnsi="Segoe UI"/>
        <w:color w:val="6C757D"/>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Segoe UI" w:hAnsi="Segoe UI"/>
      <w:color w:val="1C1C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Segoe UI" w:hAnsi="Segoe UI"/>
      <w:b/>
      <w:bCs/>
      <w:color w:val="0D1B2A"/>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Segoe UI" w:hAnsi="Segoe UI"/>
      <w:b/>
      <w:bCs/>
      <w:color w:val="0D1B2A"/>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b/>
      <w:bCs/>
      <w:color w:val="0D1B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