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color w:val="0D1B2A"/>
          <w:sz w:val="88"/>
        </w:rPr>
        <w:t>ProjectPulse</w:t>
      </w:r>
    </w:p>
    <w:p>
      <w:pPr>
        <w:jc w:val="center"/>
      </w:pPr>
      <w:r>
        <w:rPr>
          <w:color w:val="00C2A8"/>
          <w:sz w:val="40"/>
        </w:rPr>
        <w:t>Product Capabilities &amp; User Manual</w:t>
      </w:r>
    </w:p>
    <w:p>
      <w:r>
        <w:br/>
      </w:r>
    </w:p>
    <w:p>
      <w:pPr>
        <w:jc w:val="center"/>
      </w:pPr>
      <w:r>
        <w:rPr>
          <w:color w:val="00C2A8"/>
          <w:sz w:val="24"/>
        </w:rPr>
        <w:t>────────────────────────────────────────────────────────────</w:t>
      </w:r>
    </w:p>
    <w:p>
      <w:r>
        <w:br/>
      </w:r>
    </w:p>
    <w:p>
      <w:pPr>
        <w:jc w:val="center"/>
      </w:pPr>
      <w:r>
        <w:rPr>
          <w:color w:val="6C757D"/>
          <w:sz w:val="26"/>
        </w:rPr>
        <w:t>The definitive functional reference guide covering every module, feature,</w:t>
        <w:br/>
        <w:t>workflow, and configuration option in the ProjectPulse workstation.</w:t>
      </w:r>
    </w:p>
    <w:p>
      <w:r>
        <w:br/>
        <w:br/>
      </w:r>
    </w:p>
    <w:tbl>
      <w:tblPr>
        <w:tblW w:type="auto" w:w="0"/>
        <w:jc w:val="center"/>
        <w:tblLook w:firstColumn="1" w:firstRow="1" w:lastColumn="0" w:lastRow="0" w:noHBand="0" w:noVBand="1" w:val="04A0"/>
      </w:tblPr>
      <w:tblGrid>
        <w:gridCol w:w="4680"/>
        <w:gridCol w:w="4680"/>
      </w:tblGrid>
      <w:tr>
        <w:tc>
          <w:tcPr>
            <w:tcW w:type="dxa" w:w="2880"/>
            <w:shd w:val="clear" w:color="auto" w:fill="0D1B2A"/>
          </w:tcPr>
          <w:p>
            <w:pPr>
              <w:jc w:val="right"/>
            </w:pPr>
            <w:r>
              <w:rPr>
                <w:b/>
                <w:color w:val="FFFFFF"/>
                <w:sz w:val="19"/>
              </w:rPr>
              <w:t>Document Type</w:t>
            </w:r>
          </w:p>
        </w:tc>
        <w:tc>
          <w:tcPr>
            <w:tcW w:type="dxa" w:w="5040"/>
            <w:shd w:val="clear" w:color="auto" w:fill="F4F7FA"/>
          </w:tcPr>
          <w:p>
            <w:r>
              <w:rPr>
                <w:color w:val="1C1C1E"/>
                <w:sz w:val="19"/>
              </w:rPr>
              <w:t>Product Capabilities &amp; User Manual</w:t>
            </w:r>
          </w:p>
        </w:tc>
      </w:tr>
      <w:tr>
        <w:tc>
          <w:tcPr>
            <w:tcW w:type="dxa" w:w="2880"/>
            <w:shd w:val="clear" w:color="auto" w:fill="0D1B2A"/>
          </w:tcPr>
          <w:p>
            <w:pPr>
              <w:jc w:val="right"/>
            </w:pPr>
            <w:r>
              <w:rPr>
                <w:b/>
                <w:color w:val="FFFFFF"/>
                <w:sz w:val="19"/>
              </w:rPr>
              <w:t>Version</w:t>
            </w:r>
          </w:p>
        </w:tc>
        <w:tc>
          <w:tcPr>
            <w:tcW w:type="dxa" w:w="5040"/>
            <w:shd w:val="clear" w:color="auto" w:fill="F4F7FA"/>
          </w:tcPr>
          <w:p>
            <w:r>
              <w:rPr>
                <w:color w:val="1C1C1E"/>
                <w:sz w:val="19"/>
              </w:rPr>
              <w:t>v2.1.0</w:t>
            </w:r>
          </w:p>
        </w:tc>
      </w:tr>
      <w:tr>
        <w:tc>
          <w:tcPr>
            <w:tcW w:type="dxa" w:w="2880"/>
            <w:shd w:val="clear" w:color="auto" w:fill="0D1B2A"/>
          </w:tcPr>
          <w:p>
            <w:pPr>
              <w:jc w:val="right"/>
            </w:pPr>
            <w:r>
              <w:rPr>
                <w:b/>
                <w:color w:val="FFFFFF"/>
                <w:sz w:val="19"/>
              </w:rPr>
              <w:t>Audience</w:t>
            </w:r>
          </w:p>
        </w:tc>
        <w:tc>
          <w:tcPr>
            <w:tcW w:type="dxa" w:w="5040"/>
            <w:shd w:val="clear" w:color="auto" w:fill="F4F7FA"/>
          </w:tcPr>
          <w:p>
            <w:r>
              <w:rPr>
                <w:color w:val="1C1C1E"/>
                <w:sz w:val="19"/>
              </w:rPr>
              <w:t>Project Leads · Executives · Developers · QA Engineers</w:t>
            </w:r>
          </w:p>
        </w:tc>
      </w:tr>
      <w:tr>
        <w:tc>
          <w:tcPr>
            <w:tcW w:type="dxa" w:w="2880"/>
            <w:shd w:val="clear" w:color="auto" w:fill="0D1B2A"/>
          </w:tcPr>
          <w:p>
            <w:pPr>
              <w:jc w:val="right"/>
            </w:pPr>
            <w:r>
              <w:rPr>
                <w:b/>
                <w:color w:val="FFFFFF"/>
                <w:sz w:val="19"/>
              </w:rPr>
              <w:t>Date</w:t>
            </w:r>
          </w:p>
        </w:tc>
        <w:tc>
          <w:tcPr>
            <w:tcW w:type="dxa" w:w="5040"/>
            <w:shd w:val="clear" w:color="auto" w:fill="F4F7FA"/>
          </w:tcPr>
          <w:p>
            <w:r>
              <w:rPr>
                <w:color w:val="1C1C1E"/>
                <w:sz w:val="19"/>
              </w:rPr>
              <w:t>08 September 2026</w:t>
            </w:r>
          </w:p>
        </w:tc>
      </w:tr>
      <w:tr>
        <w:tc>
          <w:tcPr>
            <w:tcW w:type="dxa" w:w="2880"/>
            <w:shd w:val="clear" w:color="auto" w:fill="0D1B2A"/>
          </w:tcPr>
          <w:p>
            <w:pPr>
              <w:jc w:val="right"/>
            </w:pPr>
            <w:r>
              <w:rPr>
                <w:b/>
                <w:color w:val="FFFFFF"/>
                <w:sz w:val="19"/>
              </w:rPr>
              <w:t>Confidentiality</w:t>
            </w:r>
          </w:p>
        </w:tc>
        <w:tc>
          <w:tcPr>
            <w:tcW w:type="dxa" w:w="5040"/>
            <w:shd w:val="clear" w:color="auto" w:fill="F4F7FA"/>
          </w:tcPr>
          <w:p>
            <w:r>
              <w:rPr>
                <w:color w:val="1C1C1E"/>
                <w:sz w:val="19"/>
              </w:rPr>
              <w:t>Internal Use — Commercial in Confidence</w:t>
            </w:r>
          </w:p>
        </w:tc>
      </w:tr>
    </w:tbl>
    <w:p>
      <w:r>
        <w:br w:type="page"/>
      </w:r>
    </w:p>
    <w:p>
      <w:pPr>
        <w:pStyle w:val="Heading1"/>
        <w:keepNext/>
        <w:spacing w:before="480" w:after="160"/>
      </w:pPr>
      <w:r>
        <w:rPr>
          <w:rFonts w:ascii="Segoe UI" w:hAnsi="Segoe UI"/>
          <w:color w:val="0D1B2A"/>
        </w:rPr>
        <w:t>Table of Contents</w:t>
      </w:r>
    </w:p>
    <w:p>
      <w:pPr>
        <w:pBdr>
          <w:bottom w:val="single" w:sz="6" w:space="1" w:color="00C2A8"/>
        </w:pBdr>
        <w:spacing w:before="0" w:after="120"/>
      </w:pPr>
    </w:p>
    <w:tbl>
      <w:tblPr>
        <w:tblW w:type="auto" w:w="0"/>
        <w:jc w:val="left"/>
        <w:tblLook w:firstColumn="1" w:firstRow="1" w:lastColumn="0" w:lastRow="0" w:noHBand="0" w:noVBand="1" w:val="04A0"/>
      </w:tblPr>
      <w:tblGrid>
        <w:gridCol w:w="3120"/>
        <w:gridCol w:w="3120"/>
        <w:gridCol w:w="3120"/>
      </w:tblGrid>
      <w:tr>
        <w:tc>
          <w:tcPr>
            <w:tcW w:type="dxa" w:w="576"/>
            <w:shd w:val="clear" w:color="auto" w:fill="F4F7FA"/>
          </w:tcPr>
          <w:p>
            <w:r>
              <w:rPr>
                <w:b/>
                <w:color w:val="00C2A8"/>
                <w:sz w:val="20"/>
              </w:rPr>
              <w:t>1</w:t>
            </w:r>
          </w:p>
        </w:tc>
        <w:tc>
          <w:tcPr>
            <w:tcW w:type="dxa" w:w="7776"/>
            <w:shd w:val="clear" w:color="auto" w:fill="F4F7FA"/>
          </w:tcPr>
          <w:p>
            <w:r>
              <w:rPr>
                <w:sz w:val="21"/>
              </w:rPr>
              <w:t>Executive Overview Dashboard</w:t>
            </w:r>
          </w:p>
        </w:tc>
        <w:tc>
          <w:tcPr>
            <w:tcW w:type="dxa" w:w="864"/>
            <w:shd w:val="clear" w:color="auto" w:fill="F4F7FA"/>
          </w:tcPr>
          <w:p>
            <w:pPr>
              <w:jc w:val="right"/>
            </w:pPr>
            <w:r>
              <w:rPr>
                <w:color w:val="6C757D"/>
                <w:sz w:val="20"/>
              </w:rPr>
              <w:t>5</w:t>
            </w:r>
          </w:p>
        </w:tc>
      </w:tr>
      <w:tr>
        <w:tc>
          <w:tcPr>
            <w:tcW w:type="dxa" w:w="576"/>
            <w:shd w:val="clear" w:color="auto" w:fill="FFFFFF"/>
          </w:tcPr>
          <w:p>
            <w:r>
              <w:rPr>
                <w:b/>
                <w:color w:val="00C2A8"/>
                <w:sz w:val="20"/>
              </w:rPr>
              <w:t>2</w:t>
            </w:r>
          </w:p>
        </w:tc>
        <w:tc>
          <w:tcPr>
            <w:tcW w:type="dxa" w:w="7776"/>
            <w:shd w:val="clear" w:color="auto" w:fill="FFFFFF"/>
          </w:tcPr>
          <w:p>
            <w:r>
              <w:rPr>
                <w:sz w:val="21"/>
              </w:rPr>
              <w:t>Live Project Insights &amp; Analytics</w:t>
            </w:r>
          </w:p>
        </w:tc>
        <w:tc>
          <w:tcPr>
            <w:tcW w:type="dxa" w:w="864"/>
            <w:shd w:val="clear" w:color="auto" w:fill="FFFFFF"/>
          </w:tcPr>
          <w:p>
            <w:pPr>
              <w:jc w:val="right"/>
            </w:pPr>
            <w:r>
              <w:rPr>
                <w:color w:val="6C757D"/>
                <w:sz w:val="20"/>
              </w:rPr>
              <w:t>10</w:t>
            </w:r>
          </w:p>
        </w:tc>
      </w:tr>
      <w:tr>
        <w:tc>
          <w:tcPr>
            <w:tcW w:type="dxa" w:w="576"/>
            <w:shd w:val="clear" w:color="auto" w:fill="F4F7FA"/>
          </w:tcPr>
          <w:p>
            <w:r>
              <w:rPr>
                <w:b/>
                <w:color w:val="00C2A8"/>
                <w:sz w:val="20"/>
              </w:rPr>
              <w:t>3</w:t>
            </w:r>
          </w:p>
        </w:tc>
        <w:tc>
          <w:tcPr>
            <w:tcW w:type="dxa" w:w="7776"/>
            <w:shd w:val="clear" w:color="auto" w:fill="F4F7FA"/>
          </w:tcPr>
          <w:p>
            <w:r>
              <w:rPr>
                <w:sz w:val="21"/>
              </w:rPr>
              <w:t>Software Deliveries &amp; Deployment Schedule</w:t>
            </w:r>
          </w:p>
        </w:tc>
        <w:tc>
          <w:tcPr>
            <w:tcW w:type="dxa" w:w="864"/>
            <w:shd w:val="clear" w:color="auto" w:fill="F4F7FA"/>
          </w:tcPr>
          <w:p>
            <w:pPr>
              <w:jc w:val="right"/>
            </w:pPr>
            <w:r>
              <w:rPr>
                <w:color w:val="6C757D"/>
                <w:sz w:val="20"/>
              </w:rPr>
              <w:t>15</w:t>
            </w:r>
          </w:p>
        </w:tc>
      </w:tr>
      <w:tr>
        <w:tc>
          <w:tcPr>
            <w:tcW w:type="dxa" w:w="576"/>
            <w:shd w:val="clear" w:color="auto" w:fill="FFFFFF"/>
          </w:tcPr>
          <w:p>
            <w:r>
              <w:rPr>
                <w:b/>
                <w:color w:val="00C2A8"/>
                <w:sz w:val="20"/>
              </w:rPr>
              <w:t>4</w:t>
            </w:r>
          </w:p>
        </w:tc>
        <w:tc>
          <w:tcPr>
            <w:tcW w:type="dxa" w:w="7776"/>
            <w:shd w:val="clear" w:color="auto" w:fill="FFFFFF"/>
          </w:tcPr>
          <w:p>
            <w:r>
              <w:rPr>
                <w:sz w:val="21"/>
              </w:rPr>
              <w:t>Hierarchical Task Matrix &amp; Work Breakdown Structure</w:t>
            </w:r>
          </w:p>
        </w:tc>
        <w:tc>
          <w:tcPr>
            <w:tcW w:type="dxa" w:w="864"/>
            <w:shd w:val="clear" w:color="auto" w:fill="FFFFFF"/>
          </w:tcPr>
          <w:p>
            <w:pPr>
              <w:jc w:val="right"/>
            </w:pPr>
            <w:r>
              <w:rPr>
                <w:color w:val="6C757D"/>
                <w:sz w:val="20"/>
              </w:rPr>
              <w:t>21</w:t>
            </w:r>
          </w:p>
        </w:tc>
      </w:tr>
      <w:tr>
        <w:tc>
          <w:tcPr>
            <w:tcW w:type="dxa" w:w="576"/>
            <w:shd w:val="clear" w:color="auto" w:fill="F4F7FA"/>
          </w:tcPr>
          <w:p>
            <w:r>
              <w:rPr>
                <w:b/>
                <w:color w:val="00C2A8"/>
                <w:sz w:val="20"/>
              </w:rPr>
              <w:t>5</w:t>
            </w:r>
          </w:p>
        </w:tc>
        <w:tc>
          <w:tcPr>
            <w:tcW w:type="dxa" w:w="7776"/>
            <w:shd w:val="clear" w:color="auto" w:fill="F4F7FA"/>
          </w:tcPr>
          <w:p>
            <w:r>
              <w:rPr>
                <w:sz w:val="21"/>
              </w:rPr>
              <w:t>Gantt Timeline &amp; Dependency Management</w:t>
            </w:r>
          </w:p>
        </w:tc>
        <w:tc>
          <w:tcPr>
            <w:tcW w:type="dxa" w:w="864"/>
            <w:shd w:val="clear" w:color="auto" w:fill="F4F7FA"/>
          </w:tcPr>
          <w:p>
            <w:pPr>
              <w:jc w:val="right"/>
            </w:pPr>
            <w:r>
              <w:rPr>
                <w:color w:val="6C757D"/>
                <w:sz w:val="20"/>
              </w:rPr>
              <w:t>28</w:t>
            </w:r>
          </w:p>
        </w:tc>
      </w:tr>
      <w:tr>
        <w:tc>
          <w:tcPr>
            <w:tcW w:type="dxa" w:w="576"/>
            <w:shd w:val="clear" w:color="auto" w:fill="FFFFFF"/>
          </w:tcPr>
          <w:p>
            <w:r>
              <w:rPr>
                <w:b/>
                <w:color w:val="00C2A8"/>
                <w:sz w:val="20"/>
              </w:rPr>
              <w:t>6</w:t>
            </w:r>
          </w:p>
        </w:tc>
        <w:tc>
          <w:tcPr>
            <w:tcW w:type="dxa" w:w="7776"/>
            <w:shd w:val="clear" w:color="auto" w:fill="FFFFFF"/>
          </w:tcPr>
          <w:p>
            <w:r>
              <w:rPr>
                <w:sz w:val="21"/>
              </w:rPr>
              <w:t>Intelligent Weekly Scheduler &amp; Conflict Resolver</w:t>
            </w:r>
          </w:p>
        </w:tc>
        <w:tc>
          <w:tcPr>
            <w:tcW w:type="dxa" w:w="864"/>
            <w:shd w:val="clear" w:color="auto" w:fill="FFFFFF"/>
          </w:tcPr>
          <w:p>
            <w:pPr>
              <w:jc w:val="right"/>
            </w:pPr>
            <w:r>
              <w:rPr>
                <w:color w:val="6C757D"/>
                <w:sz w:val="20"/>
              </w:rPr>
              <w:t>34</w:t>
            </w:r>
          </w:p>
        </w:tc>
      </w:tr>
      <w:tr>
        <w:tc>
          <w:tcPr>
            <w:tcW w:type="dxa" w:w="576"/>
            <w:shd w:val="clear" w:color="auto" w:fill="F4F7FA"/>
          </w:tcPr>
          <w:p>
            <w:r>
              <w:rPr>
                <w:b/>
                <w:color w:val="00C2A8"/>
                <w:sz w:val="20"/>
              </w:rPr>
              <w:t>7</w:t>
            </w:r>
          </w:p>
        </w:tc>
        <w:tc>
          <w:tcPr>
            <w:tcW w:type="dxa" w:w="7776"/>
            <w:shd w:val="clear" w:color="auto" w:fill="F4F7FA"/>
          </w:tcPr>
          <w:p>
            <w:r>
              <w:rPr>
                <w:sz w:val="21"/>
              </w:rPr>
              <w:t>Unified RAID Register</w:t>
            </w:r>
          </w:p>
        </w:tc>
        <w:tc>
          <w:tcPr>
            <w:tcW w:type="dxa" w:w="864"/>
            <w:shd w:val="clear" w:color="auto" w:fill="F4F7FA"/>
          </w:tcPr>
          <w:p>
            <w:pPr>
              <w:jc w:val="right"/>
            </w:pPr>
            <w:r>
              <w:rPr>
                <w:color w:val="6C757D"/>
                <w:sz w:val="20"/>
              </w:rPr>
              <w:t>41</w:t>
            </w:r>
          </w:p>
        </w:tc>
      </w:tr>
      <w:tr>
        <w:tc>
          <w:tcPr>
            <w:tcW w:type="dxa" w:w="576"/>
            <w:shd w:val="clear" w:color="auto" w:fill="FFFFFF"/>
          </w:tcPr>
          <w:p>
            <w:r>
              <w:rPr>
                <w:b/>
                <w:color w:val="00C2A8"/>
                <w:sz w:val="20"/>
              </w:rPr>
              <w:t>8</w:t>
            </w:r>
          </w:p>
        </w:tc>
        <w:tc>
          <w:tcPr>
            <w:tcW w:type="dxa" w:w="7776"/>
            <w:shd w:val="clear" w:color="auto" w:fill="FFFFFF"/>
          </w:tcPr>
          <w:p>
            <w:r>
              <w:rPr>
                <w:sz w:val="21"/>
              </w:rPr>
              <w:t>Team Capacity Hub &amp; Role Management</w:t>
            </w:r>
          </w:p>
        </w:tc>
        <w:tc>
          <w:tcPr>
            <w:tcW w:type="dxa" w:w="864"/>
            <w:shd w:val="clear" w:color="auto" w:fill="FFFFFF"/>
          </w:tcPr>
          <w:p>
            <w:pPr>
              <w:jc w:val="right"/>
            </w:pPr>
            <w:r>
              <w:rPr>
                <w:color w:val="6C757D"/>
                <w:sz w:val="20"/>
              </w:rPr>
              <w:t>47</w:t>
            </w:r>
          </w:p>
        </w:tc>
      </w:tr>
      <w:tr>
        <w:tc>
          <w:tcPr>
            <w:tcW w:type="dxa" w:w="576"/>
            <w:shd w:val="clear" w:color="auto" w:fill="F4F7FA"/>
          </w:tcPr>
          <w:p>
            <w:r>
              <w:rPr>
                <w:b/>
                <w:color w:val="00C2A8"/>
                <w:sz w:val="20"/>
              </w:rPr>
              <w:t>9</w:t>
            </w:r>
          </w:p>
        </w:tc>
        <w:tc>
          <w:tcPr>
            <w:tcW w:type="dxa" w:w="7776"/>
            <w:shd w:val="clear" w:color="auto" w:fill="F4F7FA"/>
          </w:tcPr>
          <w:p>
            <w:r>
              <w:rPr>
                <w:sz w:val="21"/>
              </w:rPr>
              <w:t>Defect Tracker &amp; Bug Lifecycle</w:t>
            </w:r>
          </w:p>
        </w:tc>
        <w:tc>
          <w:tcPr>
            <w:tcW w:type="dxa" w:w="864"/>
            <w:shd w:val="clear" w:color="auto" w:fill="F4F7FA"/>
          </w:tcPr>
          <w:p>
            <w:pPr>
              <w:jc w:val="right"/>
            </w:pPr>
            <w:r>
              <w:rPr>
                <w:color w:val="6C757D"/>
                <w:sz w:val="20"/>
              </w:rPr>
              <w:t>52</w:t>
            </w:r>
          </w:p>
        </w:tc>
      </w:tr>
      <w:tr>
        <w:tc>
          <w:tcPr>
            <w:tcW w:type="dxa" w:w="576"/>
            <w:shd w:val="clear" w:color="auto" w:fill="FFFFFF"/>
          </w:tcPr>
          <w:p>
            <w:r>
              <w:rPr>
                <w:b/>
                <w:color w:val="00C2A8"/>
                <w:sz w:val="20"/>
              </w:rPr>
              <w:t>10</w:t>
            </w:r>
          </w:p>
        </w:tc>
        <w:tc>
          <w:tcPr>
            <w:tcW w:type="dxa" w:w="7776"/>
            <w:shd w:val="clear" w:color="auto" w:fill="FFFFFF"/>
          </w:tcPr>
          <w:p>
            <w:r>
              <w:rPr>
                <w:sz w:val="21"/>
              </w:rPr>
              <w:t>Reports &amp; Stakeholder Board Packs</w:t>
            </w:r>
          </w:p>
        </w:tc>
        <w:tc>
          <w:tcPr>
            <w:tcW w:type="dxa" w:w="864"/>
            <w:shd w:val="clear" w:color="auto" w:fill="FFFFFF"/>
          </w:tcPr>
          <w:p>
            <w:pPr>
              <w:jc w:val="right"/>
            </w:pPr>
            <w:r>
              <w:rPr>
                <w:color w:val="6C757D"/>
                <w:sz w:val="20"/>
              </w:rPr>
              <w:t>58</w:t>
            </w:r>
          </w:p>
        </w:tc>
      </w:tr>
      <w:tr>
        <w:tc>
          <w:tcPr>
            <w:tcW w:type="dxa" w:w="576"/>
            <w:shd w:val="clear" w:color="auto" w:fill="F4F7FA"/>
          </w:tcPr>
          <w:p>
            <w:r>
              <w:rPr>
                <w:b/>
                <w:color w:val="00C2A8"/>
                <w:sz w:val="20"/>
              </w:rPr>
              <w:t>11</w:t>
            </w:r>
          </w:p>
        </w:tc>
        <w:tc>
          <w:tcPr>
            <w:tcW w:type="dxa" w:w="7776"/>
            <w:shd w:val="clear" w:color="auto" w:fill="F4F7FA"/>
          </w:tcPr>
          <w:p>
            <w:r>
              <w:rPr>
                <w:sz w:val="21"/>
              </w:rPr>
              <w:t>Audit Log &amp; Activity Streams</w:t>
            </w:r>
          </w:p>
        </w:tc>
        <w:tc>
          <w:tcPr>
            <w:tcW w:type="dxa" w:w="864"/>
            <w:shd w:val="clear" w:color="auto" w:fill="F4F7FA"/>
          </w:tcPr>
          <w:p>
            <w:pPr>
              <w:jc w:val="right"/>
            </w:pPr>
            <w:r>
              <w:rPr>
                <w:color w:val="6C757D"/>
                <w:sz w:val="20"/>
              </w:rPr>
              <w:t>62</w:t>
            </w:r>
          </w:p>
        </w:tc>
      </w:tr>
      <w:tr>
        <w:tc>
          <w:tcPr>
            <w:tcW w:type="dxa" w:w="576"/>
            <w:shd w:val="clear" w:color="auto" w:fill="FFFFFF"/>
          </w:tcPr>
          <w:p>
            <w:r>
              <w:rPr>
                <w:b/>
                <w:color w:val="00C2A8"/>
                <w:sz w:val="20"/>
              </w:rPr>
              <w:t>12</w:t>
            </w:r>
          </w:p>
        </w:tc>
        <w:tc>
          <w:tcPr>
            <w:tcW w:type="dxa" w:w="7776"/>
            <w:shd w:val="clear" w:color="auto" w:fill="FFFFFF"/>
          </w:tcPr>
          <w:p>
            <w:r>
              <w:rPr>
                <w:sz w:val="21"/>
              </w:rPr>
              <w:t>Schedule Baselines &amp; Snapshot History</w:t>
            </w:r>
          </w:p>
        </w:tc>
        <w:tc>
          <w:tcPr>
            <w:tcW w:type="dxa" w:w="864"/>
            <w:shd w:val="clear" w:color="auto" w:fill="FFFFFF"/>
          </w:tcPr>
          <w:p>
            <w:pPr>
              <w:jc w:val="right"/>
            </w:pPr>
            <w:r>
              <w:rPr>
                <w:color w:val="6C757D"/>
                <w:sz w:val="20"/>
              </w:rPr>
              <w:t>66</w:t>
            </w:r>
          </w:p>
        </w:tc>
      </w:tr>
      <w:tr>
        <w:tc>
          <w:tcPr>
            <w:tcW w:type="dxa" w:w="576"/>
            <w:shd w:val="clear" w:color="auto" w:fill="F4F7FA"/>
          </w:tcPr>
          <w:p>
            <w:r>
              <w:rPr>
                <w:b/>
                <w:color w:val="00C2A8"/>
                <w:sz w:val="20"/>
              </w:rPr>
              <w:t>13</w:t>
            </w:r>
          </w:p>
        </w:tc>
        <w:tc>
          <w:tcPr>
            <w:tcW w:type="dxa" w:w="7776"/>
            <w:shd w:val="clear" w:color="auto" w:fill="F4F7FA"/>
          </w:tcPr>
          <w:p>
            <w:r>
              <w:rPr>
                <w:sz w:val="21"/>
              </w:rPr>
              <w:t>System Configuration Reference</w:t>
            </w:r>
          </w:p>
        </w:tc>
        <w:tc>
          <w:tcPr>
            <w:tcW w:type="dxa" w:w="864"/>
            <w:shd w:val="clear" w:color="auto" w:fill="F4F7FA"/>
          </w:tcPr>
          <w:p>
            <w:pPr>
              <w:jc w:val="right"/>
            </w:pPr>
            <w:r>
              <w:rPr>
                <w:color w:val="6C757D"/>
                <w:sz w:val="20"/>
              </w:rPr>
              <w:t>71</w:t>
            </w:r>
          </w:p>
        </w:tc>
      </w:tr>
      <w:tr>
        <w:tc>
          <w:tcPr>
            <w:tcW w:type="dxa" w:w="576"/>
            <w:shd w:val="clear" w:color="auto" w:fill="FFFFFF"/>
          </w:tcPr>
          <w:p>
            <w:r>
              <w:rPr>
                <w:b/>
                <w:color w:val="00C2A8"/>
                <w:sz w:val="20"/>
              </w:rPr>
              <w:t>A</w:t>
            </w:r>
          </w:p>
        </w:tc>
        <w:tc>
          <w:tcPr>
            <w:tcW w:type="dxa" w:w="7776"/>
            <w:shd w:val="clear" w:color="auto" w:fill="FFFFFF"/>
          </w:tcPr>
          <w:p>
            <w:r>
              <w:rPr>
                <w:sz w:val="21"/>
              </w:rPr>
              <w:t>Appendix A — Keyboard Shortcuts</w:t>
            </w:r>
          </w:p>
        </w:tc>
        <w:tc>
          <w:tcPr>
            <w:tcW w:type="dxa" w:w="864"/>
            <w:shd w:val="clear" w:color="auto" w:fill="FFFFFF"/>
          </w:tcPr>
          <w:p>
            <w:pPr>
              <w:jc w:val="right"/>
            </w:pPr>
            <w:r>
              <w:rPr>
                <w:color w:val="6C757D"/>
                <w:sz w:val="20"/>
              </w:rPr>
              <w:t>76</w:t>
            </w:r>
          </w:p>
        </w:tc>
      </w:tr>
      <w:tr>
        <w:tc>
          <w:tcPr>
            <w:tcW w:type="dxa" w:w="576"/>
            <w:shd w:val="clear" w:color="auto" w:fill="F4F7FA"/>
          </w:tcPr>
          <w:p>
            <w:r>
              <w:rPr>
                <w:b/>
                <w:color w:val="00C2A8"/>
                <w:sz w:val="20"/>
              </w:rPr>
              <w:t>B</w:t>
            </w:r>
          </w:p>
        </w:tc>
        <w:tc>
          <w:tcPr>
            <w:tcW w:type="dxa" w:w="7776"/>
            <w:shd w:val="clear" w:color="auto" w:fill="F4F7FA"/>
          </w:tcPr>
          <w:p>
            <w:r>
              <w:rPr>
                <w:sz w:val="21"/>
              </w:rPr>
              <w:t>Appendix B — Data Schema Reference</w:t>
            </w:r>
          </w:p>
        </w:tc>
        <w:tc>
          <w:tcPr>
            <w:tcW w:type="dxa" w:w="864"/>
            <w:shd w:val="clear" w:color="auto" w:fill="F4F7FA"/>
          </w:tcPr>
          <w:p>
            <w:pPr>
              <w:jc w:val="right"/>
            </w:pPr>
            <w:r>
              <w:rPr>
                <w:color w:val="6C757D"/>
                <w:sz w:val="20"/>
              </w:rPr>
              <w:t>78</w:t>
            </w:r>
          </w:p>
        </w:tc>
      </w:tr>
    </w:tbl>
    <w:p>
      <w:r>
        <w:br w:type="page"/>
      </w:r>
    </w:p>
    <w:p>
      <w:pPr>
        <w:pStyle w:val="Heading1"/>
        <w:keepNext/>
        <w:spacing w:before="480" w:after="160"/>
      </w:pPr>
      <w:r>
        <w:rPr>
          <w:rFonts w:ascii="Segoe UI" w:hAnsi="Segoe UI"/>
          <w:color w:val="0D1B2A"/>
        </w:rPr>
        <w:t>1  Executive Overview Dashboard</w:t>
      </w:r>
    </w:p>
    <w:p>
      <w:pPr>
        <w:pBdr>
          <w:bottom w:val="single" w:sz="6" w:space="1" w:color="00C2A8"/>
        </w:pBdr>
        <w:spacing w:before="0" w:after="120"/>
      </w:pPr>
    </w:p>
    <w:p>
      <w:pPr>
        <w:spacing w:before="0" w:after="160"/>
      </w:pPr>
      <w:r>
        <w:rPr>
          <w:rFonts w:ascii="Segoe UI" w:hAnsi="Segoe UI"/>
          <w:sz w:val="21"/>
        </w:rPr>
        <w:t>The Executive Overview Dashboard is the command centre of ProjectPulse. It surfaces the three core health signals of the project — Health Index, Delivery Confidence, and Active RAID Count — in a single, always-visible pane. Every metric on this screen is computed in real time from the live state of tasks, resources, risks, and defects without requiring a page refresh or manual recalculation.</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 name="Picture 1"/>
                  <wp:cNvGraphicFramePr>
                    <a:graphicFrameLocks noChangeAspect="1"/>
                  </wp:cNvGraphicFramePr>
                  <a:graphic>
                    <a:graphicData uri="http://schemas.openxmlformats.org/drawingml/2006/picture">
                      <pic:pic>
                        <pic:nvPicPr>
                          <pic:cNvPr id="0" name="01_overview_dashboard.png"/>
                          <pic:cNvPicPr/>
                        </pic:nvPicPr>
                        <pic:blipFill>
                          <a:blip r:embed="rId9"/>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1.1 — Executive Overview Dashboard with KPI cards, Health Gauge, and Predictive Sandbox</w:t>
      </w:r>
    </w:p>
    <w:p>
      <w:pPr>
        <w:pStyle w:val="Heading2"/>
        <w:keepNext/>
        <w:spacing w:before="320" w:after="120"/>
      </w:pPr>
      <w:r>
        <w:rPr>
          <w:rFonts w:ascii="Segoe UI" w:hAnsi="Segoe UI"/>
          <w:color w:val="1E9ED5"/>
        </w:rPr>
        <w:t>1.1  Key Performance Indicator Cards</w:t>
      </w:r>
    </w:p>
    <w:p>
      <w:pPr>
        <w:spacing w:before="0" w:after="120"/>
      </w:pPr>
      <w:r>
        <w:rPr>
          <w:rFonts w:ascii="Segoe UI" w:hAnsi="Segoe UI"/>
          <w:sz w:val="21"/>
        </w:rPr>
        <w:t>Three large KPI cards occupy the top ribbon of the dashboard. Each card updates automatically whenever underlying data changes.</w:t>
      </w:r>
    </w:p>
    <w:tbl>
      <w:tblPr>
        <w:tblW w:type="auto" w:w="0"/>
        <w:jc w:val="center"/>
        <w:tblLook w:firstColumn="1" w:firstRow="1" w:lastColumn="0" w:lastRow="0" w:noHBand="0" w:noVBand="1" w:val="04A0"/>
      </w:tblPr>
      <w:tblGrid>
        <w:gridCol w:w="2340"/>
        <w:gridCol w:w="2340"/>
        <w:gridCol w:w="2340"/>
        <w:gridCol w:w="2340"/>
      </w:tblGrid>
      <w:tr>
        <w:tc>
          <w:tcPr>
            <w:tcW w:type="dxa" w:w="201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Metric</w:t>
            </w:r>
          </w:p>
        </w:tc>
        <w:tc>
          <w:tcPr>
            <w:tcW w:type="dxa" w:w="273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Description</w:t>
            </w:r>
          </w:p>
        </w:tc>
        <w:tc>
          <w:tcPr>
            <w:tcW w:type="dxa" w:w="331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Calculation Logic</w:t>
            </w:r>
          </w:p>
        </w:tc>
        <w:tc>
          <w:tcPr>
            <w:tcW w:type="dxa" w:w="172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Target Threshold</w:t>
            </w:r>
          </w:p>
        </w:tc>
      </w:tr>
      <w:tr>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Health Index</w:t>
            </w:r>
          </w:p>
        </w:tc>
        <w:tc>
          <w:tcPr>
            <w:tcW w:type="dxa" w:w="27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Composite score reflecting overall project vitality.</w:t>
            </w:r>
          </w:p>
        </w:tc>
        <w:tc>
          <w:tcPr>
            <w:tcW w:type="dxa" w:w="331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100 − (Overdue/Active × 50) − (Blocked/Active × 30) − (On Hold/Active × 20)</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 80% — Green</w:t>
            </w:r>
          </w:p>
        </w:tc>
      </w:tr>
      <w:tr>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Delivery Confidence</w:t>
            </w:r>
          </w:p>
        </w:tc>
        <w:tc>
          <w:tcPr>
            <w:tcW w:type="dxa" w:w="27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Probability of delivering on schedule based on team velocity vs. remaining backlog.</w:t>
            </w:r>
          </w:p>
        </w:tc>
        <w:tc>
          <w:tcPr>
            <w:tcW w:type="dxa" w:w="331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Matches remaining task count against 4-week rolling average velocity. Deficit degrades confidence to a floor of 30%.</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 85% — Green</w:t>
            </w:r>
          </w:p>
        </w:tc>
      </w:tr>
      <w:tr>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 RAID Elements</w:t>
            </w:r>
          </w:p>
        </w:tc>
        <w:tc>
          <w:tcPr>
            <w:tcW w:type="dxa" w:w="27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Total open Risk, Assumption, Issue, and Dependency items.</w:t>
            </w:r>
          </w:p>
        </w:tc>
        <w:tc>
          <w:tcPr>
            <w:tcW w:type="dxa" w:w="331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COUNT(raids WHERE status ∈ {Identified, Active})</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0 — Goal</w:t>
            </w:r>
          </w:p>
        </w:tc>
      </w:tr>
    </w:tbl>
    <w:p>
      <w:pPr>
        <w:spacing w:after="160"/>
      </w:pPr>
    </w:p>
    <w:tbl>
      <w:tblPr>
        <w:tblW w:type="auto" w:w="0"/>
        <w:jc w:val="center"/>
        <w:tblLook w:firstColumn="1" w:firstRow="1" w:lastColumn="0" w:lastRow="0" w:noHBand="0" w:noVBand="1" w:val="04A0"/>
      </w:tblPr>
      <w:tblGrid>
        <w:gridCol w:w="9360"/>
      </w:tblGrid>
      <w:tr>
        <w:tc>
          <w:tcPr>
            <w:tcW w:type="dxa" w:w="9360"/>
            <w:shd w:val="clear" w:color="auto" w:fill="E8F4FD"/>
            <w:tcMar>
              <w:top w:w="120" w:type="dxa"/>
              <w:bottom w:w="120" w:type="dxa"/>
              <w:left w:w="180" w:type="dxa"/>
              <w:right w:w="180" w:type="dxa"/>
            </w:tcMar>
            <w:tcBorders>
              <w:top w:val="none"/>
              <w:bottom w:val="none"/>
              <w:left w:val="single" w:sz="28" w:color="1565C0"/>
              <w:right w:val="none"/>
            </w:tcBorders>
          </w:tcPr>
          <w:p>
            <w:pPr>
              <w:spacing w:before="40" w:after="40" w:line="276" w:lineRule="auto"/>
            </w:pPr>
            <w:r>
              <w:rPr>
                <w:rFonts w:ascii="Segoe UI" w:hAnsi="Segoe UI"/>
                <w:b/>
                <w:color w:val="0D4F8B"/>
                <w:sz w:val="19"/>
              </w:rPr>
              <w:t xml:space="preserve">ℹ️ INFO  </w:t>
            </w:r>
          </w:p>
          <w:p>
            <w:pPr>
              <w:spacing w:before="40" w:after="40" w:line="276" w:lineRule="auto"/>
            </w:pPr>
            <w:r>
              <w:rPr>
                <w:rFonts w:ascii="Segoe UI" w:hAnsi="Segoe UI"/>
                <w:color w:val="1C1C1E"/>
                <w:sz w:val="19"/>
              </w:rPr>
              <w:t>The Health Index excludes Completed and Cancelled tasks from its 'Active' denominator. Only tasks that are genuinely in-flight and at risk contribute to health degradation.</w:t>
            </w:r>
          </w:p>
        </w:tc>
      </w:tr>
    </w:tbl>
    <w:p>
      <w:pPr>
        <w:spacing w:after="80"/>
      </w:pPr>
    </w:p>
    <w:p>
      <w:pPr>
        <w:pStyle w:val="Heading2"/>
        <w:keepNext/>
        <w:spacing w:before="320" w:after="120"/>
      </w:pPr>
      <w:r>
        <w:rPr>
          <w:rFonts w:ascii="Segoe UI" w:hAnsi="Segoe UI"/>
          <w:color w:val="1E9ED5"/>
        </w:rPr>
        <w:t>1.2  Dynamic Health Gauge</w:t>
      </w:r>
    </w:p>
    <w:p>
      <w:pPr>
        <w:spacing w:before="0" w:after="120"/>
      </w:pPr>
      <w:r>
        <w:rPr>
          <w:rFonts w:ascii="Segoe UI" w:hAnsi="Segoe UI"/>
          <w:sz w:val="21"/>
        </w:rPr>
        <w:t>Below the KPI cards sits the radial SVG Health Gauge — a premium animated dial that provides an at-a-glance summary of the Health Index. The gauge uses a dynamic arc drawn in real time by the browser's SVG engine, with a glow effect that intensifies as health improves.</w:t>
      </w:r>
    </w:p>
    <w:p>
      <w:pPr>
        <w:pStyle w:val="ListBullet"/>
        <w:spacing w:before="0" w:after="60"/>
        <w:ind w:left="360"/>
      </w:pPr>
      <w:r>
        <w:rPr>
          <w:rFonts w:ascii="Segoe UI" w:hAnsi="Segoe UI"/>
          <w:sz w:val="21"/>
        </w:rPr>
        <w:t>Green glow (80–100%): Project is healthy and on track.</w:t>
      </w:r>
    </w:p>
    <w:p>
      <w:pPr>
        <w:pStyle w:val="ListBullet"/>
        <w:spacing w:before="0" w:after="60"/>
        <w:ind w:left="360"/>
      </w:pPr>
      <w:r>
        <w:rPr>
          <w:rFonts w:ascii="Segoe UI" w:hAnsi="Segoe UI"/>
          <w:sz w:val="21"/>
        </w:rPr>
        <w:t>Amber arc (50–79%): Warning — one or more risk factors require attention.</w:t>
      </w:r>
    </w:p>
    <w:p>
      <w:pPr>
        <w:pStyle w:val="ListBullet"/>
        <w:spacing w:before="0" w:after="60"/>
        <w:ind w:left="360"/>
      </w:pPr>
      <w:r>
        <w:rPr>
          <w:rFonts w:ascii="Segoe UI" w:hAnsi="Segoe UI"/>
          <w:sz w:val="21"/>
        </w:rPr>
        <w:t>Red arc (&lt;50%): Critical — immediate management intervention required.</w:t>
      </w:r>
    </w:p>
    <w:p>
      <w:pPr>
        <w:pStyle w:val="ListBullet"/>
        <w:spacing w:before="0" w:after="60"/>
        <w:ind w:left="360"/>
      </w:pPr>
      <w:r>
        <w:rPr>
          <w:rFonts w:ascii="Segoe UI" w:hAnsi="Segoe UI"/>
          <w:sz w:val="21"/>
        </w:rPr>
        <w:t>Hover interaction: Reveals a breakdown tooltip listing each drag factor and its percentage contribution (e.g., 'Overdue Tasks: −8%', 'Defects: −12%').</w:t>
      </w:r>
    </w:p>
    <w:p/>
    <w:p>
      <w:pPr>
        <w:pStyle w:val="Heading2"/>
        <w:keepNext/>
        <w:spacing w:before="320" w:after="120"/>
      </w:pPr>
      <w:r>
        <w:rPr>
          <w:rFonts w:ascii="Segoe UI" w:hAnsi="Segoe UI"/>
          <w:color w:val="1E9ED5"/>
        </w:rPr>
        <w:t>1.3  What-If Predictive Sandbox</w:t>
      </w:r>
    </w:p>
    <w:p>
      <w:pPr>
        <w:spacing w:before="0" w:after="120"/>
      </w:pPr>
      <w:r>
        <w:rPr>
          <w:rFonts w:ascii="Segoe UI" w:hAnsi="Segoe UI"/>
          <w:sz w:val="21"/>
        </w:rPr>
        <w:t>The Predictive Sandbox is a non-destructive simulation environment that lets project managers explore 'what-if' scenarios without altering the live project state. The sandbox operates on an in-memory clone of the master schedule (P.sandboxTasks), leaving P.tasks completely unchanged.</w:t>
      </w:r>
    </w:p>
    <w:tbl>
      <w:tblPr>
        <w:tblW w:type="auto" w:w="0"/>
        <w:jc w:val="center"/>
        <w:tblLook w:firstColumn="1" w:firstRow="1" w:lastColumn="0" w:lastRow="0" w:noHBand="0" w:noVBand="1" w:val="04A0"/>
      </w:tblPr>
      <w:tblGrid>
        <w:gridCol w:w="3120"/>
        <w:gridCol w:w="3120"/>
        <w:gridCol w:w="3120"/>
      </w:tblGrid>
      <w:tr>
        <w:tc>
          <w:tcPr>
            <w:tcW w:type="dxa" w:w="21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Control</w:t>
            </w:r>
          </w:p>
        </w:tc>
        <w:tc>
          <w:tcPr>
            <w:tcW w:type="dxa" w:w="316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Action</w:t>
            </w:r>
          </w:p>
        </w:tc>
        <w:tc>
          <w:tcPr>
            <w:tcW w:type="dxa" w:w="388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Effect on Simulation</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Toggle Sandbox</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Activates/deactivates sandbox mode.</w:t>
            </w:r>
          </w:p>
        </w:tc>
        <w:tc>
          <w:tcPr>
            <w:tcW w:type="dxa" w:w="388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Switches state context from master to sandbox clone.</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Capacity Slider</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Reduce team availability by a percentage (e.g. −20%).</w:t>
            </w:r>
          </w:p>
        </w:tc>
        <w:tc>
          <w:tcPr>
            <w:tcW w:type="dxa" w:w="388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Extends forecast due dates proportionally across assigned tasks.</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Scope Multiplier</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Increase task complexity by a factor (e.g. 1.2×).</w:t>
            </w:r>
          </w:p>
        </w:tc>
        <w:tc>
          <w:tcPr>
            <w:tcW w:type="dxa" w:w="388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Inflates estimated effort and pushes projected delivery dates outward.</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Commit Changes</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Applies sandbox mutations to the live project.</w:t>
            </w:r>
          </w:p>
        </w:tc>
        <w:tc>
          <w:tcPr>
            <w:tcW w:type="dxa" w:w="388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Overwrites master schedule with simulated dates. Irreversible without a baseline restore.</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Discard</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Rolls back all sandbox mutations.</w:t>
            </w:r>
          </w:p>
        </w:tc>
        <w:tc>
          <w:tcPr>
            <w:tcW w:type="dxa" w:w="388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Restores the live schedule to its pre-simulation state instantly.</w:t>
            </w:r>
          </w:p>
        </w:tc>
      </w:tr>
    </w:tbl>
    <w:p>
      <w:pPr>
        <w:spacing w:after="160"/>
      </w:pPr>
    </w:p>
    <w:tbl>
      <w:tblPr>
        <w:tblW w:type="auto" w:w="0"/>
        <w:jc w:val="center"/>
        <w:tblLook w:firstColumn="1" w:firstRow="1" w:lastColumn="0" w:lastRow="0" w:noHBand="0" w:noVBand="1" w:val="04A0"/>
      </w:tblPr>
      <w:tblGrid>
        <w:gridCol w:w="9360"/>
      </w:tblGrid>
      <w:tr>
        <w:tc>
          <w:tcPr>
            <w:tcW w:type="dxa" w:w="9360"/>
            <w:shd w:val="clear" w:color="auto" w:fill="FEF9E7"/>
            <w:tcMar>
              <w:top w:w="120" w:type="dxa"/>
              <w:bottom w:w="120" w:type="dxa"/>
              <w:left w:w="180" w:type="dxa"/>
              <w:right w:w="180" w:type="dxa"/>
            </w:tcMar>
            <w:tcBorders>
              <w:top w:val="none"/>
              <w:bottom w:val="none"/>
              <w:left w:val="single" w:sz="28" w:color="C67C00"/>
              <w:right w:val="none"/>
            </w:tcBorders>
          </w:tcPr>
          <w:p>
            <w:pPr>
              <w:spacing w:before="40" w:after="40" w:line="276" w:lineRule="auto"/>
            </w:pPr>
            <w:r>
              <w:rPr>
                <w:rFonts w:ascii="Segoe UI" w:hAnsi="Segoe UI"/>
                <w:b/>
                <w:color w:val="7D4E00"/>
                <w:sz w:val="19"/>
              </w:rPr>
              <w:t xml:space="preserve">⚠️ WARNING  </w:t>
            </w:r>
          </w:p>
          <w:p>
            <w:pPr>
              <w:spacing w:before="40" w:after="40" w:line="276" w:lineRule="auto"/>
            </w:pPr>
            <w:r>
              <w:rPr>
                <w:rFonts w:ascii="Segoe UI" w:hAnsi="Segoe UI"/>
                <w:color w:val="1C1C1E"/>
                <w:sz w:val="19"/>
              </w:rPr>
              <w:t>Always capture a Schedule Baseline (Chapter 12) before committing sandbox changes. This ensures you can restore the original plan if the simulation produces undesirable outcomes.</w:t>
            </w:r>
          </w:p>
        </w:tc>
      </w:tr>
    </w:tbl>
    <w:p>
      <w:pPr>
        <w:spacing w:after="80"/>
      </w:pPr>
    </w:p>
    <w:p>
      <w:r>
        <w:br w:type="page"/>
      </w:r>
    </w:p>
    <w:p>
      <w:pPr>
        <w:pStyle w:val="Heading1"/>
        <w:keepNext/>
        <w:spacing w:before="480" w:after="160"/>
      </w:pPr>
      <w:r>
        <w:rPr>
          <w:rFonts w:ascii="Segoe UI" w:hAnsi="Segoe UI"/>
          <w:color w:val="0D1B2A"/>
        </w:rPr>
        <w:t>2  Live Project Insights &amp; Analytics</w:t>
      </w:r>
    </w:p>
    <w:p>
      <w:pPr>
        <w:pBdr>
          <w:bottom w:val="single" w:sz="6" w:space="1" w:color="00C2A8"/>
        </w:pBdr>
        <w:spacing w:before="0" w:after="120"/>
      </w:pPr>
    </w:p>
    <w:p>
      <w:pPr>
        <w:spacing w:before="0" w:after="160"/>
      </w:pPr>
      <w:r>
        <w:rPr>
          <w:rFonts w:ascii="Segoe UI" w:hAnsi="Segoe UI"/>
          <w:sz w:val="21"/>
        </w:rPr>
        <w:t>The Insights tab is the analytical engine of ProjectPulse. It transforms raw task logs and effort records into actionable intelligence: Earned Value Management (EVM) metrics, burn-up projections, velocity sparklines, and 30-day activity heatmaps. All computations are powered by the buildDashCache() function — an O(n) single-pass aggregator that processes the full task and log dataset once to produce O(1) lookup structures that power every widget.</w:t>
      </w:r>
    </w:p>
    <w:p>
      <w:pPr>
        <w:jc w:val="center"/>
      </w:pPr>
      <w:r>
        <w:rPr>
          <w:i/>
          <w:color w:val="6C757D"/>
        </w:rPr>
        <w:t>[Screenshot: 02_insights_analytics]</w:t>
      </w:r>
    </w:p>
    <w:p>
      <w:pPr>
        <w:spacing w:before="80" w:after="280"/>
        <w:jc w:val="center"/>
      </w:pPr>
      <w:r>
        <w:rPr>
          <w:rFonts w:ascii="Segoe UI" w:hAnsi="Segoe UI"/>
          <w:i/>
          <w:color w:val="6C757D"/>
          <w:sz w:val="18"/>
        </w:rPr>
        <w:t>Figure 2.1 — Live Insights: EVM metrics, Burn-up Chart, and Velocity Dashboard</w:t>
      </w:r>
    </w:p>
    <w:p>
      <w:pPr>
        <w:pStyle w:val="Heading2"/>
        <w:keepNext/>
        <w:spacing w:before="320" w:after="120"/>
      </w:pPr>
      <w:r>
        <w:rPr>
          <w:rFonts w:ascii="Segoe UI" w:hAnsi="Segoe UI"/>
          <w:color w:val="1E9ED5"/>
        </w:rPr>
        <w:t>2.1  Performance Metric Caching (buildDashCache)</w:t>
      </w:r>
    </w:p>
    <w:p>
      <w:pPr>
        <w:spacing w:before="0" w:after="120"/>
      </w:pPr>
      <w:r>
        <w:rPr>
          <w:rFonts w:ascii="Segoe UI" w:hAnsi="Segoe UI"/>
          <w:sz w:val="21"/>
        </w:rPr>
        <w:t>To ensure smooth animations and sub-millisecond render times, ProjectPulse caches all computed analytics in a single P.cache object. The cache is hydrated every time task data or resource allocations change, and before every render cycle.</w:t>
      </w:r>
    </w:p>
    <w:p>
      <w:pPr>
        <w:pStyle w:val="ListBullet"/>
        <w:spacing w:before="0" w:after="60"/>
        <w:ind w:left="360"/>
      </w:pPr>
      <w:r>
        <w:rPr>
          <w:rFonts w:ascii="Segoe UI" w:hAnsi="Segoe UI"/>
          <w:sz w:val="21"/>
        </w:rPr>
        <w:t>Single-pass O(n) aggregation — iterates the task list exactly once per cache build.</w:t>
      </w:r>
    </w:p>
    <w:p>
      <w:pPr>
        <w:pStyle w:val="ListBullet"/>
        <w:spacing w:before="0" w:after="60"/>
        <w:ind w:left="360"/>
      </w:pPr>
      <w:r>
        <w:rPr>
          <w:rFonts w:ascii="Segoe UI" w:hAnsi="Segoe UI"/>
          <w:sz w:val="21"/>
        </w:rPr>
        <w:t>Calculates time-series arrays for cumulative completion tracking.</w:t>
      </w:r>
    </w:p>
    <w:p>
      <w:pPr>
        <w:pStyle w:val="ListBullet"/>
        <w:spacing w:before="0" w:after="60"/>
        <w:ind w:left="360"/>
      </w:pPr>
      <w:r>
        <w:rPr>
          <w:rFonts w:ascii="Segoe UI" w:hAnsi="Segoe UI"/>
          <w:sz w:val="21"/>
        </w:rPr>
        <w:t>Pre-computes dependency lookup maps to eliminate redundant nested searches.</w:t>
      </w:r>
    </w:p>
    <w:p>
      <w:pPr>
        <w:pStyle w:val="ListBullet"/>
        <w:spacing w:before="0" w:after="60"/>
        <w:ind w:left="360"/>
      </w:pPr>
      <w:r>
        <w:rPr>
          <w:rFonts w:ascii="Segoe UI" w:hAnsi="Segoe UI"/>
          <w:sz w:val="21"/>
        </w:rPr>
        <w:t>Generates sparkline data points for all health metric history charts.</w:t>
      </w:r>
    </w:p>
    <w:p/>
    <w:p>
      <w:pPr>
        <w:pStyle w:val="Heading2"/>
        <w:keepNext/>
        <w:spacing w:before="320" w:after="120"/>
      </w:pPr>
      <w:r>
        <w:rPr>
          <w:rFonts w:ascii="Segoe UI" w:hAnsi="Segoe UI"/>
          <w:color w:val="1E9ED5"/>
        </w:rPr>
        <w:t>2.2  Earned Value Management (EVM)</w:t>
      </w:r>
    </w:p>
    <w:p>
      <w:pPr>
        <w:spacing w:before="0" w:after="120"/>
      </w:pPr>
      <w:r>
        <w:rPr>
          <w:rFonts w:ascii="Segoe UI" w:hAnsi="Segoe UI"/>
          <w:sz w:val="21"/>
        </w:rPr>
        <w:t>ProjectPulse implements the full PMI-standard EVM framework. Metrics are displayed as live cards updated on every cache refresh.</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Metric</w:t>
            </w:r>
          </w:p>
        </w:tc>
        <w:tc>
          <w:tcPr>
            <w:tcW w:type="dxa" w:w="345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Formula</w:t>
            </w:r>
          </w:p>
        </w:tc>
        <w:tc>
          <w:tcPr>
            <w:tcW w:type="dxa" w:w="316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Interpretation</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Planned Value (PV)</w:t>
            </w:r>
          </w:p>
        </w:tc>
        <w:tc>
          <w:tcPr>
            <w:tcW w:type="dxa" w:w="345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Total Budget × (Time Elapsed / Total Timeline)</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Budget that should have been consumed by today's date per the original plan.</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Earned Value (EV)</w:t>
            </w:r>
          </w:p>
        </w:tc>
        <w:tc>
          <w:tcPr>
            <w:tcW w:type="dxa" w:w="345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Total Budget × % Completion</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Value of work actually delivered relative to the plan.</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Actual Cost (AC)</w:t>
            </w:r>
          </w:p>
        </w:tc>
        <w:tc>
          <w:tcPr>
            <w:tcW w:type="dxa" w:w="345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Σ(logged hours) × avg. blended resource rate</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Real resources consumed to date.</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Schedule Variance (SV)</w:t>
            </w:r>
          </w:p>
        </w:tc>
        <w:tc>
          <w:tcPr>
            <w:tcW w:type="dxa" w:w="345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EV − PV</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Positive = ahead of schedule. Negative = behind schedule.</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Schedule Performance Index (SPI)</w:t>
            </w:r>
          </w:p>
        </w:tc>
        <w:tc>
          <w:tcPr>
            <w:tcW w:type="dxa" w:w="345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EV ÷ PV</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SPI &lt; 1.0 indicates schedule slippage. SPI &gt; 1.0 indicates ahead-of-schedule delivery.</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Cost Variance (CV)</w:t>
            </w:r>
          </w:p>
        </w:tc>
        <w:tc>
          <w:tcPr>
            <w:tcW w:type="dxa" w:w="345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EV − AC</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Positive = under budget. Negative = over budget.</w:t>
            </w:r>
          </w:p>
        </w:tc>
      </w:tr>
    </w:tbl>
    <w:p>
      <w:pPr>
        <w:spacing w:after="160"/>
      </w:pPr>
    </w:p>
    <w:p>
      <w:pPr>
        <w:pStyle w:val="Heading2"/>
        <w:keepNext/>
        <w:spacing w:before="320" w:after="120"/>
      </w:pPr>
      <w:r>
        <w:rPr>
          <w:rFonts w:ascii="Segoe UI" w:hAnsi="Segoe UI"/>
          <w:color w:val="1E9ED5"/>
        </w:rPr>
        <w:t>2.3  Burn-up &amp; Burn-down Projections</w:t>
      </w:r>
    </w:p>
    <w:p>
      <w:pPr>
        <w:spacing w:before="0" w:after="120"/>
      </w:pPr>
      <w:r>
        <w:rPr>
          <w:rFonts w:ascii="Segoe UI" w:hAnsi="Segoe UI"/>
          <w:sz w:val="21"/>
        </w:rPr>
        <w:t>The central chart in the Insights view is an interactive burn-up chart that provides a visual projection of project completion.</w:t>
      </w:r>
    </w:p>
    <w:p>
      <w:pPr>
        <w:pStyle w:val="ListBullet"/>
        <w:spacing w:before="0" w:after="60"/>
        <w:ind w:left="360"/>
      </w:pPr>
      <w:r>
        <w:rPr>
          <w:rFonts w:ascii="Segoe UI" w:hAnsi="Segoe UI"/>
          <w:sz w:val="21"/>
        </w:rPr>
        <w:t>Scope Line (Blue): Total planned complexity points over time. Rises when scope is added.</w:t>
      </w:r>
    </w:p>
    <w:p>
      <w:pPr>
        <w:pStyle w:val="ListBullet"/>
        <w:spacing w:before="0" w:after="60"/>
        <w:ind w:left="360"/>
      </w:pPr>
      <w:r>
        <w:rPr>
          <w:rFonts w:ascii="Segoe UI" w:hAnsi="Segoe UI"/>
          <w:sz w:val="21"/>
        </w:rPr>
        <w:t>Completion Line (Green): Accumulated complexity points of all tasks with status 'Completed'. Rising steeply indicates a healthy delivery pace.</w:t>
      </w:r>
    </w:p>
    <w:p>
      <w:pPr>
        <w:pStyle w:val="ListBullet"/>
        <w:spacing w:before="0" w:after="60"/>
        <w:ind w:left="360"/>
      </w:pPr>
      <w:r>
        <w:rPr>
          <w:rFonts w:ascii="Segoe UI" w:hAnsi="Segoe UI"/>
          <w:sz w:val="21"/>
        </w:rPr>
        <w:t>Dynamic Projection (Dashed Amber): Linear extrapolation based on the rolling 3-week velocity, estimating the exact calendar week of project completion.</w:t>
      </w:r>
    </w:p>
    <w:p/>
    <w:p>
      <w:pPr>
        <w:pStyle w:val="Heading2"/>
        <w:keepNext/>
        <w:spacing w:before="320" w:after="120"/>
      </w:pPr>
      <w:r>
        <w:rPr>
          <w:rFonts w:ascii="Segoe UI" w:hAnsi="Segoe UI"/>
          <w:color w:val="1E9ED5"/>
        </w:rPr>
        <w:t>2.4  30-Day Activity Heatmap</w:t>
      </w:r>
    </w:p>
    <w:p>
      <w:pPr>
        <w:spacing w:before="0" w:after="120"/>
      </w:pPr>
      <w:r>
        <w:rPr>
          <w:rFonts w:ascii="Segoe UI" w:hAnsi="Segoe UI"/>
          <w:sz w:val="21"/>
        </w:rPr>
        <w:t>A calendar heatmap shows contribution density across the past 30 calendar days. Each cell represents a single day; colour intensity reflects the number of task state changes logged by the team on that day. This view is powered by the retrospective activity date resolution system introduced in the June 2026 release — log entries reference actCompletionDate rather than insertion timestamps, giving an accurate picture of when work was actually completed rather than when it was logged.</w:t>
      </w:r>
    </w:p>
    <w:tbl>
      <w:tblPr>
        <w:tblW w:type="auto" w:w="0"/>
        <w:jc w:val="center"/>
        <w:tblLook w:firstColumn="1" w:firstRow="1" w:lastColumn="0" w:lastRow="0" w:noHBand="0" w:noVBand="1" w:val="04A0"/>
      </w:tblPr>
      <w:tblGrid>
        <w:gridCol w:w="9360"/>
      </w:tblGrid>
      <w:tr>
        <w:tc>
          <w:tcPr>
            <w:tcW w:type="dxa" w:w="9360"/>
            <w:shd w:val="clear" w:color="auto" w:fill="E9F7EF"/>
            <w:tcMar>
              <w:top w:w="120" w:type="dxa"/>
              <w:bottom w:w="120" w:type="dxa"/>
              <w:left w:w="180" w:type="dxa"/>
              <w:right w:w="180" w:type="dxa"/>
            </w:tcMar>
            <w:tcBorders>
              <w:top w:val="none"/>
              <w:bottom w:val="none"/>
              <w:left w:val="single" w:sz="28" w:color="1E8449"/>
              <w:right w:val="none"/>
            </w:tcBorders>
          </w:tcPr>
          <w:p>
            <w:pPr>
              <w:spacing w:before="40" w:after="40" w:line="276" w:lineRule="auto"/>
            </w:pPr>
            <w:r>
              <w:rPr>
                <w:rFonts w:ascii="Segoe UI" w:hAnsi="Segoe UI"/>
                <w:b/>
                <w:color w:val="145A32"/>
                <w:sz w:val="19"/>
              </w:rPr>
              <w:t xml:space="preserve">💡 TIP  </w:t>
            </w:r>
          </w:p>
          <w:p>
            <w:pPr>
              <w:spacing w:before="40" w:after="40" w:line="276" w:lineRule="auto"/>
            </w:pPr>
            <w:r>
              <w:rPr>
                <w:rFonts w:ascii="Segoe UI" w:hAnsi="Segoe UI"/>
                <w:color w:val="1C1C1E"/>
                <w:sz w:val="19"/>
              </w:rPr>
              <w:t>Velocity is calculated as the 3-week rolling average of completed complexity points per week. Weeks where no tasks were completed are excluded from the rolling window to avoid artificially suppressing the velocity figure during holiday periods.</w:t>
            </w:r>
          </w:p>
        </w:tc>
      </w:tr>
    </w:tbl>
    <w:p>
      <w:pPr>
        <w:spacing w:after="80"/>
      </w:pPr>
    </w:p>
    <w:p>
      <w:r>
        <w:br w:type="page"/>
      </w:r>
    </w:p>
    <w:p>
      <w:pPr>
        <w:pStyle w:val="Heading1"/>
        <w:keepNext/>
        <w:spacing w:before="480" w:after="160"/>
      </w:pPr>
      <w:r>
        <w:rPr>
          <w:rFonts w:ascii="Segoe UI" w:hAnsi="Segoe UI"/>
          <w:color w:val="0D1B2A"/>
        </w:rPr>
        <w:t>3  Software Deliveries &amp; Deployment Schedule</w:t>
      </w:r>
    </w:p>
    <w:p>
      <w:pPr>
        <w:pBdr>
          <w:bottom w:val="single" w:sz="6" w:space="1" w:color="00C2A8"/>
        </w:pBdr>
        <w:spacing w:before="0" w:after="120"/>
      </w:pPr>
    </w:p>
    <w:p>
      <w:pPr>
        <w:spacing w:before="0" w:after="160"/>
      </w:pPr>
      <w:r>
        <w:rPr>
          <w:rFonts w:ascii="Segoe UI" w:hAnsi="Segoe UI"/>
          <w:sz w:val="21"/>
        </w:rPr>
        <w:t>The Software Deliveries workstation (View 3: 'deliveries') is ProjectPulse's dedicated command center for tracking formal software delivery milestones, ALM/PDN tracking, deployment schedules, and build releases. It bridges the gap between low-level WBS tasks and production releases, providing project managers, release coordinators, and DevOps leads with end-to-end visibility from code completion to production rollout.</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2" name="Picture 2"/>
                  <wp:cNvGraphicFramePr>
                    <a:graphicFrameLocks noChangeAspect="1"/>
                  </wp:cNvGraphicFramePr>
                  <a:graphic>
                    <a:graphicData uri="http://schemas.openxmlformats.org/drawingml/2006/picture">
                      <pic:pic>
                        <pic:nvPicPr>
                          <pic:cNvPr id="0" name="02b_software_deliveries.png"/>
                          <pic:cNvPicPr/>
                        </pic:nvPicPr>
                        <pic:blipFill>
                          <a:blip r:embed="rId10"/>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3.1 — Software Deliveries View: High-density table grid with status pills, ALM/PDN tracking, and quick filters</w:t>
      </w:r>
    </w:p>
    <w:p>
      <w:pPr>
        <w:pStyle w:val="Heading2"/>
        <w:keepNext/>
        <w:spacing w:before="320" w:after="120"/>
      </w:pPr>
      <w:r>
        <w:rPr>
          <w:rFonts w:ascii="Segoe UI" w:hAnsi="Segoe UI"/>
          <w:color w:val="1E9ED5"/>
        </w:rPr>
        <w:t>3.1  Delivery Record Architecture &amp; ALM / PDN Tracking</w:t>
      </w:r>
    </w:p>
    <w:p>
      <w:pPr>
        <w:spacing w:before="0" w:after="120"/>
      </w:pPr>
      <w:r>
        <w:rPr>
          <w:rFonts w:ascii="Segoe UI" w:hAnsi="Segoe UI"/>
          <w:sz w:val="21"/>
        </w:rPr>
        <w:t>Every delivery record in ProjectPulse (P.deliveries) is structured to support enterprise-grade release management and compliance traceability:</w:t>
      </w:r>
    </w:p>
    <w:tbl>
      <w:tblPr>
        <w:tblW w:type="auto" w:w="0"/>
        <w:jc w:val="center"/>
        <w:tblLook w:firstColumn="1" w:firstRow="1" w:lastColumn="0" w:lastRow="0" w:noHBand="0" w:noVBand="1" w:val="04A0"/>
      </w:tblPr>
      <w:tblGrid>
        <w:gridCol w:w="2340"/>
        <w:gridCol w:w="2340"/>
        <w:gridCol w:w="2340"/>
        <w:gridCol w:w="2340"/>
      </w:tblGrid>
      <w:tr>
        <w:tc>
          <w:tcPr>
            <w:tcW w:type="dxa" w:w="187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Field</w:t>
            </w:r>
          </w:p>
        </w:tc>
        <w:tc>
          <w:tcPr>
            <w:tcW w:type="dxa" w:w="172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Type</w:t>
            </w:r>
          </w:p>
        </w:tc>
        <w:tc>
          <w:tcPr>
            <w:tcW w:type="dxa" w:w="360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Description</w:t>
            </w:r>
          </w:p>
        </w:tc>
        <w:tc>
          <w:tcPr>
            <w:tcW w:type="dxa" w:w="230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Business Value</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id</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 (Unique)</w:t>
            </w:r>
          </w:p>
        </w:tc>
        <w:tc>
          <w:tcPr>
            <w:tcW w:type="dxa" w:w="360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Permanent delivery identifier (e.g. DEL-001, DEL-002)</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Unique reference across audit logs, reports, and change requests.</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title</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360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Descriptive name of the delivery package or milestone</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Clear business context for executive and engineering stakeholders.</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version</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360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Semantic or build version tag (e.g., v2.1.0-RC1)</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Synchronised with git tags and CI/CD pipeline build artefacts.</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type</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Dropdown</w:t>
            </w:r>
          </w:p>
        </w:tc>
        <w:tc>
          <w:tcPr>
            <w:tcW w:type="dxa" w:w="360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Release, Patch, Hotfix, Milestone, Internal Build</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Categorisation determining change control governance depth.</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status</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Dropdown</w:t>
            </w:r>
          </w:p>
        </w:tc>
        <w:tc>
          <w:tcPr>
            <w:tcW w:type="dxa" w:w="360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Scheduled, In Progress, Ready for QA, Deployed, Cancelled</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Enforces the release lifecycle state machine.</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targetDate</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Date (YYYY-MM-DD)</w:t>
            </w:r>
          </w:p>
        </w:tc>
        <w:tc>
          <w:tcPr>
            <w:tcW w:type="dxa" w:w="360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Scheduled target delivery or release window date</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Drives countdown chips, overdue badges, and calendar scheduling.</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deployedDate</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Date (YYYY-MM-DD)</w:t>
            </w:r>
          </w:p>
        </w:tc>
        <w:tc>
          <w:tcPr>
            <w:tcW w:type="dxa" w:w="360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Actual date deployed to staging or production</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Historical audit record for delivery SLA and velocity metrics.</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environment</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Dropdown</w:t>
            </w:r>
          </w:p>
        </w:tc>
        <w:tc>
          <w:tcPr>
            <w:tcW w:type="dxa" w:w="360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DEV, QA / Test, Staging / UAT, Pre-Prod, Production</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Target deployment infrastructure environment tier.</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lead</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Dropdown</w:t>
            </w:r>
          </w:p>
        </w:tc>
        <w:tc>
          <w:tcPr>
            <w:tcW w:type="dxa" w:w="360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Delivery lead or responsible release engineer</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Owner responsible for change review, deployment checklist, and sign-off.</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linkedTaskIds</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Array / CSV</w:t>
            </w:r>
          </w:p>
        </w:tc>
        <w:tc>
          <w:tcPr>
            <w:tcW w:type="dxa" w:w="360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Referenced WBS task identifiers (e.g., TASK-001, TASK-004)</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Bidirectional traceability to work breakdown structure.</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linkedScreenIds</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Array / CSV</w:t>
            </w:r>
          </w:p>
        </w:tc>
        <w:tc>
          <w:tcPr>
            <w:tcW w:type="dxa" w:w="360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Referenced GUI screens (e.g., SCR-001, SCR-005)</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Impact mapping from code releases to user-facing interfaces.</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almPdnNumber</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360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ALM / PDN work item reference (e.g., PDN-88421)</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Enterprise ALM synchronization for corporate compliance.</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notes</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 (Rich)</w:t>
            </w:r>
          </w:p>
        </w:tc>
        <w:tc>
          <w:tcPr>
            <w:tcW w:type="dxa" w:w="360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Deployment notes, pre-release checklists, rollback plan</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Operational instructions for execution and incident fallback.</w:t>
            </w:r>
          </w:p>
        </w:tc>
      </w:tr>
    </w:tbl>
    <w:p>
      <w:pPr>
        <w:spacing w:after="160"/>
      </w:pPr>
    </w:p>
    <w:p>
      <w:pPr>
        <w:pStyle w:val="Heading2"/>
        <w:keepNext/>
        <w:spacing w:before="320" w:after="120"/>
      </w:pPr>
      <w:r>
        <w:rPr>
          <w:rFonts w:ascii="Segoe UI" w:hAnsi="Segoe UI"/>
          <w:color w:val="1E9ED5"/>
        </w:rPr>
        <w:t>3.2  Bidirectional Multi-Linkage Engine</w:t>
      </w:r>
    </w:p>
    <w:p>
      <w:pPr>
        <w:spacing w:before="0" w:after="120"/>
      </w:pPr>
      <w:r>
        <w:rPr>
          <w:rFonts w:ascii="Segoe UI" w:hAnsi="Segoe UI"/>
          <w:sz w:val="21"/>
        </w:rPr>
        <w:t>A cornerstone capability of the Deliveries module is bidirectional multi-linkage. Deliveries are not isolated milestones; they connect directly to WBS Tasks and GUI Screens:</w:t>
      </w:r>
    </w:p>
    <w:p>
      <w:pPr>
        <w:pStyle w:val="ListBullet"/>
        <w:spacing w:before="0" w:after="60"/>
        <w:ind w:left="360"/>
      </w:pPr>
      <w:r>
        <w:rPr>
          <w:rFonts w:ascii="Segoe UI" w:hAnsi="Segoe UI"/>
          <w:sz w:val="21"/>
        </w:rPr>
        <w:t>Multi-Task Association: Multiple task IDs can be linked to a single delivery (e.g. TASK-001, TASK-003, TASK-007).</w:t>
      </w:r>
    </w:p>
    <w:p>
      <w:pPr>
        <w:pStyle w:val="ListBullet"/>
        <w:spacing w:before="0" w:after="60"/>
        <w:ind w:left="360"/>
      </w:pPr>
      <w:r>
        <w:rPr>
          <w:rFonts w:ascii="Segoe UI" w:hAnsi="Segoe UI"/>
          <w:sz w:val="21"/>
        </w:rPr>
        <w:t>Dynamic Progress Computation: Delivery progress is automatically inferred as the weighted completion percentage of its linked tasks.</w:t>
      </w:r>
    </w:p>
    <w:p>
      <w:pPr>
        <w:pStyle w:val="ListBullet"/>
        <w:spacing w:before="0" w:after="60"/>
        <w:ind w:left="360"/>
      </w:pPr>
      <w:r>
        <w:rPr>
          <w:rFonts w:ascii="Segoe UI" w:hAnsi="Segoe UI"/>
          <w:sz w:val="21"/>
        </w:rPr>
        <w:t>GUI Screen Impact Analysis: Linking deliveries to GUI screens allows QA teams to instantly see which UI surfaces are affected by a deployment.</w:t>
      </w:r>
    </w:p>
    <w:p>
      <w:pPr>
        <w:pStyle w:val="ListBullet"/>
        <w:spacing w:before="0" w:after="60"/>
        <w:ind w:left="360"/>
      </w:pPr>
      <w:r>
        <w:rPr>
          <w:rFonts w:ascii="Segoe UI" w:hAnsi="Segoe UI"/>
          <w:sz w:val="21"/>
        </w:rPr>
        <w:t>Automatic Cross-Referencing: Navigating from a Delivery to a Task or vice-versa reveals complete linkage details in the respective flyout drawers.</w:t>
      </w:r>
    </w:p>
    <w:p/>
    <w:p>
      <w:pPr>
        <w:pStyle w:val="Heading2"/>
        <w:keepNext/>
        <w:spacing w:before="320" w:after="120"/>
      </w:pPr>
      <w:r>
        <w:rPr>
          <w:rFonts w:ascii="Segoe UI" w:hAnsi="Segoe UI"/>
          <w:color w:val="1E9ED5"/>
        </w:rPr>
        <w:t>3.3  Visual Perspectives: Table Grid vs. Perspective Heatmap</w:t>
      </w:r>
    </w:p>
    <w:p>
      <w:pPr>
        <w:spacing w:before="0" w:after="120"/>
      </w:pPr>
      <w:r>
        <w:rPr>
          <w:rFonts w:ascii="Segoe UI" w:hAnsi="Segoe UI"/>
          <w:sz w:val="21"/>
        </w:rPr>
        <w:t>The Deliveries workstation offers two complementary visualization perspectives toggled seamlessly via the view toolbar:</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3" name="Picture 3"/>
                  <wp:cNvGraphicFramePr>
                    <a:graphicFrameLocks noChangeAspect="1"/>
                  </wp:cNvGraphicFramePr>
                  <a:graphic>
                    <a:graphicData uri="http://schemas.openxmlformats.org/drawingml/2006/picture">
                      <pic:pic>
                        <pic:nvPicPr>
                          <pic:cNvPr id="0" name="02c_deliveries_heatmap.png"/>
                          <pic:cNvPicPr/>
                        </pic:nvPicPr>
                        <pic:blipFill>
                          <a:blip r:embed="rId11"/>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3.2 — Visual Perspective Heatmap: Pipeline matrix organizing software deliveries by milestone and environment</w:t>
      </w:r>
    </w:p>
    <w:p>
      <w:pPr>
        <w:pStyle w:val="ListBullet"/>
        <w:spacing w:before="0" w:after="60"/>
        <w:ind w:left="360"/>
      </w:pPr>
      <w:r>
        <w:rPr>
          <w:rFonts w:ascii="Segoe UI" w:hAnsi="Segoe UI"/>
          <w:sz w:val="21"/>
        </w:rPr>
        <w:t>Table Grid View: High-density tabular layout optimized for operational scanning, batch sorting, and column configuration.</w:t>
      </w:r>
    </w:p>
    <w:p>
      <w:pPr>
        <w:pStyle w:val="ListBullet"/>
        <w:spacing w:before="0" w:after="60"/>
        <w:ind w:left="360"/>
      </w:pPr>
      <w:r>
        <w:rPr>
          <w:rFonts w:ascii="Segoe UI" w:hAnsi="Segoe UI"/>
          <w:sz w:val="21"/>
        </w:rPr>
        <w:t>Visual Perspective Heatmap: Matrix layout clustering deliveries across Target Environments (DEV, QA, UAT, PROD) and Release Horizons, with health-colored milestone cards.</w:t>
      </w:r>
    </w:p>
    <w:p>
      <w:pPr>
        <w:pStyle w:val="ListBullet"/>
        <w:spacing w:before="0" w:after="60"/>
        <w:ind w:left="360"/>
      </w:pPr>
      <w:r>
        <w:rPr>
          <w:rFonts w:ascii="Segoe UI" w:hAnsi="Segoe UI"/>
          <w:sz w:val="21"/>
        </w:rPr>
        <w:t>Quick Filters: Live search bar, Status dropdown, Type filter, and Environment selector instantly filter both perspectives in real time.</w:t>
      </w:r>
    </w:p>
    <w:p/>
    <w:p>
      <w:pPr>
        <w:pStyle w:val="Heading2"/>
        <w:keepNext/>
        <w:spacing w:before="320" w:after="120"/>
      </w:pPr>
      <w:r>
        <w:rPr>
          <w:rFonts w:ascii="Segoe UI" w:hAnsi="Segoe UI"/>
          <w:color w:val="1E9ED5"/>
        </w:rPr>
        <w:t>3.4  Slide-out Flyout Drawer &amp; Context Menu Operations</w:t>
      </w:r>
    </w:p>
    <w:p>
      <w:pPr>
        <w:spacing w:before="0" w:after="120"/>
      </w:pPr>
      <w:r>
        <w:rPr>
          <w:rFonts w:ascii="Segoe UI" w:hAnsi="Segoe UI"/>
          <w:sz w:val="21"/>
        </w:rPr>
        <w:t>Deep inspection and record modification are facilitated through ergonomic, accessible workflows:</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4" name="Picture 4"/>
                  <wp:cNvGraphicFramePr>
                    <a:graphicFrameLocks noChangeAspect="1"/>
                  </wp:cNvGraphicFramePr>
                  <a:graphic>
                    <a:graphicData uri="http://schemas.openxmlformats.org/drawingml/2006/picture">
                      <pic:pic>
                        <pic:nvPicPr>
                          <pic:cNvPr id="0" name="11b_delivery_flyout.png"/>
                          <pic:cNvPicPr/>
                        </pic:nvPicPr>
                        <pic:blipFill>
                          <a:blip r:embed="rId12"/>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3.3 — Delivery Detail Flyout Drawer: Comprehensive inspection of linked tasks, GUI screens, dependencies, and audit history</w:t>
      </w:r>
    </w:p>
    <w:p>
      <w:pPr>
        <w:pStyle w:val="ListBullet"/>
        <w:spacing w:before="0" w:after="60"/>
        <w:ind w:left="360"/>
      </w:pPr>
      <w:r>
        <w:rPr>
          <w:rFonts w:ascii="Segoe UI" w:hAnsi="Segoe UI"/>
          <w:sz w:val="21"/>
        </w:rPr>
        <w:t>3-Dot Action Menu: Every table row features an accessible ellipsis menu offering 'View Details', 'Edit Delivery', and 'Delete'.</w:t>
      </w:r>
    </w:p>
    <w:p>
      <w:pPr>
        <w:pStyle w:val="ListBullet"/>
        <w:spacing w:before="0" w:after="60"/>
        <w:ind w:left="360"/>
      </w:pPr>
      <w:r>
        <w:rPr>
          <w:rFonts w:ascii="Segoe UI" w:hAnsi="Segoe UI"/>
          <w:sz w:val="21"/>
        </w:rPr>
        <w:t>Right-Click Context Menu: Right-clicking any row triggers a context menu with identical high-speed shortcuts, eliminating visual clutter.</w:t>
      </w:r>
    </w:p>
    <w:p>
      <w:pPr>
        <w:pStyle w:val="ListBullet"/>
        <w:spacing w:before="0" w:after="60"/>
        <w:ind w:left="360"/>
      </w:pPr>
      <w:r>
        <w:rPr>
          <w:rFonts w:ascii="Segoe UI" w:hAnsi="Segoe UI"/>
          <w:sz w:val="21"/>
        </w:rPr>
        <w:t>Slide-out Flyout Drawer: Clicking any delivery opens an animated flyout drawer presenting metadata, progress gauges, linked task list with live status pills, screen badges, and audit history.</w:t>
      </w:r>
    </w:p>
    <w:p/>
    <w:p>
      <w:pPr>
        <w:pStyle w:val="Heading2"/>
        <w:keepNext/>
        <w:spacing w:before="320" w:after="120"/>
      </w:pPr>
      <w:r>
        <w:rPr>
          <w:rFonts w:ascii="Segoe UI" w:hAnsi="Segoe UI"/>
          <w:color w:val="1E9ED5"/>
        </w:rPr>
        <w:t>3.5  5-Strategy Intelligent Column Autofit Engine</w:t>
      </w:r>
    </w:p>
    <w:p>
      <w:pPr>
        <w:spacing w:before="0" w:after="120"/>
      </w:pPr>
      <w:r>
        <w:rPr>
          <w:rFonts w:ascii="Segoe UI" w:hAnsi="Segoe UI"/>
          <w:sz w:val="21"/>
        </w:rPr>
        <w:t>ProjectPulse features a proprietary multi-strategy column width optimization engine that adapts the Deliveries table to any screen resolution and content length:</w:t>
      </w:r>
    </w:p>
    <w:tbl>
      <w:tblPr>
        <w:tblW w:type="auto" w:w="0"/>
        <w:jc w:val="center"/>
        <w:tblLook w:firstColumn="1" w:firstRow="1" w:lastColumn="0" w:lastRow="0" w:noHBand="0" w:noVBand="1" w:val="04A0"/>
      </w:tblPr>
      <w:tblGrid>
        <w:gridCol w:w="3120"/>
        <w:gridCol w:w="3120"/>
        <w:gridCol w:w="3120"/>
      </w:tblGrid>
      <w:tr>
        <w:tc>
          <w:tcPr>
            <w:tcW w:type="dxa" w:w="230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Strategy</w:t>
            </w:r>
          </w:p>
        </w:tc>
        <w:tc>
          <w:tcPr>
            <w:tcW w:type="dxa" w:w="460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Algorithm</w:t>
            </w:r>
          </w:p>
        </w:tc>
        <w:tc>
          <w:tcPr>
            <w:tcW w:type="dxa" w:w="259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Best For</w:t>
            </w:r>
          </w:p>
        </w:tc>
      </w:tr>
      <w:tr>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Content-Aware Autofit</w:t>
            </w:r>
          </w:p>
        </w:tc>
        <w:tc>
          <w:tcPr>
            <w:tcW w:type="dxa" w:w="460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Measures rendered DOM canvas text width for headers and cell content with safety padding.</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Dense datasets with varying text lengths.</w:t>
            </w:r>
          </w:p>
        </w:tc>
      </w:tr>
      <w:tr>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Proportional Flex</w:t>
            </w:r>
          </w:p>
        </w:tc>
        <w:tc>
          <w:tcPr>
            <w:tcW w:type="dxa" w:w="460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Allocates column widths proportionally based on assigned flex factors.</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Standard widescreen monitors (1920×1080).</w:t>
            </w:r>
          </w:p>
        </w:tc>
      </w:tr>
      <w:tr>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Compact / Min-Width</w:t>
            </w:r>
          </w:p>
        </w:tc>
        <w:tc>
          <w:tcPr>
            <w:tcW w:type="dxa" w:w="460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Enforces strict minimum thresholds to prevent content overflow or horizontal scrolling.</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Laptops and tablet displays.</w:t>
            </w:r>
          </w:p>
        </w:tc>
      </w:tr>
      <w:tr>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Fixed Enterprise Grid</w:t>
            </w:r>
          </w:p>
        </w:tc>
        <w:tc>
          <w:tcPr>
            <w:tcW w:type="dxa" w:w="460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Applies fixed, standardized column dimensions for consistent enterprise printing.</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Export preparation and formal review.</w:t>
            </w:r>
          </w:p>
        </w:tc>
      </w:tr>
      <w:tr>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Saved Preference Mode</w:t>
            </w:r>
          </w:p>
        </w:tc>
        <w:tc>
          <w:tcPr>
            <w:tcW w:type="dxa" w:w="460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Restores user-customized drag-resized widths stored in localStorage.</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Personalized power-user workflows.</w:t>
            </w:r>
          </w:p>
        </w:tc>
      </w:tr>
    </w:tbl>
    <w:p>
      <w:pPr>
        <w:spacing w:after="160"/>
      </w:pPr>
    </w:p>
    <w:p>
      <w:pPr>
        <w:pStyle w:val="Heading2"/>
        <w:keepNext/>
        <w:spacing w:before="320" w:after="120"/>
      </w:pPr>
      <w:r>
        <w:rPr>
          <w:rFonts w:ascii="Segoe UI" w:hAnsi="Segoe UI"/>
          <w:color w:val="1E9ED5"/>
        </w:rPr>
        <w:t>3.6  Bidirectional Excel Synchronization</w:t>
      </w:r>
    </w:p>
    <w:p>
      <w:pPr>
        <w:spacing w:before="0" w:after="120"/>
      </w:pPr>
      <w:r>
        <w:rPr>
          <w:rFonts w:ascii="Segoe UI" w:hAnsi="Segoe UI"/>
          <w:sz w:val="21"/>
        </w:rPr>
        <w:t>The Deliveries module is fully integrated into ProjectPulse's Excel engine (PulseExcel.buildDeliveriesSheet). Exporting to Excel generates a dedicated 'Deliveries' worksheet complete with enterprise styling, status-coded fill colors, ALM/PDN numbers, linked task arrays, and environment markers. Importing an updated workbook flawlessly parses delivery records, synchronizing changes without data loss.</w:t>
      </w:r>
    </w:p>
    <w:tbl>
      <w:tblPr>
        <w:tblW w:type="auto" w:w="0"/>
        <w:jc w:val="center"/>
        <w:tblLook w:firstColumn="1" w:firstRow="1" w:lastColumn="0" w:lastRow="0" w:noHBand="0" w:noVBand="1" w:val="04A0"/>
      </w:tblPr>
      <w:tblGrid>
        <w:gridCol w:w="9360"/>
      </w:tblGrid>
      <w:tr>
        <w:tc>
          <w:tcPr>
            <w:tcW w:type="dxa" w:w="9360"/>
            <w:shd w:val="clear" w:color="auto" w:fill="E9F7EF"/>
            <w:tcMar>
              <w:top w:w="120" w:type="dxa"/>
              <w:bottom w:w="120" w:type="dxa"/>
              <w:left w:w="180" w:type="dxa"/>
              <w:right w:w="180" w:type="dxa"/>
            </w:tcMar>
            <w:tcBorders>
              <w:top w:val="none"/>
              <w:bottom w:val="none"/>
              <w:left w:val="single" w:sz="28" w:color="1E8449"/>
              <w:right w:val="none"/>
            </w:tcBorders>
          </w:tcPr>
          <w:p>
            <w:pPr>
              <w:spacing w:before="40" w:after="40" w:line="276" w:lineRule="auto"/>
            </w:pPr>
            <w:r>
              <w:rPr>
                <w:rFonts w:ascii="Segoe UI" w:hAnsi="Segoe UI"/>
                <w:b/>
                <w:color w:val="145A32"/>
                <w:sz w:val="19"/>
              </w:rPr>
              <w:t xml:space="preserve">💡 TIP  </w:t>
            </w:r>
          </w:p>
          <w:p>
            <w:pPr>
              <w:spacing w:before="40" w:after="40" w:line="276" w:lineRule="auto"/>
            </w:pPr>
            <w:r>
              <w:rPr>
                <w:rFonts w:ascii="Segoe UI" w:hAnsi="Segoe UI"/>
                <w:color w:val="1C1C1E"/>
                <w:sz w:val="19"/>
              </w:rPr>
              <w:t>Deliveries that are overdue or marked 'Blocked' automatically propagate their risk rating to the Executive Overview Health Index. Ensuring deliveries are linked to verified WBS tasks guarantees 100% schedule alignment across the organization.</w:t>
            </w:r>
          </w:p>
        </w:tc>
      </w:tr>
    </w:tbl>
    <w:p>
      <w:pPr>
        <w:spacing w:after="80"/>
      </w:pPr>
    </w:p>
    <w:p>
      <w:r>
        <w:br w:type="page"/>
      </w:r>
    </w:p>
    <w:p>
      <w:pPr>
        <w:pStyle w:val="Heading1"/>
        <w:keepNext/>
        <w:spacing w:before="480" w:after="160"/>
      </w:pPr>
      <w:r>
        <w:rPr>
          <w:rFonts w:ascii="Segoe UI" w:hAnsi="Segoe UI"/>
          <w:color w:val="0D1B2A"/>
        </w:rPr>
        <w:t>4  Hierarchical Task Matrix &amp; Work Breakdown Structure</w:t>
      </w:r>
    </w:p>
    <w:p>
      <w:pPr>
        <w:pBdr>
          <w:bottom w:val="single" w:sz="6" w:space="1" w:color="00C2A8"/>
        </w:pBdr>
        <w:spacing w:before="0" w:after="120"/>
      </w:pPr>
    </w:p>
    <w:p>
      <w:pPr>
        <w:spacing w:before="0" w:after="160"/>
      </w:pPr>
      <w:r>
        <w:rPr>
          <w:rFonts w:ascii="Segoe UI" w:hAnsi="Segoe UI"/>
          <w:sz w:val="21"/>
        </w:rPr>
        <w:t>The Hierarchical Task Matrix is the operational work breakdown structure (WBS) backbone of ProjectPulse — a high-density, spreadsheet-style task grid that supports multi-level parent-child hierarchies, inline editing, dependency mapping, effort estimation, and real-time status tracking. Every deliverable, epic, task, and subtask in the project lives in this view.</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5" name="Picture 5"/>
                  <wp:cNvGraphicFramePr>
                    <a:graphicFrameLocks noChangeAspect="1"/>
                  </wp:cNvGraphicFramePr>
                  <a:graphic>
                    <a:graphicData uri="http://schemas.openxmlformats.org/drawingml/2006/picture">
                      <pic:pic>
                        <pic:nvPicPr>
                          <pic:cNvPr id="0" name="02_delivery_matrix.png"/>
                          <pic:cNvPicPr/>
                        </pic:nvPicPr>
                        <pic:blipFill>
                          <a:blip r:embed="rId13"/>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4.1 — Hierarchical Task Matrix showing parent tasks, child subtasks, status pills, and inline controls</w:t>
      </w:r>
    </w:p>
    <w:p>
      <w:pPr>
        <w:pStyle w:val="Heading2"/>
        <w:keepNext/>
        <w:spacing w:before="320" w:after="120"/>
      </w:pPr>
      <w:r>
        <w:rPr>
          <w:rFonts w:ascii="Segoe UI" w:hAnsi="Segoe UI"/>
          <w:color w:val="1E9ED5"/>
        </w:rPr>
        <w:t>4.1  Parent-Child Task Hierarchies</w:t>
      </w:r>
    </w:p>
    <w:p>
      <w:pPr>
        <w:spacing w:before="0" w:after="120"/>
      </w:pPr>
      <w:r>
        <w:rPr>
          <w:rFonts w:ascii="Segoe UI" w:hAnsi="Segoe UI"/>
          <w:sz w:val="21"/>
        </w:rPr>
        <w:t>Tasks can be structured into multi-level trees. Parent tasks (Epics or Deliverables) aggregate metrics from all child tasks:</w:t>
      </w:r>
    </w:p>
    <w:p>
      <w:pPr>
        <w:pStyle w:val="ListBullet"/>
        <w:spacing w:before="0" w:after="60"/>
        <w:ind w:left="360"/>
      </w:pPr>
      <w:r>
        <w:rPr>
          <w:rFonts w:ascii="Segoe UI" w:hAnsi="Segoe UI"/>
          <w:sz w:val="21"/>
        </w:rPr>
        <w:t>Parent Tasks: Display summary progress as the weighted average of child task progress.</w:t>
      </w:r>
    </w:p>
    <w:p>
      <w:pPr>
        <w:pStyle w:val="ListBullet"/>
        <w:spacing w:before="0" w:after="60"/>
        <w:ind w:left="360"/>
      </w:pPr>
      <w:r>
        <w:rPr>
          <w:rFonts w:ascii="Segoe UI" w:hAnsi="Segoe UI"/>
          <w:sz w:val="21"/>
        </w:rPr>
        <w:t>Child Tasks / Subtasks: Individual action items with their own assignees, dates, effort, and complexity.</w:t>
      </w:r>
    </w:p>
    <w:p>
      <w:pPr>
        <w:pStyle w:val="ListBullet"/>
        <w:spacing w:before="0" w:after="60"/>
        <w:ind w:left="360"/>
      </w:pPr>
      <w:r>
        <w:rPr>
          <w:rFonts w:ascii="Segoe UI" w:hAnsi="Segoe UI"/>
          <w:sz w:val="21"/>
        </w:rPr>
        <w:t>Expand/Collapse: Click the chevron icon on any parent row to toggle child visibility.</w:t>
      </w:r>
    </w:p>
    <w:p>
      <w:pPr>
        <w:pStyle w:val="ListBullet"/>
        <w:spacing w:before="0" w:after="60"/>
        <w:ind w:left="360"/>
      </w:pPr>
      <w:r>
        <w:rPr>
          <w:rFonts w:ascii="Segoe UI" w:hAnsi="Segoe UI"/>
          <w:sz w:val="21"/>
        </w:rPr>
        <w:t>Indentation: Child rows are visually indented 24px per nesting level for clear hierarchy display.</w:t>
      </w:r>
    </w:p>
    <w:p/>
    <w:p>
      <w:pPr>
        <w:pStyle w:val="Heading2"/>
        <w:keepNext/>
        <w:spacing w:before="320" w:after="120"/>
      </w:pPr>
      <w:r>
        <w:rPr>
          <w:rFonts w:ascii="Segoe UI" w:hAnsi="Segoe UI"/>
          <w:color w:val="1E9ED5"/>
        </w:rPr>
        <w:t>4.2  Spreadsheet-Style Inline Editing</w:t>
      </w:r>
    </w:p>
    <w:p>
      <w:pPr>
        <w:spacing w:before="0" w:after="120"/>
      </w:pPr>
      <w:r>
        <w:rPr>
          <w:rFonts w:ascii="Segoe UI" w:hAnsi="Segoe UI"/>
          <w:sz w:val="21"/>
        </w:rPr>
        <w:t>The matrix operates like a live spreadsheet — every cell is directly editable without opening a modal:</w:t>
      </w:r>
    </w:p>
    <w:p>
      <w:pPr>
        <w:pStyle w:val="ListBullet"/>
        <w:spacing w:before="0" w:after="60"/>
        <w:ind w:left="360"/>
      </w:pPr>
      <w:r>
        <w:rPr>
          <w:rFonts w:ascii="Segoe UI" w:hAnsi="Segoe UI"/>
          <w:sz w:val="21"/>
        </w:rPr>
        <w:t>Double-click any cell to activate an inline input field (text, number, date, or dropdown).</w:t>
      </w:r>
    </w:p>
    <w:p>
      <w:pPr>
        <w:pStyle w:val="ListBullet"/>
        <w:spacing w:before="0" w:after="60"/>
        <w:ind w:left="360"/>
      </w:pPr>
      <w:r>
        <w:rPr>
          <w:rFonts w:ascii="Segoe UI" w:hAnsi="Segoe UI"/>
          <w:sz w:val="21"/>
        </w:rPr>
        <w:t>Press Enter or click outside (blur) to save changes. Changes are immediately reflected in the dashboard.</w:t>
      </w:r>
    </w:p>
    <w:p>
      <w:pPr>
        <w:pStyle w:val="ListBullet"/>
        <w:spacing w:before="0" w:after="60"/>
        <w:ind w:left="360"/>
      </w:pPr>
      <w:r>
        <w:rPr>
          <w:rFonts w:ascii="Segoe UI" w:hAnsi="Segoe UI"/>
          <w:sz w:val="21"/>
        </w:rPr>
        <w:t>Dropdown cells enforce valid system options — no free-text entry for controlled fields like Status, Priority, Complexity, or Module.</w:t>
      </w:r>
    </w:p>
    <w:p>
      <w:pPr>
        <w:pStyle w:val="ListBullet"/>
        <w:spacing w:before="0" w:after="60"/>
        <w:ind w:left="360"/>
      </w:pPr>
      <w:r>
        <w:rPr>
          <w:rFonts w:ascii="Segoe UI" w:hAnsi="Segoe UI"/>
          <w:sz w:val="21"/>
        </w:rPr>
        <w:t>Ctrl+Z undoes the last inline edit within the session.</w:t>
      </w:r>
    </w:p>
    <w:p/>
    <w:p>
      <w:pPr>
        <w:pStyle w:val="Heading2"/>
        <w:keepNext/>
        <w:spacing w:before="320" w:after="120"/>
      </w:pPr>
      <w:r>
        <w:rPr>
          <w:rFonts w:ascii="Segoe UI" w:hAnsi="Segoe UI"/>
          <w:color w:val="1E9ED5"/>
        </w:rPr>
        <w:t>4.3  Task Status Lifecycle</w:t>
      </w:r>
    </w:p>
    <w:p>
      <w:pPr>
        <w:spacing w:before="0" w:after="120"/>
      </w:pPr>
      <w:r>
        <w:rPr>
          <w:rFonts w:ascii="Segoe UI" w:hAnsi="Segoe UI"/>
          <w:sz w:val="21"/>
        </w:rPr>
        <w:t>Status transitions follow a controlled workflow. Not all transitions are permitted — the system enforces the following state machine:</w:t>
      </w:r>
    </w:p>
    <w:tbl>
      <w:tblPr>
        <w:tblW w:type="auto" w:w="0"/>
        <w:jc w:val="center"/>
        <w:tblLook w:firstColumn="1" w:firstRow="1" w:lastColumn="0" w:lastRow="0" w:noHBand="0" w:noVBand="1" w:val="04A0"/>
      </w:tblPr>
      <w:tblGrid>
        <w:gridCol w:w="3120"/>
        <w:gridCol w:w="3120"/>
        <w:gridCol w:w="3120"/>
      </w:tblGrid>
      <w:tr>
        <w:tc>
          <w:tcPr>
            <w:tcW w:type="dxa" w:w="230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From Status</w:t>
            </w:r>
          </w:p>
        </w:tc>
        <w:tc>
          <w:tcPr>
            <w:tcW w:type="dxa" w:w="403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Permitted Transitions</w:t>
            </w:r>
          </w:p>
        </w:tc>
        <w:tc>
          <w:tcPr>
            <w:tcW w:type="dxa" w:w="288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Comment Required?</w:t>
            </w:r>
          </w:p>
        </w:tc>
      </w:tr>
      <w:tr>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Not Started</w:t>
            </w:r>
          </w:p>
        </w:tc>
        <w:tc>
          <w:tcPr>
            <w:tcW w:type="dxa" w:w="403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 Progress, Cancelled</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w:t>
            </w:r>
          </w:p>
        </w:tc>
      </w:tr>
      <w:tr>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 Progress</w:t>
            </w:r>
          </w:p>
        </w:tc>
        <w:tc>
          <w:tcPr>
            <w:tcW w:type="dxa" w:w="403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Under Review, On Hold, Cancelled</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Required for On Hold, Cancelled</w:t>
            </w:r>
          </w:p>
        </w:tc>
      </w:tr>
      <w:tr>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Under Review</w:t>
            </w:r>
          </w:p>
        </w:tc>
        <w:tc>
          <w:tcPr>
            <w:tcW w:type="dxa" w:w="403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Completed, In Progress, Cancelled</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Required for Cancelled</w:t>
            </w:r>
          </w:p>
        </w:tc>
      </w:tr>
      <w:tr>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On Hold</w:t>
            </w:r>
          </w:p>
        </w:tc>
        <w:tc>
          <w:tcPr>
            <w:tcW w:type="dxa" w:w="403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 Progress, Under Review, Cancelled</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Required for Cancelled</w:t>
            </w:r>
          </w:p>
        </w:tc>
      </w:tr>
      <w:tr>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Completed</w:t>
            </w:r>
          </w:p>
        </w:tc>
        <w:tc>
          <w:tcPr>
            <w:tcW w:type="dxa" w:w="403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 Progress (re-open)</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w:t>
            </w:r>
          </w:p>
        </w:tc>
      </w:tr>
      <w:tr>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Cancelled</w:t>
            </w:r>
          </w:p>
        </w:tc>
        <w:tc>
          <w:tcPr>
            <w:tcW w:type="dxa" w:w="403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Not Started (re-activate)</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w:t>
            </w:r>
          </w:p>
        </w:tc>
      </w:tr>
    </w:tbl>
    <w:p>
      <w:pPr>
        <w:spacing w:after="160"/>
      </w:pPr>
    </w:p>
    <w:p>
      <w:pPr>
        <w:pStyle w:val="Heading2"/>
        <w:keepNext/>
        <w:spacing w:before="320" w:after="120"/>
      </w:pPr>
      <w:r>
        <w:rPr>
          <w:rFonts w:ascii="Segoe UI" w:hAnsi="Segoe UI"/>
          <w:color w:val="1E9ED5"/>
        </w:rPr>
        <w:t>4.4  Column Management &amp; Visibility</w:t>
      </w:r>
    </w:p>
    <w:p>
      <w:pPr>
        <w:spacing w:before="0" w:after="120"/>
      </w:pPr>
      <w:r>
        <w:rPr>
          <w:rFonts w:ascii="Segoe UI" w:hAnsi="Segoe UI"/>
          <w:sz w:val="21"/>
        </w:rPr>
        <w:t>The visible column set, order, and column widths are fully configurable:</w:t>
      </w:r>
    </w:p>
    <w:p>
      <w:pPr>
        <w:pStyle w:val="ListBullet"/>
        <w:spacing w:before="0" w:after="60"/>
        <w:ind w:left="360"/>
      </w:pPr>
      <w:r>
        <w:rPr>
          <w:rFonts w:ascii="Segoe UI" w:hAnsi="Segoe UI"/>
          <w:sz w:val="21"/>
        </w:rPr>
        <w:t>Right-click any column header to show the Column Visibility panel.</w:t>
      </w:r>
    </w:p>
    <w:p>
      <w:pPr>
        <w:pStyle w:val="ListBullet"/>
        <w:spacing w:before="0" w:after="60"/>
        <w:ind w:left="360"/>
      </w:pPr>
      <w:r>
        <w:rPr>
          <w:rFonts w:ascii="Segoe UI" w:hAnsi="Segoe UI"/>
          <w:sz w:val="21"/>
        </w:rPr>
        <w:t>Drag column headers horizontally to reorder them.</w:t>
      </w:r>
    </w:p>
    <w:p>
      <w:pPr>
        <w:pStyle w:val="ListBullet"/>
        <w:spacing w:before="0" w:after="60"/>
        <w:ind w:left="360"/>
      </w:pPr>
      <w:r>
        <w:rPr>
          <w:rFonts w:ascii="Segoe UI" w:hAnsi="Segoe UI"/>
          <w:sz w:val="21"/>
        </w:rPr>
        <w:t>Drag the right edge of a column header to resize it. All configurations persist across sessions via localStorage.</w:t>
      </w:r>
    </w:p>
    <w:p/>
    <w:p>
      <w:pPr>
        <w:pStyle w:val="Heading2"/>
        <w:keepNext/>
        <w:spacing w:before="320" w:after="120"/>
      </w:pPr>
      <w:r>
        <w:rPr>
          <w:rFonts w:ascii="Segoe UI" w:hAnsi="Segoe UI"/>
          <w:color w:val="1E9ED5"/>
        </w:rPr>
        <w:t>4.5  Complexity &amp; Effort Estimation</w:t>
      </w:r>
    </w:p>
    <w:p>
      <w:pPr>
        <w:spacing w:before="0" w:after="120"/>
      </w:pPr>
      <w:r>
        <w:rPr>
          <w:rFonts w:ascii="Segoe UI" w:hAnsi="Segoe UI"/>
          <w:sz w:val="21"/>
        </w:rPr>
        <w:t>ProjectPulse uses a three-tier complexity model that scales estimated effort:</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Complexity Level</w:t>
            </w:r>
          </w:p>
        </w:tc>
        <w:tc>
          <w:tcPr>
            <w:tcW w:type="dxa" w:w="259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Effort Multiplier</w:t>
            </w:r>
          </w:p>
        </w:tc>
        <w:tc>
          <w:tcPr>
            <w:tcW w:type="dxa" w:w="432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Recommended Use Case</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Easy</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0.5×</w:t>
            </w:r>
          </w:p>
        </w:tc>
        <w:tc>
          <w:tcPr>
            <w:tcW w:type="dxa" w:w="432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Well-understood tasks with clear requirements and low dependency.</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Medium</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1.0×</w:t>
            </w:r>
          </w:p>
        </w:tc>
        <w:tc>
          <w:tcPr>
            <w:tcW w:type="dxa" w:w="432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Standard development tasks with moderate ambiguity.</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Complex</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1.5×</w:t>
            </w:r>
          </w:p>
        </w:tc>
        <w:tc>
          <w:tcPr>
            <w:tcW w:type="dxa" w:w="432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Tasks with significant unknowns, cross-team dependencies, or novel engineering challenges.</w:t>
            </w:r>
          </w:p>
        </w:tc>
      </w:tr>
    </w:tbl>
    <w:p>
      <w:pPr>
        <w:spacing w:after="160"/>
      </w:pPr>
    </w:p>
    <w:tbl>
      <w:tblPr>
        <w:tblW w:type="auto" w:w="0"/>
        <w:jc w:val="center"/>
        <w:tblLook w:firstColumn="1" w:firstRow="1" w:lastColumn="0" w:lastRow="0" w:noHBand="0" w:noVBand="1" w:val="04A0"/>
      </w:tblPr>
      <w:tblGrid>
        <w:gridCol w:w="9360"/>
      </w:tblGrid>
      <w:tr>
        <w:tc>
          <w:tcPr>
            <w:tcW w:type="dxa" w:w="9360"/>
            <w:shd w:val="clear" w:color="auto" w:fill="E8F4FD"/>
            <w:tcMar>
              <w:top w:w="120" w:type="dxa"/>
              <w:bottom w:w="120" w:type="dxa"/>
              <w:left w:w="180" w:type="dxa"/>
              <w:right w:w="180" w:type="dxa"/>
            </w:tcMar>
            <w:tcBorders>
              <w:top w:val="none"/>
              <w:bottom w:val="none"/>
              <w:left w:val="single" w:sz="28" w:color="1565C0"/>
              <w:right w:val="none"/>
            </w:tcBorders>
          </w:tcPr>
          <w:p>
            <w:pPr>
              <w:spacing w:before="40" w:after="40" w:line="276" w:lineRule="auto"/>
            </w:pPr>
            <w:r>
              <w:rPr>
                <w:rFonts w:ascii="Segoe UI" w:hAnsi="Segoe UI"/>
                <w:b/>
                <w:color w:val="0D4F8B"/>
                <w:sz w:val="19"/>
              </w:rPr>
              <w:t xml:space="preserve">ℹ️ INFO  </w:t>
            </w:r>
          </w:p>
          <w:p>
            <w:pPr>
              <w:spacing w:before="40" w:after="40" w:line="276" w:lineRule="auto"/>
            </w:pPr>
            <w:r>
              <w:rPr>
                <w:rFonts w:ascii="Segoe UI" w:hAnsi="Segoe UI"/>
                <w:color w:val="1C1C1E"/>
                <w:sz w:val="19"/>
              </w:rPr>
              <w:t>The Effort Unit (hrs / days / months) is a global system setting configured in Administration → General Settings. All effort values across the entire application honour this setting — switching units automatically recalculates all displayed values.</w:t>
            </w:r>
          </w:p>
        </w:tc>
      </w:tr>
    </w:tbl>
    <w:p>
      <w:pPr>
        <w:spacing w:after="80"/>
      </w:pPr>
    </w:p>
    <w:p>
      <w:pPr>
        <w:pStyle w:val="Heading2"/>
        <w:keepNext/>
        <w:spacing w:before="320" w:after="120"/>
      </w:pPr>
      <w:r>
        <w:rPr>
          <w:rFonts w:ascii="Segoe UI" w:hAnsi="Segoe UI"/>
          <w:color w:val="1E9ED5"/>
        </w:rPr>
        <w:t>4.6  Filtering &amp; Sorting</w:t>
      </w:r>
    </w:p>
    <w:p>
      <w:pPr>
        <w:spacing w:before="0" w:after="120"/>
      </w:pPr>
      <w:r>
        <w:rPr>
          <w:rFonts w:ascii="Segoe UI" w:hAnsi="Segoe UI"/>
          <w:sz w:val="21"/>
        </w:rPr>
        <w:t>The left sidebar provides a powerful multi-dimensional filter panel:</w:t>
      </w:r>
    </w:p>
    <w:p>
      <w:pPr>
        <w:pStyle w:val="ListBullet"/>
        <w:spacing w:before="0" w:after="60"/>
        <w:ind w:left="360"/>
      </w:pPr>
      <w:r>
        <w:rPr>
          <w:rFonts w:ascii="Segoe UI" w:hAnsi="Segoe UI"/>
          <w:sz w:val="21"/>
        </w:rPr>
        <w:t>Filter by Module, Status, Priority, Assignee, Release, Category, and Module Type simultaneously.</w:t>
      </w:r>
    </w:p>
    <w:p>
      <w:pPr>
        <w:pStyle w:val="ListBullet"/>
        <w:spacing w:before="0" w:after="60"/>
        <w:ind w:left="360"/>
      </w:pPr>
      <w:r>
        <w:rPr>
          <w:rFonts w:ascii="Segoe UI" w:hAnsi="Segoe UI"/>
          <w:sz w:val="21"/>
        </w:rPr>
        <w:t>Click any column header once to sort ascending; click again to sort descending.</w:t>
      </w:r>
    </w:p>
    <w:p>
      <w:pPr>
        <w:pStyle w:val="ListBullet"/>
        <w:spacing w:before="0" w:after="60"/>
        <w:ind w:left="360"/>
      </w:pPr>
      <w:r>
        <w:rPr>
          <w:rFonts w:ascii="Segoe UI" w:hAnsi="Segoe UI"/>
          <w:sz w:val="21"/>
        </w:rPr>
        <w:t>Active filters are displayed as removable pills at the top of the filter sidebar.</w:t>
      </w:r>
    </w:p>
    <w:p>
      <w:pPr>
        <w:pStyle w:val="ListBullet"/>
        <w:spacing w:before="0" w:after="60"/>
        <w:ind w:left="360"/>
      </w:pPr>
      <w:r>
        <w:rPr>
          <w:rFonts w:ascii="Segoe UI" w:hAnsi="Segoe UI"/>
          <w:sz w:val="21"/>
        </w:rPr>
        <w:t>The search bar performs live full-text search across Task IDs, names, assignees, and notes.</w:t>
      </w:r>
    </w:p>
    <w:p/>
    <w:p>
      <w:r>
        <w:br w:type="page"/>
      </w:r>
    </w:p>
    <w:p>
      <w:pPr>
        <w:pStyle w:val="Heading1"/>
        <w:keepNext/>
        <w:spacing w:before="480" w:after="160"/>
      </w:pPr>
      <w:r>
        <w:rPr>
          <w:rFonts w:ascii="Segoe UI" w:hAnsi="Segoe UI"/>
          <w:color w:val="0D1B2A"/>
        </w:rPr>
        <w:t>5  Gantt Timeline &amp; Dependency Management</w:t>
      </w:r>
    </w:p>
    <w:p>
      <w:pPr>
        <w:pBdr>
          <w:bottom w:val="single" w:sz="6" w:space="1" w:color="00C2A8"/>
        </w:pBdr>
        <w:spacing w:before="0" w:after="120"/>
      </w:pPr>
    </w:p>
    <w:p>
      <w:pPr>
        <w:spacing w:before="0" w:after="160"/>
      </w:pPr>
      <w:r>
        <w:rPr>
          <w:rFonts w:ascii="Segoe UI" w:hAnsi="Segoe UI"/>
          <w:sz w:val="21"/>
        </w:rPr>
        <w:t>The Gantt Timeline provides a time-anchored visual representation of the project schedule. Tasks appear as horizontal bars spanning their start-to-due date range, with dependency arrows linking predecessor and successor tasks. Toggle to the Timeline view by clicking 'Timeline' in the Delivery Matrix toolbar.</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6" name="Picture 6"/>
                  <wp:cNvGraphicFramePr>
                    <a:graphicFrameLocks noChangeAspect="1"/>
                  </wp:cNvGraphicFramePr>
                  <a:graphic>
                    <a:graphicData uri="http://schemas.openxmlformats.org/drawingml/2006/picture">
                      <pic:pic>
                        <pic:nvPicPr>
                          <pic:cNvPr id="0" name="03_gantt_timeline.png"/>
                          <pic:cNvPicPr/>
                        </pic:nvPicPr>
                        <pic:blipFill>
                          <a:blip r:embed="rId14"/>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5.1 — Gantt Timeline with dependency arrows, critical path highlighting, and baseline comparison overlay</w:t>
      </w:r>
    </w:p>
    <w:p>
      <w:pPr>
        <w:pStyle w:val="Heading2"/>
        <w:keepNext/>
        <w:spacing w:before="320" w:after="120"/>
      </w:pPr>
      <w:r>
        <w:rPr>
          <w:rFonts w:ascii="Segoe UI" w:hAnsi="Segoe UI"/>
          <w:color w:val="1E9ED5"/>
        </w:rPr>
        <w:t>5.1  Timeline Controls</w:t>
      </w:r>
    </w:p>
    <w:p>
      <w:pPr>
        <w:spacing w:before="0" w:after="120"/>
      </w:pPr>
      <w:r>
        <w:rPr>
          <w:rFonts w:ascii="Segoe UI" w:hAnsi="Segoe UI"/>
          <w:sz w:val="21"/>
        </w:rPr>
        <w:t>The timeline toolbar provides granular navigation controls:</w:t>
      </w:r>
    </w:p>
    <w:p>
      <w:pPr>
        <w:pStyle w:val="ListBullet"/>
        <w:spacing w:before="0" w:after="60"/>
        <w:ind w:left="360"/>
      </w:pPr>
      <w:r>
        <w:rPr>
          <w:rFonts w:ascii="Segoe UI" w:hAnsi="Segoe UI"/>
          <w:sz w:val="21"/>
        </w:rPr>
        <w:t>Zoom Levels: Day / Week / Month / Quarter — adjust the time-axis resolution.</w:t>
      </w:r>
    </w:p>
    <w:p>
      <w:pPr>
        <w:pStyle w:val="ListBullet"/>
        <w:spacing w:before="0" w:after="60"/>
        <w:ind w:left="360"/>
      </w:pPr>
      <w:r>
        <w:rPr>
          <w:rFonts w:ascii="Segoe UI" w:hAnsi="Segoe UI"/>
          <w:sz w:val="21"/>
        </w:rPr>
        <w:t>Scroll: Click-drag the timeline canvas to pan left/right across the schedule.</w:t>
      </w:r>
    </w:p>
    <w:p>
      <w:pPr>
        <w:pStyle w:val="ListBullet"/>
        <w:spacing w:before="0" w:after="60"/>
        <w:ind w:left="360"/>
      </w:pPr>
      <w:r>
        <w:rPr>
          <w:rFonts w:ascii="Segoe UI" w:hAnsi="Segoe UI"/>
          <w:sz w:val="21"/>
        </w:rPr>
        <w:t>Today Line: A vertical amber marker indicates today's date on the timeline.</w:t>
      </w:r>
    </w:p>
    <w:p>
      <w:pPr>
        <w:pStyle w:val="ListBullet"/>
        <w:spacing w:before="0" w:after="60"/>
        <w:ind w:left="360"/>
      </w:pPr>
      <w:r>
        <w:rPr>
          <w:rFonts w:ascii="Segoe UI" w:hAnsi="Segoe UI"/>
          <w:sz w:val="21"/>
        </w:rPr>
        <w:t>Baseline Overlay: Toggle the baseline date range (shown as a ghost bar behind each task bar) to visually compare planned vs. actual schedule positions.</w:t>
      </w:r>
    </w:p>
    <w:p/>
    <w:p>
      <w:pPr>
        <w:pStyle w:val="Heading2"/>
        <w:keepNext/>
        <w:spacing w:before="320" w:after="120"/>
      </w:pPr>
      <w:r>
        <w:rPr>
          <w:rFonts w:ascii="Segoe UI" w:hAnsi="Segoe UI"/>
          <w:color w:val="1E9ED5"/>
        </w:rPr>
        <w:t>5.2  Dependency Arrows</w:t>
      </w:r>
    </w:p>
    <w:p>
      <w:pPr>
        <w:spacing w:before="0" w:after="120"/>
      </w:pPr>
      <w:r>
        <w:rPr>
          <w:rFonts w:ascii="Segoe UI" w:hAnsi="Segoe UI"/>
          <w:sz w:val="21"/>
        </w:rPr>
        <w:t>Finish-to-Start dependency relationships between tasks are rendered as curved SVG arrows connecting predecessor task bars to successor task bars.</w:t>
      </w:r>
    </w:p>
    <w:p>
      <w:pPr>
        <w:pStyle w:val="ListBullet"/>
        <w:spacing w:before="0" w:after="60"/>
        <w:ind w:left="360"/>
      </w:pPr>
      <w:r>
        <w:rPr>
          <w:rFonts w:ascii="Segoe UI" w:hAnsi="Segoe UI"/>
          <w:sz w:val="21"/>
        </w:rPr>
        <w:t>Blue arrows: Active dependencies where the predecessor is still incomplete.</w:t>
      </w:r>
    </w:p>
    <w:p>
      <w:pPr>
        <w:pStyle w:val="ListBullet"/>
        <w:spacing w:before="0" w:after="60"/>
        <w:ind w:left="360"/>
      </w:pPr>
      <w:r>
        <w:rPr>
          <w:rFonts w:ascii="Segoe UI" w:hAnsi="Segoe UI"/>
          <w:sz w:val="21"/>
        </w:rPr>
        <w:t>Green arrows: Resolved dependencies (predecessor is Completed).</w:t>
      </w:r>
    </w:p>
    <w:p>
      <w:pPr>
        <w:pStyle w:val="ListBullet"/>
        <w:spacing w:before="0" w:after="60"/>
        <w:ind w:left="360"/>
      </w:pPr>
      <w:r>
        <w:rPr>
          <w:rFonts w:ascii="Segoe UI" w:hAnsi="Segoe UI"/>
          <w:sz w:val="21"/>
        </w:rPr>
        <w:t>Red arrows: Violated dependencies — the successor's start date precedes the predecessor's due date (scheduling conflict).</w:t>
      </w:r>
    </w:p>
    <w:p/>
    <w:p>
      <w:pPr>
        <w:pStyle w:val="Heading2"/>
        <w:keepNext/>
        <w:spacing w:before="320" w:after="120"/>
      </w:pPr>
      <w:r>
        <w:rPr>
          <w:rFonts w:ascii="Segoe UI" w:hAnsi="Segoe UI"/>
          <w:color w:val="1E9ED5"/>
        </w:rPr>
        <w:t>5.3  Drag-to-Reschedule</w:t>
      </w:r>
    </w:p>
    <w:p>
      <w:pPr>
        <w:spacing w:before="0" w:after="120"/>
      </w:pPr>
      <w:r>
        <w:rPr>
          <w:rFonts w:ascii="Segoe UI" w:hAnsi="Segoe UI"/>
          <w:sz w:val="21"/>
        </w:rPr>
        <w:t>Task bars on the timeline are interactive:</w:t>
      </w:r>
    </w:p>
    <w:p>
      <w:pPr>
        <w:pStyle w:val="ListBullet"/>
        <w:spacing w:before="0" w:after="60"/>
        <w:ind w:left="360"/>
      </w:pPr>
      <w:r>
        <w:rPr>
          <w:rFonts w:ascii="Segoe UI" w:hAnsi="Segoe UI"/>
          <w:sz w:val="21"/>
        </w:rPr>
        <w:t>Drag the bar body horizontally to shift the start and due date together (preserving duration).</w:t>
      </w:r>
    </w:p>
    <w:p>
      <w:pPr>
        <w:pStyle w:val="ListBullet"/>
        <w:spacing w:before="0" w:after="60"/>
        <w:ind w:left="360"/>
      </w:pPr>
      <w:r>
        <w:rPr>
          <w:rFonts w:ascii="Segoe UI" w:hAnsi="Segoe UI"/>
          <w:sz w:val="21"/>
        </w:rPr>
        <w:t>Drag the right edge of the bar to extend or shorten the duration.</w:t>
      </w:r>
    </w:p>
    <w:p>
      <w:pPr>
        <w:pStyle w:val="ListBullet"/>
        <w:spacing w:before="0" w:after="60"/>
        <w:ind w:left="360"/>
      </w:pPr>
      <w:r>
        <w:rPr>
          <w:rFonts w:ascii="Segoe UI" w:hAnsi="Segoe UI"/>
          <w:sz w:val="21"/>
        </w:rPr>
        <w:t>Cascading: When a task's dates shift, all downstream dependent tasks can optionally cascade their dates forward automatically.</w:t>
      </w:r>
    </w:p>
    <w:p/>
    <w:tbl>
      <w:tblPr>
        <w:tblW w:type="auto" w:w="0"/>
        <w:jc w:val="center"/>
        <w:tblLook w:firstColumn="1" w:firstRow="1" w:lastColumn="0" w:lastRow="0" w:noHBand="0" w:noVBand="1" w:val="04A0"/>
      </w:tblPr>
      <w:tblGrid>
        <w:gridCol w:w="9360"/>
      </w:tblGrid>
      <w:tr>
        <w:tc>
          <w:tcPr>
            <w:tcW w:type="dxa" w:w="9360"/>
            <w:shd w:val="clear" w:color="auto" w:fill="FEF9E7"/>
            <w:tcMar>
              <w:top w:w="120" w:type="dxa"/>
              <w:bottom w:w="120" w:type="dxa"/>
              <w:left w:w="180" w:type="dxa"/>
              <w:right w:w="180" w:type="dxa"/>
            </w:tcMar>
            <w:tcBorders>
              <w:top w:val="none"/>
              <w:bottom w:val="none"/>
              <w:left w:val="single" w:sz="28" w:color="C67C00"/>
              <w:right w:val="none"/>
            </w:tcBorders>
          </w:tcPr>
          <w:p>
            <w:pPr>
              <w:spacing w:before="40" w:after="40" w:line="276" w:lineRule="auto"/>
            </w:pPr>
            <w:r>
              <w:rPr>
                <w:rFonts w:ascii="Segoe UI" w:hAnsi="Segoe UI"/>
                <w:b/>
                <w:color w:val="7D4E00"/>
                <w:sz w:val="19"/>
              </w:rPr>
              <w:t xml:space="preserve">⚠️ WARNING  </w:t>
            </w:r>
          </w:p>
          <w:p>
            <w:pPr>
              <w:spacing w:before="40" w:after="40" w:line="276" w:lineRule="auto"/>
            </w:pPr>
            <w:r>
              <w:rPr>
                <w:rFonts w:ascii="Segoe UI" w:hAnsi="Segoe UI"/>
                <w:color w:val="1C1C1E"/>
                <w:sz w:val="19"/>
              </w:rPr>
              <w:t>Cascading date shifts in the Gantt view operate on the live schedule by default. To experiment safely without affecting the live plan, activate Sandbox Mode first (available via the Scheduler view).</w:t>
            </w:r>
          </w:p>
        </w:tc>
      </w:tr>
    </w:tbl>
    <w:p>
      <w:pPr>
        <w:spacing w:after="80"/>
      </w:pPr>
    </w:p>
    <w:p>
      <w:r>
        <w:br w:type="page"/>
      </w:r>
    </w:p>
    <w:p>
      <w:pPr>
        <w:pStyle w:val="Heading1"/>
        <w:keepNext/>
        <w:spacing w:before="480" w:after="160"/>
      </w:pPr>
      <w:r>
        <w:rPr>
          <w:rFonts w:ascii="Segoe UI" w:hAnsi="Segoe UI"/>
          <w:color w:val="0D1B2A"/>
        </w:rPr>
        <w:t>6  Intelligent Weekly Scheduler &amp; Conflict Resolver</w:t>
      </w:r>
    </w:p>
    <w:p>
      <w:pPr>
        <w:pBdr>
          <w:bottom w:val="single" w:sz="6" w:space="1" w:color="00C2A8"/>
        </w:pBdr>
        <w:spacing w:before="0" w:after="120"/>
      </w:pPr>
    </w:p>
    <w:p>
      <w:pPr>
        <w:spacing w:before="0" w:after="160"/>
      </w:pPr>
      <w:r>
        <w:rPr>
          <w:rFonts w:ascii="Segoe UI" w:hAnsi="Segoe UI"/>
          <w:sz w:val="21"/>
        </w:rPr>
        <w:t>The Weekly Scheduler is the resource-levelling engine of ProjectPulse. It maps team capacity against assigned task efforts across a rolling 12-week horizon, surfacing over-allocations, dependency violations, and scheduling conflicts — and offering automated resolution heuristics via the Copilot engine.</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7" name="Picture 7"/>
                  <wp:cNvGraphicFramePr>
                    <a:graphicFrameLocks noChangeAspect="1"/>
                  </wp:cNvGraphicFramePr>
                  <a:graphic>
                    <a:graphicData uri="http://schemas.openxmlformats.org/drawingml/2006/picture">
                      <pic:pic>
                        <pic:nvPicPr>
                          <pic:cNvPr id="0" name="04_weekly_scheduler.png"/>
                          <pic:cNvPicPr/>
                        </pic:nvPicPr>
                        <pic:blipFill>
                          <a:blip r:embed="rId15"/>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6.1 — Weekly Scheduler: Resource Heatmap Grid, Conflict Diagnostics, and Copilot Cockpit</w:t>
      </w:r>
    </w:p>
    <w:p>
      <w:pPr>
        <w:pStyle w:val="Heading2"/>
        <w:keepNext/>
        <w:spacing w:before="320" w:after="120"/>
      </w:pPr>
      <w:r>
        <w:rPr>
          <w:rFonts w:ascii="Segoe UI" w:hAnsi="Segoe UI"/>
          <w:color w:val="1E9ED5"/>
        </w:rPr>
        <w:t>6.1  The Weekly Heatmap Grid</w:t>
      </w:r>
    </w:p>
    <w:p>
      <w:pPr>
        <w:spacing w:before="0" w:after="120"/>
      </w:pPr>
      <w:r>
        <w:rPr>
          <w:rFonts w:ascii="Segoe UI" w:hAnsi="Segoe UI"/>
          <w:sz w:val="21"/>
        </w:rPr>
        <w:t>The central element of the Scheduler is a two-dimensional heatmap grid: team members on the vertical axis and calendar weeks on the horizontal axis. Each cell displays the resource's allocated hours vs. their weekly capacity:</w:t>
      </w:r>
    </w:p>
    <w:tbl>
      <w:tblPr>
        <w:tblW w:type="auto" w:w="0"/>
        <w:jc w:val="center"/>
        <w:tblLook w:firstColumn="1" w:firstRow="1" w:lastColumn="0" w:lastRow="0" w:noHBand="0" w:noVBand="1" w:val="04A0"/>
      </w:tblPr>
      <w:tblGrid>
        <w:gridCol w:w="2340"/>
        <w:gridCol w:w="2340"/>
        <w:gridCol w:w="2340"/>
        <w:gridCol w:w="2340"/>
      </w:tblGrid>
      <w:tr>
        <w:tc>
          <w:tcPr>
            <w:tcW w:type="dxa" w:w="201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Cell State</w:t>
            </w:r>
          </w:p>
        </w:tc>
        <w:tc>
          <w:tcPr>
            <w:tcW w:type="dxa" w:w="288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Display</w:t>
            </w:r>
          </w:p>
        </w:tc>
        <w:tc>
          <w:tcPr>
            <w:tcW w:type="dxa" w:w="259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Condition</w:t>
            </w:r>
          </w:p>
        </w:tc>
        <w:tc>
          <w:tcPr>
            <w:tcW w:type="dxa" w:w="230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Action Required</w:t>
            </w:r>
          </w:p>
        </w:tc>
      </w:tr>
      <w:tr>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Over-allocated</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Neon crimson glow — e.g. '48h / 40h'</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Allocated hours &gt; Capacity</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Reassign or extend task dates.</w:t>
            </w:r>
          </w:p>
        </w:tc>
      </w:tr>
      <w:tr>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Optimal</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Green highlight — e.g. '38h / 40h'</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80%–100% of capacity used</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 action required.</w:t>
            </w:r>
          </w:p>
        </w:tc>
      </w:tr>
      <w:tr>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Under-utilised</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Slate grey — e.g. '22h / 40h'</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&lt; 70% of capacity used</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Consider additional task assignments.</w:t>
            </w:r>
          </w:p>
        </w:tc>
      </w:tr>
      <w:tr>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On Leave</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Hatched pattern — '0h / 0h'</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Leave recorded in Capacity Hub</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 tasks should be assigned.</w:t>
            </w:r>
          </w:p>
        </w:tc>
      </w:tr>
    </w:tbl>
    <w:p>
      <w:pPr>
        <w:spacing w:after="160"/>
      </w:pPr>
    </w:p>
    <w:p>
      <w:pPr>
        <w:pStyle w:val="Heading2"/>
        <w:keepNext/>
        <w:spacing w:before="320" w:after="120"/>
      </w:pPr>
      <w:r>
        <w:rPr>
          <w:rFonts w:ascii="Segoe UI" w:hAnsi="Segoe UI"/>
          <w:color w:val="1E9ED5"/>
        </w:rPr>
        <w:t>6.2  Left Navigation Sidebar</w:t>
      </w:r>
    </w:p>
    <w:p>
      <w:pPr>
        <w:spacing w:before="0" w:after="120"/>
      </w:pPr>
      <w:r>
        <w:rPr>
          <w:rFonts w:ascii="Segoe UI" w:hAnsi="Segoe UI"/>
          <w:sz w:val="21"/>
        </w:rPr>
        <w:t>The scheduler sidebar provides four real-time widgets:</w:t>
      </w:r>
    </w:p>
    <w:p>
      <w:pPr>
        <w:pStyle w:val="ListBullet"/>
        <w:spacing w:before="0" w:after="60"/>
        <w:ind w:left="360"/>
      </w:pPr>
      <w:r>
        <w:rPr>
          <w:rFonts w:ascii="Segoe UI" w:hAnsi="Segoe UI"/>
          <w:sz w:val="21"/>
        </w:rPr>
        <w:t>Statistics Bar: Shows Active Conflicts count, Monitored Tasks, Sandbox State (CLEAN / DIRTY), and current Week Offset.</w:t>
      </w:r>
    </w:p>
    <w:p>
      <w:pPr>
        <w:pStyle w:val="ListBullet"/>
        <w:spacing w:before="0" w:after="60"/>
        <w:ind w:left="360"/>
      </w:pPr>
      <w:r>
        <w:rPr>
          <w:rFonts w:ascii="Segoe UI" w:hAnsi="Segoe UI"/>
          <w:sz w:val="21"/>
        </w:rPr>
        <w:t>Team Workload Widget: A progress-bar checklist showing total weekly allocated days per active team member.</w:t>
      </w:r>
    </w:p>
    <w:p>
      <w:pPr>
        <w:pStyle w:val="ListBullet"/>
        <w:spacing w:before="0" w:after="60"/>
        <w:ind w:left="360"/>
      </w:pPr>
      <w:r>
        <w:rPr>
          <w:rFonts w:ascii="Segoe UI" w:hAnsi="Segoe UI"/>
          <w:sz w:val="21"/>
        </w:rPr>
        <w:t>Active Conflicts Widget: Stacks all detected scheduling overlaps and dependency violations with Lucide indicator icons.</w:t>
      </w:r>
    </w:p>
    <w:p>
      <w:pPr>
        <w:pStyle w:val="ListBullet"/>
        <w:spacing w:before="0" w:after="60"/>
        <w:ind w:left="360"/>
      </w:pPr>
      <w:r>
        <w:rPr>
          <w:rFonts w:ascii="Segoe UI" w:hAnsi="Segoe UI"/>
          <w:sz w:val="21"/>
        </w:rPr>
        <w:t>Quick Tips: Contextual guidance on heatmap interpretation, sandbox usage, and date-shifting shortcuts.</w:t>
      </w:r>
    </w:p>
    <w:p/>
    <w:p>
      <w:pPr>
        <w:pStyle w:val="Heading2"/>
        <w:keepNext/>
        <w:spacing w:before="320" w:after="120"/>
      </w:pPr>
      <w:r>
        <w:rPr>
          <w:rFonts w:ascii="Segoe UI" w:hAnsi="Segoe UI"/>
          <w:color w:val="1E9ED5"/>
        </w:rPr>
        <w:t>6.3  Right-Side Diagnostics Cockpit</w:t>
      </w:r>
    </w:p>
    <w:p>
      <w:pPr>
        <w:spacing w:before="0" w:after="120"/>
      </w:pPr>
      <w:r>
        <w:rPr>
          <w:rFonts w:ascii="Segoe UI" w:hAnsi="Segoe UI"/>
          <w:sz w:val="21"/>
        </w:rPr>
        <w:t>A three-tab cockpit panel on the right side provides planning intelligence:</w:t>
      </w:r>
    </w:p>
    <w:p>
      <w:pPr>
        <w:pStyle w:val="ListBullet"/>
        <w:spacing w:before="0" w:after="60"/>
        <w:ind w:left="360"/>
      </w:pPr>
      <w:r>
        <w:rPr>
          <w:rFonts w:ascii="Segoe UI" w:hAnsi="Segoe UI"/>
          <w:sz w:val="21"/>
        </w:rPr>
        <w:t>Diagnostics Tab: Lists every active conflict with its type (Over-allocated / Dependency Violation / Gap), affected resource, and impacted weeks.</w:t>
      </w:r>
    </w:p>
    <w:p>
      <w:pPr>
        <w:pStyle w:val="ListBullet"/>
        <w:spacing w:before="0" w:after="60"/>
        <w:ind w:left="360"/>
      </w:pPr>
      <w:r>
        <w:rPr>
          <w:rFonts w:ascii="Segoe UI" w:hAnsi="Segoe UI"/>
          <w:sz w:val="21"/>
        </w:rPr>
        <w:t>Copilot Tab: Offers one-click automated resolution actions. Each action shows a preview of changes before applying.</w:t>
      </w:r>
    </w:p>
    <w:p>
      <w:pPr>
        <w:pStyle w:val="ListBullet"/>
        <w:spacing w:before="0" w:after="60"/>
        <w:ind w:left="360"/>
      </w:pPr>
      <w:r>
        <w:rPr>
          <w:rFonts w:ascii="Segoe UI" w:hAnsi="Segoe UI"/>
          <w:sz w:val="21"/>
        </w:rPr>
        <w:t>Tips Tab: Displays keyboard shortcuts and sandbox state reminders.</w:t>
      </w:r>
    </w:p>
    <w:p/>
    <w:p>
      <w:pPr>
        <w:pStyle w:val="Heading2"/>
        <w:keepNext/>
        <w:spacing w:before="320" w:after="120"/>
      </w:pPr>
      <w:r>
        <w:rPr>
          <w:rFonts w:ascii="Segoe UI" w:hAnsi="Segoe UI"/>
          <w:color w:val="1E9ED5"/>
        </w:rPr>
        <w:t>6.4  Automated Conflict Resolution Heuristics</w:t>
      </w:r>
    </w:p>
    <w:p>
      <w:pPr>
        <w:spacing w:before="0" w:after="120"/>
      </w:pPr>
      <w:r>
        <w:rPr>
          <w:rFonts w:ascii="Segoe UI" w:hAnsi="Segoe UI"/>
          <w:sz w:val="21"/>
        </w:rPr>
        <w:t>The autoResolveAllSchedulerConflicts() engine evaluates tasks in the sandbox state and applies three sequential heuristics:</w:t>
      </w:r>
    </w:p>
    <w:tbl>
      <w:tblPr>
        <w:tblW w:type="auto" w:w="0"/>
        <w:jc w:val="center"/>
        <w:tblLook w:firstColumn="1" w:firstRow="1" w:lastColumn="0" w:lastRow="0" w:noHBand="0" w:noVBand="1" w:val="04A0"/>
      </w:tblPr>
      <w:tblGrid>
        <w:gridCol w:w="2340"/>
        <w:gridCol w:w="2340"/>
        <w:gridCol w:w="2340"/>
        <w:gridCol w:w="2340"/>
      </w:tblGrid>
      <w:tr>
        <w:tc>
          <w:tcPr>
            <w:tcW w:type="dxa" w:w="100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Heuristic</w:t>
            </w:r>
          </w:p>
        </w:tc>
        <w:tc>
          <w:tcPr>
            <w:tcW w:type="dxa" w:w="230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Name</w:t>
            </w:r>
          </w:p>
        </w:tc>
        <w:tc>
          <w:tcPr>
            <w:tcW w:type="dxa" w:w="432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Logic</w:t>
            </w:r>
          </w:p>
        </w:tc>
        <w:tc>
          <w:tcPr>
            <w:tcW w:type="dxa" w:w="187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Pre-condition</w:t>
            </w:r>
          </w:p>
        </w:tc>
      </w:tr>
      <w:tr>
        <w:tc>
          <w:tcPr>
            <w:tcW w:type="dxa" w:w="100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Auto-Sequence</w:t>
            </w:r>
          </w:p>
        </w:tc>
        <w:tc>
          <w:tcPr>
            <w:tcW w:type="dxa" w:w="432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If Task_A → Task_B dependency exists and they overlap, Task_B's start date is shifted to Task_A's end date + 1 day.</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Both tasks must be in sandbox mode.</w:t>
            </w:r>
          </w:p>
        </w:tc>
      </w:tr>
      <w:tr>
        <w:tc>
          <w:tcPr>
            <w:tcW w:type="dxa" w:w="100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Smart Reassignment</w:t>
            </w:r>
          </w:p>
        </w:tc>
        <w:tc>
          <w:tcPr>
            <w:tcW w:type="dxa" w:w="432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If Resource R1 is over-allocated and Resource R2 shares the same Role with available capacity, tasks are re-assigned to R2.</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 role-matched resource with spare capacity must exist.</w:t>
            </w:r>
          </w:p>
        </w:tc>
      </w:tr>
      <w:tr>
        <w:tc>
          <w:tcPr>
            <w:tcW w:type="dxa" w:w="100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Cascading Date Shift</w:t>
            </w:r>
          </w:p>
        </w:tc>
        <w:tc>
          <w:tcPr>
            <w:tcW w:type="dxa" w:w="432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If a critical-path task is delayed, all transitively dependent future tasks are pushed forward, maintaining established buffer periods.</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 dependency graph must be acyclic.</w:t>
            </w:r>
          </w:p>
        </w:tc>
      </w:tr>
    </w:tbl>
    <w:p>
      <w:pPr>
        <w:spacing w:after="160"/>
      </w:pPr>
    </w:p>
    <w:tbl>
      <w:tblPr>
        <w:tblW w:type="auto" w:w="0"/>
        <w:jc w:val="center"/>
        <w:tblLook w:firstColumn="1" w:firstRow="1" w:lastColumn="0" w:lastRow="0" w:noHBand="0" w:noVBand="1" w:val="04A0"/>
      </w:tblPr>
      <w:tblGrid>
        <w:gridCol w:w="9360"/>
      </w:tblGrid>
      <w:tr>
        <w:tc>
          <w:tcPr>
            <w:tcW w:type="dxa" w:w="9360"/>
            <w:shd w:val="clear" w:color="auto" w:fill="FEF9E7"/>
            <w:tcMar>
              <w:top w:w="120" w:type="dxa"/>
              <w:bottom w:w="120" w:type="dxa"/>
              <w:left w:w="180" w:type="dxa"/>
              <w:right w:w="180" w:type="dxa"/>
            </w:tcMar>
            <w:tcBorders>
              <w:top w:val="none"/>
              <w:bottom w:val="none"/>
              <w:left w:val="single" w:sz="28" w:color="C67C00"/>
              <w:right w:val="none"/>
            </w:tcBorders>
          </w:tcPr>
          <w:p>
            <w:pPr>
              <w:spacing w:before="40" w:after="40" w:line="276" w:lineRule="auto"/>
            </w:pPr>
            <w:r>
              <w:rPr>
                <w:rFonts w:ascii="Segoe UI" w:hAnsi="Segoe UI"/>
                <w:b/>
                <w:color w:val="7D4E00"/>
                <w:sz w:val="19"/>
              </w:rPr>
              <w:t xml:space="preserve">⚠️ WARNING  </w:t>
            </w:r>
          </w:p>
          <w:p>
            <w:pPr>
              <w:spacing w:before="40" w:after="40" w:line="276" w:lineRule="auto"/>
            </w:pPr>
            <w:r>
              <w:rPr>
                <w:rFonts w:ascii="Segoe UI" w:hAnsi="Segoe UI"/>
                <w:color w:val="1C1C1E"/>
                <w:sz w:val="19"/>
              </w:rPr>
              <w:t>All automated resolutions are applied to the Sandbox state only. Review the proposed changes in the Diagnostics tab before clicking 'Commit' to apply them to the live schedule.</w:t>
            </w:r>
          </w:p>
        </w:tc>
      </w:tr>
    </w:tbl>
    <w:p>
      <w:pPr>
        <w:spacing w:after="80"/>
      </w:pPr>
    </w:p>
    <w:p>
      <w:pPr>
        <w:pStyle w:val="Heading2"/>
        <w:keepNext/>
        <w:spacing w:before="320" w:after="120"/>
      </w:pPr>
      <w:r>
        <w:rPr>
          <w:rFonts w:ascii="Segoe UI" w:hAnsi="Segoe UI"/>
          <w:color w:val="1E9ED5"/>
        </w:rPr>
        <w:t>6.5  Interactive Tooltips</w:t>
      </w:r>
    </w:p>
    <w:p>
      <w:pPr>
        <w:spacing w:before="0" w:after="120"/>
      </w:pPr>
      <w:r>
        <w:rPr>
          <w:rFonts w:ascii="Segoe UI" w:hAnsi="Segoe UI"/>
          <w:sz w:val="21"/>
        </w:rPr>
        <w:t>Hovering over elements in the heatmap reveals live contextual data:</w:t>
      </w:r>
    </w:p>
    <w:p>
      <w:pPr>
        <w:pStyle w:val="ListBullet"/>
        <w:spacing w:before="0" w:after="60"/>
        <w:ind w:left="360"/>
      </w:pPr>
      <w:r>
        <w:rPr>
          <w:rFonts w:ascii="Segoe UI" w:hAnsi="Segoe UI"/>
          <w:sz w:val="21"/>
        </w:rPr>
        <w:t>Grid Cells: Lists all tasks assigned to that resource for that week, total allocated hours, and remaining available hours.</w:t>
      </w:r>
    </w:p>
    <w:p>
      <w:pPr>
        <w:pStyle w:val="ListBullet"/>
        <w:spacing w:before="0" w:after="60"/>
        <w:ind w:left="360"/>
      </w:pPr>
      <w:r>
        <w:rPr>
          <w:rFonts w:ascii="Segoe UI" w:hAnsi="Segoe UI"/>
          <w:sz w:val="21"/>
        </w:rPr>
        <w:t>Task Chips: Shows task status, parent deliverable name, priority level, and precise start/end dates.</w:t>
      </w:r>
    </w:p>
    <w:p/>
    <w:p>
      <w:r>
        <w:br w:type="page"/>
      </w:r>
    </w:p>
    <w:p>
      <w:pPr>
        <w:pStyle w:val="Heading1"/>
        <w:keepNext/>
        <w:spacing w:before="480" w:after="160"/>
      </w:pPr>
      <w:r>
        <w:rPr>
          <w:rFonts w:ascii="Segoe UI" w:hAnsi="Segoe UI"/>
          <w:color w:val="0D1B2A"/>
        </w:rPr>
        <w:t>7  Unified RAID Register</w:t>
      </w:r>
    </w:p>
    <w:p>
      <w:pPr>
        <w:pBdr>
          <w:bottom w:val="single" w:sz="6" w:space="1" w:color="00C2A8"/>
        </w:pBdr>
        <w:spacing w:before="0" w:after="120"/>
      </w:pPr>
    </w:p>
    <w:p>
      <w:pPr>
        <w:spacing w:before="0" w:after="160"/>
      </w:pPr>
      <w:r>
        <w:rPr>
          <w:rFonts w:ascii="Segoe UI" w:hAnsi="Segoe UI"/>
          <w:sz w:val="21"/>
        </w:rPr>
        <w:t>The RAID Register is the risk governance engine of ProjectPulse. It consolidates all Risks, Assumptions, Issues, and Dependencies into a single searchable register with formal exposure scoring, owner assignment, mitigation planning, and escalation tracking.</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8" name="Picture 8"/>
                  <wp:cNvGraphicFramePr>
                    <a:graphicFrameLocks noChangeAspect="1"/>
                  </wp:cNvGraphicFramePr>
                  <a:graphic>
                    <a:graphicData uri="http://schemas.openxmlformats.org/drawingml/2006/picture">
                      <pic:pic>
                        <pic:nvPicPr>
                          <pic:cNvPr id="0" name="04_weekly_scheduler.png"/>
                          <pic:cNvPicPr/>
                        </pic:nvPicPr>
                        <pic:blipFill>
                          <a:blip r:embed="rId15"/>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7.1 — Unified RAID Register with 5×5 Risk Matrix Heatmap and categorised RAID items</w:t>
      </w:r>
    </w:p>
    <w:p>
      <w:pPr>
        <w:pStyle w:val="Heading2"/>
        <w:keepNext/>
        <w:spacing w:before="320" w:after="120"/>
      </w:pPr>
      <w:r>
        <w:rPr>
          <w:rFonts w:ascii="Segoe UI" w:hAnsi="Segoe UI"/>
          <w:color w:val="1E9ED5"/>
        </w:rPr>
        <w:t>7.1  RAID Classification Model</w:t>
      </w:r>
    </w:p>
    <w:p>
      <w:pPr>
        <w:spacing w:before="0" w:after="120"/>
      </w:pPr>
      <w:r>
        <w:rPr>
          <w:rFonts w:ascii="Segoe UI" w:hAnsi="Segoe UI"/>
          <w:sz w:val="21"/>
        </w:rPr>
        <w:t>Every RAID entry is categorised into one of four types:</w:t>
      </w:r>
    </w:p>
    <w:tbl>
      <w:tblPr>
        <w:tblW w:type="auto" w:w="0"/>
        <w:jc w:val="center"/>
        <w:tblLook w:firstColumn="1" w:firstRow="1" w:lastColumn="0" w:lastRow="0" w:noHBand="0" w:noVBand="1" w:val="04A0"/>
      </w:tblPr>
      <w:tblGrid>
        <w:gridCol w:w="3120"/>
        <w:gridCol w:w="3120"/>
        <w:gridCol w:w="3120"/>
      </w:tblGrid>
      <w:tr>
        <w:tc>
          <w:tcPr>
            <w:tcW w:type="dxa" w:w="187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Type</w:t>
            </w:r>
          </w:p>
        </w:tc>
        <w:tc>
          <w:tcPr>
            <w:tcW w:type="dxa" w:w="388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Definition</w:t>
            </w:r>
          </w:p>
        </w:tc>
        <w:tc>
          <w:tcPr>
            <w:tcW w:type="dxa" w:w="345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Primary Management Action</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Risk</w:t>
            </w:r>
          </w:p>
        </w:tc>
        <w:tc>
          <w:tcPr>
            <w:tcW w:type="dxa" w:w="388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 potential future event that could negatively impact the project.</w:t>
            </w:r>
          </w:p>
        </w:tc>
        <w:tc>
          <w:tcPr>
            <w:tcW w:type="dxa" w:w="345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Mitigate, transfer, or accept before the event occurs.</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Assumption</w:t>
            </w:r>
          </w:p>
        </w:tc>
        <w:tc>
          <w:tcPr>
            <w:tcW w:type="dxa" w:w="388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 factor believed to be true for planning purposes, without verified evidence.</w:t>
            </w:r>
          </w:p>
        </w:tc>
        <w:tc>
          <w:tcPr>
            <w:tcW w:type="dxa" w:w="345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Validate through testing or stakeholder confirmation to eliminate associated risk.</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Issue</w:t>
            </w:r>
          </w:p>
        </w:tc>
        <w:tc>
          <w:tcPr>
            <w:tcW w:type="dxa" w:w="388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An active problem currently impacting timeline, scope, or budget.</w:t>
            </w:r>
          </w:p>
        </w:tc>
        <w:tc>
          <w:tcPr>
            <w:tcW w:type="dxa" w:w="345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Resolve immediately via assigned owner and mitigation strategy.</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Dependency</w:t>
            </w:r>
          </w:p>
        </w:tc>
        <w:tc>
          <w:tcPr>
            <w:tcW w:type="dxa" w:w="388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 reliance on an external team, system, third-party vendor, or deliverable.</w:t>
            </w:r>
          </w:p>
        </w:tc>
        <w:tc>
          <w:tcPr>
            <w:tcW w:type="dxa" w:w="345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Map to task schedules. Monitor checkpoint dates. Escalate delays immediately.</w:t>
            </w:r>
          </w:p>
        </w:tc>
      </w:tr>
    </w:tbl>
    <w:p>
      <w:pPr>
        <w:spacing w:after="160"/>
      </w:pPr>
    </w:p>
    <w:p>
      <w:pPr>
        <w:pStyle w:val="Heading2"/>
        <w:keepNext/>
        <w:spacing w:before="320" w:after="120"/>
      </w:pPr>
      <w:r>
        <w:rPr>
          <w:rFonts w:ascii="Segoe UI" w:hAnsi="Segoe UI"/>
          <w:color w:val="1E9ED5"/>
        </w:rPr>
        <w:t>7.2  Threat Exposure Scoring</w:t>
      </w:r>
    </w:p>
    <w:p>
      <w:pPr>
        <w:spacing w:before="0" w:after="120"/>
      </w:pPr>
      <w:r>
        <w:rPr>
          <w:rFonts w:ascii="Segoe UI" w:hAnsi="Segoe UI"/>
          <w:sz w:val="21"/>
        </w:rPr>
        <w:t>For Risk-type items, threat exposure is calculated using the industry-standard 5×5 probability-impact matrix:</w:t>
      </w:r>
    </w:p>
    <w:p>
      <w:pPr>
        <w:spacing w:before="0" w:after="160"/>
      </w:pPr>
      <w:r>
        <w:rPr>
          <w:rFonts w:ascii="Segoe UI" w:hAnsi="Segoe UI"/>
          <w:b/>
          <w:sz w:val="21"/>
        </w:rPr>
        <w:t xml:space="preserve">    Exposure Score  =  Probability (1–5)  ×  Impact (1–5)</w:t>
      </w:r>
    </w:p>
    <w:tbl>
      <w:tblPr>
        <w:tblW w:type="auto" w:w="0"/>
        <w:jc w:val="center"/>
        <w:tblLook w:firstColumn="1" w:firstRow="1" w:lastColumn="0" w:lastRow="0" w:noHBand="0" w:noVBand="1" w:val="04A0"/>
      </w:tblPr>
      <w:tblGrid>
        <w:gridCol w:w="2340"/>
        <w:gridCol w:w="2340"/>
        <w:gridCol w:w="2340"/>
        <w:gridCol w:w="2340"/>
      </w:tblGrid>
      <w:tr>
        <w:tc>
          <w:tcPr>
            <w:tcW w:type="dxa" w:w="187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Score Range</w:t>
            </w:r>
          </w:p>
        </w:tc>
        <w:tc>
          <w:tcPr>
            <w:tcW w:type="dxa" w:w="172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Rating</w:t>
            </w:r>
          </w:p>
        </w:tc>
        <w:tc>
          <w:tcPr>
            <w:tcW w:type="dxa" w:w="21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Colour Indicator</w:t>
            </w:r>
          </w:p>
        </w:tc>
        <w:tc>
          <w:tcPr>
            <w:tcW w:type="dxa" w:w="489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Management Protocol</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15 – 25</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Critical</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Red (🔴)</w:t>
            </w:r>
          </w:p>
        </w:tc>
        <w:tc>
          <w:tcPr>
            <w:tcW w:type="dxa" w:w="48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Immediate mitigation plan required. Executive escalation mandatory.</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8 – 12</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Medium</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Amber (🟡)</w:t>
            </w:r>
          </w:p>
        </w:tc>
        <w:tc>
          <w:tcPr>
            <w:tcW w:type="dxa" w:w="48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Weekly monitoring. Mitigation plan to be prepared within 5 business days.</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 – 6</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Low</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Green (🟢)</w:t>
            </w:r>
          </w:p>
        </w:tc>
        <w:tc>
          <w:tcPr>
            <w:tcW w:type="dxa" w:w="48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Logged and reviewed bi-weekly. No immediate action required.</w:t>
            </w:r>
          </w:p>
        </w:tc>
      </w:tr>
    </w:tbl>
    <w:p>
      <w:pPr>
        <w:spacing w:after="160"/>
      </w:pPr>
    </w:p>
    <w:p>
      <w:pPr>
        <w:pStyle w:val="Heading2"/>
        <w:keepNext/>
        <w:spacing w:before="320" w:after="120"/>
      </w:pPr>
      <w:r>
        <w:rPr>
          <w:rFonts w:ascii="Segoe UI" w:hAnsi="Segoe UI"/>
          <w:color w:val="1E9ED5"/>
        </w:rPr>
        <w:t>7.3  RAID Item Lifecycle</w:t>
      </w:r>
    </w:p>
    <w:p>
      <w:pPr>
        <w:spacing w:before="0" w:after="120"/>
      </w:pPr>
      <w:r>
        <w:rPr>
          <w:rFonts w:ascii="Segoe UI" w:hAnsi="Segoe UI"/>
          <w:sz w:val="21"/>
        </w:rPr>
        <w:t>RAID items progress through the following status workflow:</w:t>
      </w:r>
    </w:p>
    <w:p>
      <w:pPr>
        <w:pStyle w:val="ListBullet"/>
        <w:spacing w:before="0" w:after="60"/>
        <w:ind w:left="360"/>
      </w:pPr>
      <w:r>
        <w:rPr>
          <w:rFonts w:ascii="Segoe UI" w:hAnsi="Segoe UI"/>
          <w:sz w:val="21"/>
        </w:rPr>
        <w:t>Identified: Newly logged item awaiting triage and owner assignment.</w:t>
      </w:r>
    </w:p>
    <w:p>
      <w:pPr>
        <w:pStyle w:val="ListBullet"/>
        <w:spacing w:before="0" w:after="60"/>
        <w:ind w:left="360"/>
      </w:pPr>
      <w:r>
        <w:rPr>
          <w:rFonts w:ascii="Segoe UI" w:hAnsi="Segoe UI"/>
          <w:sz w:val="21"/>
        </w:rPr>
        <w:t>Active: Triaged and assigned — mitigation in progress.</w:t>
      </w:r>
    </w:p>
    <w:p>
      <w:pPr>
        <w:pStyle w:val="ListBullet"/>
        <w:spacing w:before="0" w:after="60"/>
        <w:ind w:left="360"/>
      </w:pPr>
      <w:r>
        <w:rPr>
          <w:rFonts w:ascii="Segoe UI" w:hAnsi="Segoe UI"/>
          <w:sz w:val="21"/>
        </w:rPr>
        <w:t>Mitigated: Actions taken; item is under monitoring to confirm effectiveness.</w:t>
      </w:r>
    </w:p>
    <w:p>
      <w:pPr>
        <w:pStyle w:val="ListBullet"/>
        <w:spacing w:before="0" w:after="60"/>
        <w:ind w:left="360"/>
      </w:pPr>
      <w:r>
        <w:rPr>
          <w:rFonts w:ascii="Segoe UI" w:hAnsi="Segoe UI"/>
          <w:sz w:val="21"/>
        </w:rPr>
        <w:t>Closed: Fully resolved with no residual risk.</w:t>
      </w:r>
    </w:p>
    <w:p>
      <w:pPr>
        <w:pStyle w:val="ListBullet"/>
        <w:spacing w:before="0" w:after="60"/>
        <w:ind w:left="360"/>
      </w:pPr>
      <w:r>
        <w:rPr>
          <w:rFonts w:ascii="Segoe UI" w:hAnsi="Segoe UI"/>
          <w:sz w:val="21"/>
        </w:rPr>
        <w:t>Realized: Risk event has occurred and become an active Issue.</w:t>
      </w:r>
    </w:p>
    <w:p/>
    <w:p>
      <w:pPr>
        <w:pStyle w:val="Heading2"/>
        <w:keepNext/>
        <w:spacing w:before="320" w:after="120"/>
      </w:pPr>
      <w:r>
        <w:rPr>
          <w:rFonts w:ascii="Segoe UI" w:hAnsi="Segoe UI"/>
          <w:color w:val="1E9ED5"/>
        </w:rPr>
        <w:t>7.4  Required Fields for Active RAID Items</w:t>
      </w:r>
    </w:p>
    <w:p>
      <w:pPr>
        <w:spacing w:before="0" w:after="120"/>
      </w:pPr>
      <w:r>
        <w:rPr>
          <w:rFonts w:ascii="Segoe UI" w:hAnsi="Segoe UI"/>
          <w:sz w:val="21"/>
        </w:rPr>
        <w:t>To maintain governance standards, every Active RAID item must have all of the following:</w:t>
      </w:r>
    </w:p>
    <w:p>
      <w:pPr>
        <w:pStyle w:val="ListNumber"/>
        <w:spacing w:before="0" w:after="60"/>
      </w:pPr>
      <w:r>
        <w:rPr>
          <w:rFonts w:ascii="Segoe UI" w:hAnsi="Segoe UI"/>
          <w:sz w:val="21"/>
        </w:rPr>
        <w:t>Owner — An active team member assigned from the Capacity Hub.</w:t>
      </w:r>
    </w:p>
    <w:p>
      <w:pPr>
        <w:pStyle w:val="ListNumber"/>
        <w:spacing w:before="0" w:after="60"/>
      </w:pPr>
      <w:r>
        <w:rPr>
          <w:rFonts w:ascii="Segoe UI" w:hAnsi="Segoe UI"/>
          <w:sz w:val="21"/>
        </w:rPr>
        <w:t>Mitigation / Resolution Strategy — A detailed textual description of the action plan.</w:t>
      </w:r>
    </w:p>
    <w:p>
      <w:pPr>
        <w:pStyle w:val="ListNumber"/>
        <w:spacing w:before="0" w:after="60"/>
      </w:pPr>
      <w:r>
        <w:rPr>
          <w:rFonts w:ascii="Segoe UI" w:hAnsi="Segoe UI"/>
          <w:sz w:val="21"/>
        </w:rPr>
        <w:t>Target Closure Date — The deadline by which the issue must be resolved or the assumption validated.</w:t>
      </w:r>
    </w:p>
    <w:p/>
    <w:tbl>
      <w:tblPr>
        <w:tblW w:type="auto" w:w="0"/>
        <w:jc w:val="center"/>
        <w:tblLook w:firstColumn="1" w:firstRow="1" w:lastColumn="0" w:lastRow="0" w:noHBand="0" w:noVBand="1" w:val="04A0"/>
      </w:tblPr>
      <w:tblGrid>
        <w:gridCol w:w="9360"/>
      </w:tblGrid>
      <w:tr>
        <w:tc>
          <w:tcPr>
            <w:tcW w:type="dxa" w:w="9360"/>
            <w:shd w:val="clear" w:color="auto" w:fill="FDEDEC"/>
            <w:tcMar>
              <w:top w:w="120" w:type="dxa"/>
              <w:bottom w:w="120" w:type="dxa"/>
              <w:left w:w="180" w:type="dxa"/>
              <w:right w:w="180" w:type="dxa"/>
            </w:tcMar>
            <w:tcBorders>
              <w:top w:val="none"/>
              <w:bottom w:val="none"/>
              <w:left w:val="single" w:sz="28" w:color="C0392B"/>
              <w:right w:val="none"/>
            </w:tcBorders>
          </w:tcPr>
          <w:p>
            <w:pPr>
              <w:spacing w:before="40" w:after="40" w:line="276" w:lineRule="auto"/>
            </w:pPr>
            <w:r>
              <w:rPr>
                <w:rFonts w:ascii="Segoe UI" w:hAnsi="Segoe UI"/>
                <w:b/>
                <w:color w:val="6E2222"/>
                <w:sz w:val="19"/>
              </w:rPr>
              <w:t xml:space="preserve">🛑 CAUTION  </w:t>
            </w:r>
          </w:p>
          <w:p>
            <w:pPr>
              <w:spacing w:before="40" w:after="40" w:line="276" w:lineRule="auto"/>
            </w:pPr>
            <w:r>
              <w:rPr>
                <w:rFonts w:ascii="Segoe UI" w:hAnsi="Segoe UI"/>
                <w:color w:val="1C1C1E"/>
                <w:sz w:val="19"/>
              </w:rPr>
              <w:t>RAID items with Exposure Score ≥ 15 automatically contribute to the Health Index degradation on the Executive Overview Dashboard. Each unmitigated Critical risk deducts a fixed 5% from the Health Index.</w:t>
            </w:r>
          </w:p>
        </w:tc>
      </w:tr>
    </w:tbl>
    <w:p>
      <w:pPr>
        <w:spacing w:after="80"/>
      </w:pPr>
    </w:p>
    <w:p>
      <w:r>
        <w:br w:type="page"/>
      </w:r>
    </w:p>
    <w:p>
      <w:pPr>
        <w:pStyle w:val="Heading1"/>
        <w:keepNext/>
        <w:spacing w:before="480" w:after="160"/>
      </w:pPr>
      <w:r>
        <w:rPr>
          <w:rFonts w:ascii="Segoe UI" w:hAnsi="Segoe UI"/>
          <w:color w:val="0D1B2A"/>
        </w:rPr>
        <w:t>8  Team Capacity Hub &amp; Role Management</w:t>
      </w:r>
    </w:p>
    <w:p>
      <w:pPr>
        <w:pBdr>
          <w:bottom w:val="single" w:sz="6" w:space="1" w:color="00C2A8"/>
        </w:pBdr>
        <w:spacing w:before="0" w:after="120"/>
      </w:pPr>
    </w:p>
    <w:p>
      <w:pPr>
        <w:spacing w:before="0" w:after="160"/>
      </w:pPr>
      <w:r>
        <w:rPr>
          <w:rFonts w:ascii="Segoe UI" w:hAnsi="Segoe UI"/>
          <w:sz w:val="21"/>
        </w:rPr>
        <w:t>The Team Capacity Hub is the resource management control centre of ProjectPulse. It maintains team member profiles, capacity parameters, role assignments, utilisation statistics, and planned leave calendars. All scheduling and conflict detection in the Weekly Scheduler is derived from the capacity data managed here.</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9" name="Picture 9"/>
                  <wp:cNvGraphicFramePr>
                    <a:graphicFrameLocks noChangeAspect="1"/>
                  </wp:cNvGraphicFramePr>
                  <a:graphic>
                    <a:graphicData uri="http://schemas.openxmlformats.org/drawingml/2006/picture">
                      <pic:pic>
                        <pic:nvPicPr>
                          <pic:cNvPr id="0" name="06_team_capacity_hub.png"/>
                          <pic:cNvPicPr/>
                        </pic:nvPicPr>
                        <pic:blipFill>
                          <a:blip r:embed="rId16"/>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8.1 — Team Capacity Hub: Member profiles, utilisation bars, and leave calendar integration</w:t>
      </w:r>
    </w:p>
    <w:p>
      <w:pPr>
        <w:pStyle w:val="Heading2"/>
        <w:keepNext/>
        <w:spacing w:before="320" w:after="120"/>
      </w:pPr>
      <w:r>
        <w:rPr>
          <w:rFonts w:ascii="Segoe UI" w:hAnsi="Segoe UI"/>
          <w:color w:val="1E9ED5"/>
        </w:rPr>
        <w:t>8.1  Adding and Managing Team Members</w:t>
      </w:r>
    </w:p>
    <w:p>
      <w:pPr>
        <w:spacing w:before="0" w:after="120"/>
      </w:pPr>
      <w:r>
        <w:rPr>
          <w:rFonts w:ascii="Segoe UI" w:hAnsi="Segoe UI"/>
          <w:sz w:val="21"/>
        </w:rPr>
        <w:t>To add a new team member:</w:t>
      </w:r>
    </w:p>
    <w:p>
      <w:pPr>
        <w:pStyle w:val="ListNumber"/>
        <w:spacing w:before="0" w:after="60"/>
      </w:pPr>
      <w:r>
        <w:rPr>
          <w:rFonts w:ascii="Segoe UI" w:hAnsi="Segoe UI"/>
          <w:sz w:val="21"/>
        </w:rPr>
        <w:t>Navigate to the Team view via the top navigation bar.</w:t>
      </w:r>
    </w:p>
    <w:p>
      <w:pPr>
        <w:pStyle w:val="ListNumber"/>
        <w:spacing w:before="0" w:after="60"/>
      </w:pPr>
      <w:r>
        <w:rPr>
          <w:rFonts w:ascii="Segoe UI" w:hAnsi="Segoe UI"/>
          <w:sz w:val="21"/>
        </w:rPr>
        <w:t>Click '+ Add Member' in the top-right toolbar.</w:t>
      </w:r>
    </w:p>
    <w:p>
      <w:pPr>
        <w:pStyle w:val="ListNumber"/>
        <w:spacing w:before="0" w:after="60"/>
      </w:pPr>
      <w:r>
        <w:rPr>
          <w:rFonts w:ascii="Segoe UI" w:hAnsi="Segoe UI"/>
          <w:sz w:val="21"/>
        </w:rPr>
        <w:t>Enter the member's Name, Role, and initial Status.</w:t>
      </w:r>
    </w:p>
    <w:p>
      <w:pPr>
        <w:pStyle w:val="ListNumber"/>
        <w:spacing w:before="0" w:after="60"/>
      </w:pPr>
      <w:r>
        <w:rPr>
          <w:rFonts w:ascii="Segoe UI" w:hAnsi="Segoe UI"/>
          <w:sz w:val="21"/>
        </w:rPr>
        <w:t>Optionally configure Weekly Hour Cap (default: 40h) and Utilisation Rate (default: 100%).</w:t>
      </w:r>
    </w:p>
    <w:p>
      <w:pPr>
        <w:pStyle w:val="ListNumber"/>
        <w:spacing w:before="0" w:after="60"/>
      </w:pPr>
      <w:r>
        <w:rPr>
          <w:rFonts w:ascii="Segoe UI" w:hAnsi="Segoe UI"/>
          <w:sz w:val="21"/>
        </w:rPr>
        <w:t>Save. The member immediately appears in the Scheduler's resource grid.</w:t>
      </w:r>
    </w:p>
    <w:p/>
    <w:p>
      <w:pPr>
        <w:pStyle w:val="Heading2"/>
        <w:keepNext/>
        <w:spacing w:before="320" w:after="120"/>
      </w:pPr>
      <w:r>
        <w:rPr>
          <w:rFonts w:ascii="Segoe UI" w:hAnsi="Segoe UI"/>
          <w:color w:val="1E9ED5"/>
        </w:rPr>
        <w:t>8.2  Capacity Parameters</w:t>
      </w:r>
    </w:p>
    <w:p>
      <w:pPr>
        <w:spacing w:before="0" w:after="120"/>
      </w:pPr>
      <w:r>
        <w:rPr>
          <w:rFonts w:ascii="Segoe UI" w:hAnsi="Segoe UI"/>
          <w:sz w:val="21"/>
        </w:rPr>
        <w:t>Each team member has the following configurable capacity parameters:</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Parameter</w:t>
            </w:r>
          </w:p>
        </w:tc>
        <w:tc>
          <w:tcPr>
            <w:tcW w:type="dxa" w:w="172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Default</w:t>
            </w:r>
          </w:p>
        </w:tc>
        <w:tc>
          <w:tcPr>
            <w:tcW w:type="dxa" w:w="489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Description</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Weekly Hour Cap</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40h</w:t>
            </w:r>
          </w:p>
        </w:tc>
        <w:tc>
          <w:tcPr>
            <w:tcW w:type="dxa" w:w="48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Maximum standard hours the member works per week.</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Utilisation Rate</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100%</w:t>
            </w:r>
          </w:p>
        </w:tc>
        <w:tc>
          <w:tcPr>
            <w:tcW w:type="dxa" w:w="48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Percentage of standard time dedicated to project work. A member at 80% utilisation contributes 32 project hours per 40h week, reserving 8h for admin.</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Status</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w:t>
            </w:r>
          </w:p>
        </w:tc>
        <w:tc>
          <w:tcPr>
            <w:tcW w:type="dxa" w:w="48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 members appear in Scheduler and can be assigned tasks. On Leave, Serving Notice, and Departed members are excluded from capacity calculations.</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Planned Leaves</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None</w:t>
            </w:r>
          </w:p>
        </w:tc>
        <w:tc>
          <w:tcPr>
            <w:tcW w:type="dxa" w:w="48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Date ranges marked as leave. The Scheduler reduces that member's available hours to 0 for those weeks.</w:t>
            </w:r>
          </w:p>
        </w:tc>
      </w:tr>
    </w:tbl>
    <w:p>
      <w:pPr>
        <w:spacing w:after="160"/>
      </w:pPr>
    </w:p>
    <w:p>
      <w:pPr>
        <w:pStyle w:val="Heading2"/>
        <w:keepNext/>
        <w:spacing w:before="320" w:after="120"/>
      </w:pPr>
      <w:r>
        <w:rPr>
          <w:rFonts w:ascii="Segoe UI" w:hAnsi="Segoe UI"/>
          <w:color w:val="1E9ED5"/>
        </w:rPr>
        <w:t>8.3  Dynamic Workload Balancing</w:t>
      </w:r>
    </w:p>
    <w:p>
      <w:pPr>
        <w:spacing w:before="0" w:after="120"/>
      </w:pPr>
      <w:r>
        <w:rPr>
          <w:rFonts w:ascii="Segoe UI" w:hAnsi="Segoe UI"/>
          <w:sz w:val="21"/>
        </w:rPr>
        <w:t>The Capacity Hub displays a real-time utilisation indicator for each member:</w:t>
      </w:r>
    </w:p>
    <w:p>
      <w:pPr>
        <w:pStyle w:val="ListBullet"/>
        <w:spacing w:before="0" w:after="60"/>
        <w:ind w:left="360"/>
      </w:pPr>
      <w:r>
        <w:rPr>
          <w:rFonts w:ascii="Segoe UI" w:hAnsi="Segoe UI"/>
          <w:sz w:val="21"/>
        </w:rPr>
        <w:t>Under-Utilised (&lt; 70%): Blue indicator. The system suggests additional task assignments based on the member's role profile.</w:t>
      </w:r>
    </w:p>
    <w:p>
      <w:pPr>
        <w:pStyle w:val="ListBullet"/>
        <w:spacing w:before="0" w:after="60"/>
        <w:ind w:left="360"/>
      </w:pPr>
      <w:r>
        <w:rPr>
          <w:rFonts w:ascii="Segoe UI" w:hAnsi="Segoe UI"/>
          <w:sz w:val="21"/>
        </w:rPr>
        <w:t>Balanced (70%–100%): Green indicator. Optimal resource loading.</w:t>
      </w:r>
    </w:p>
    <w:p>
      <w:pPr>
        <w:pStyle w:val="ListBullet"/>
        <w:spacing w:before="0" w:after="60"/>
        <w:ind w:left="360"/>
      </w:pPr>
      <w:r>
        <w:rPr>
          <w:rFonts w:ascii="Segoe UI" w:hAnsi="Segoe UI"/>
          <w:sz w:val="21"/>
        </w:rPr>
        <w:t>Over-allocated (&gt; 100%): Red warning flag. The Weekly Scheduler Diagnostics will list this resource as a conflict and recommend reassignment or date extension.</w:t>
      </w:r>
    </w:p>
    <w:p/>
    <w:p>
      <w:pPr>
        <w:pStyle w:val="Heading2"/>
        <w:keepNext/>
        <w:spacing w:before="320" w:after="120"/>
      </w:pPr>
      <w:r>
        <w:rPr>
          <w:rFonts w:ascii="Segoe UI" w:hAnsi="Segoe UI"/>
          <w:color w:val="1E9ED5"/>
        </w:rPr>
        <w:t>8.4  Role-Based Assignment Logic</w:t>
      </w:r>
    </w:p>
    <w:p>
      <w:pPr>
        <w:spacing w:before="0" w:after="120"/>
      </w:pPr>
      <w:r>
        <w:rPr>
          <w:rFonts w:ascii="Segoe UI" w:hAnsi="Segoe UI"/>
          <w:sz w:val="21"/>
        </w:rPr>
        <w:t>Roles restrict which tasks a member can be automatically reassigned to during conflict resolution. The Smart Reassignment heuristic (Scheduler → Copilot) only swaps resources that share the same Role.</w:t>
      </w:r>
    </w:p>
    <w:tbl>
      <w:tblPr>
        <w:tblW w:type="auto" w:w="0"/>
        <w:jc w:val="center"/>
        <w:tblLook w:firstColumn="1" w:firstRow="1" w:lastColumn="0" w:lastRow="0" w:noHBand="0" w:noVBand="1" w:val="04A0"/>
      </w:tblPr>
      <w:tblGrid>
        <w:gridCol w:w="4680"/>
        <w:gridCol w:w="4680"/>
      </w:tblGrid>
      <w:tr>
        <w:tc>
          <w:tcPr>
            <w:tcW w:type="dxa" w:w="316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Role</w:t>
            </w:r>
          </w:p>
        </w:tc>
        <w:tc>
          <w:tcPr>
            <w:tcW w:type="dxa" w:w="604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Typical Responsibilities</w:t>
            </w:r>
          </w:p>
        </w:tc>
      </w:tr>
      <w:tr>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Engineering Manager</w:t>
            </w:r>
          </w:p>
        </w:tc>
        <w:tc>
          <w:tcPr>
            <w:tcW w:type="dxa" w:w="604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Project oversight, resource coordination, escalation management.</w:t>
            </w:r>
          </w:p>
        </w:tc>
      </w:tr>
      <w:tr>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Lead Architect</w:t>
            </w:r>
          </w:p>
        </w:tc>
        <w:tc>
          <w:tcPr>
            <w:tcW w:type="dxa" w:w="604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System design, technical standards, code review ownership.</w:t>
            </w:r>
          </w:p>
        </w:tc>
      </w:tr>
      <w:tr>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Lead Frontend</w:t>
            </w:r>
          </w:p>
        </w:tc>
        <w:tc>
          <w:tcPr>
            <w:tcW w:type="dxa" w:w="604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UI engineering, component library, performance optimisation.</w:t>
            </w:r>
          </w:p>
        </w:tc>
      </w:tr>
      <w:tr>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Lead Design</w:t>
            </w:r>
          </w:p>
        </w:tc>
        <w:tc>
          <w:tcPr>
            <w:tcW w:type="dxa" w:w="604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UX research, design system, visual prototyping.</w:t>
            </w:r>
          </w:p>
        </w:tc>
      </w:tr>
      <w:tr>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Developer</w:t>
            </w:r>
          </w:p>
        </w:tc>
        <w:tc>
          <w:tcPr>
            <w:tcW w:type="dxa" w:w="604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Feature implementation, unit testing, code review.</w:t>
            </w:r>
          </w:p>
        </w:tc>
      </w:tr>
      <w:tr>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QA</w:t>
            </w:r>
          </w:p>
        </w:tc>
        <w:tc>
          <w:tcPr>
            <w:tcW w:type="dxa" w:w="604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Test planning, defect logging, regression validation.</w:t>
            </w:r>
          </w:p>
        </w:tc>
      </w:tr>
      <w:tr>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DevOps</w:t>
            </w:r>
          </w:p>
        </w:tc>
        <w:tc>
          <w:tcPr>
            <w:tcW w:type="dxa" w:w="604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Infrastructure, CI/CD pipelines, environment management.</w:t>
            </w:r>
          </w:p>
        </w:tc>
      </w:tr>
      <w:tr>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Analyst</w:t>
            </w:r>
          </w:p>
        </w:tc>
        <w:tc>
          <w:tcPr>
            <w:tcW w:type="dxa" w:w="604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Requirements gathering, reporting, stakeholder communication.</w:t>
            </w:r>
          </w:p>
        </w:tc>
      </w:tr>
    </w:tbl>
    <w:p>
      <w:pPr>
        <w:spacing w:after="160"/>
      </w:pPr>
    </w:p>
    <w:p>
      <w:r>
        <w:br w:type="page"/>
      </w:r>
    </w:p>
    <w:p>
      <w:pPr>
        <w:pStyle w:val="Heading1"/>
        <w:keepNext/>
        <w:spacing w:before="480" w:after="160"/>
      </w:pPr>
      <w:r>
        <w:rPr>
          <w:rFonts w:ascii="Segoe UI" w:hAnsi="Segoe UI"/>
          <w:color w:val="0D1B2A"/>
        </w:rPr>
        <w:t>9  Defect Tracker &amp; Bug Lifecycle</w:t>
      </w:r>
    </w:p>
    <w:p>
      <w:pPr>
        <w:pBdr>
          <w:bottom w:val="single" w:sz="6" w:space="1" w:color="00C2A8"/>
        </w:pBdr>
        <w:spacing w:before="0" w:after="120"/>
      </w:pPr>
    </w:p>
    <w:p>
      <w:pPr>
        <w:spacing w:before="0" w:after="160"/>
      </w:pPr>
      <w:r>
        <w:rPr>
          <w:rFonts w:ascii="Segoe UI" w:hAnsi="Segoe UI"/>
          <w:sz w:val="21"/>
        </w:rPr>
        <w:t>The Defect Tracker enables QA teams and developers to log, triage, prioritise, assign, track, and close software defects through a formal lifecycle. Defect data is integrated into the Health Index calculation on the Executive Overview Dashboard and linked to specific tasks in the Delivery Matrix.</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0" name="Picture 10"/>
                  <wp:cNvGraphicFramePr>
                    <a:graphicFrameLocks noChangeAspect="1"/>
                  </wp:cNvGraphicFramePr>
                  <a:graphic>
                    <a:graphicData uri="http://schemas.openxmlformats.org/drawingml/2006/picture">
                      <pic:pic>
                        <pic:nvPicPr>
                          <pic:cNvPr id="0" name="07_defect_tracker.png"/>
                          <pic:cNvPicPr/>
                        </pic:nvPicPr>
                        <pic:blipFill>
                          <a:blip r:embed="rId17"/>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9.1 — Defect Tracker: Summary cards, severity-coded defect table, and bug lifecycle diagram</w:t>
      </w:r>
    </w:p>
    <w:p>
      <w:pPr>
        <w:pStyle w:val="Heading2"/>
        <w:keepNext/>
        <w:spacing w:before="320" w:after="120"/>
      </w:pPr>
      <w:r>
        <w:rPr>
          <w:rFonts w:ascii="Segoe UI" w:hAnsi="Segoe UI"/>
          <w:color w:val="1E9ED5"/>
        </w:rPr>
        <w:t>9.1  Defect Severity Matrix</w:t>
      </w:r>
    </w:p>
    <w:p>
      <w:pPr>
        <w:spacing w:before="0" w:after="120"/>
      </w:pPr>
      <w:r>
        <w:rPr>
          <w:rFonts w:ascii="Segoe UI" w:hAnsi="Segoe UI"/>
          <w:sz w:val="21"/>
        </w:rPr>
        <w:t>Every defect must be assigned a severity level at the time of logging. Severity determines SLA response times and health index impact:</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Severity</w:t>
            </w:r>
          </w:p>
        </w:tc>
        <w:tc>
          <w:tcPr>
            <w:tcW w:type="dxa" w:w="86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Code</w:t>
            </w:r>
          </w:p>
        </w:tc>
        <w:tc>
          <w:tcPr>
            <w:tcW w:type="dxa" w:w="345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Definition</w:t>
            </w:r>
          </w:p>
        </w:tc>
        <w:tc>
          <w:tcPr>
            <w:tcW w:type="dxa" w:w="230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Health Impact</w:t>
            </w:r>
          </w:p>
        </w:tc>
        <w:tc>
          <w:tcPr>
            <w:tcW w:type="dxa" w:w="201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SLA Target</w:t>
            </w:r>
          </w:p>
        </w:tc>
      </w:tr>
      <w:tr>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Blocker</w:t>
            </w:r>
          </w:p>
        </w:tc>
        <w:tc>
          <w:tcPr>
            <w:tcW w:type="dxa" w:w="86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S1</w:t>
            </w:r>
          </w:p>
        </w:tc>
        <w:tc>
          <w:tcPr>
            <w:tcW w:type="dxa" w:w="345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Critical function completely broken. No workaround exists. Application unusable.</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−10% per active Blocker</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24 hours</w:t>
            </w:r>
          </w:p>
        </w:tc>
      </w:tr>
      <w:tr>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Critical</w:t>
            </w:r>
          </w:p>
        </w:tc>
        <w:tc>
          <w:tcPr>
            <w:tcW w:type="dxa" w:w="86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S2</w:t>
            </w:r>
          </w:p>
        </w:tc>
        <w:tc>
          <w:tcPr>
            <w:tcW w:type="dxa" w:w="345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Major functionality impaired. Temporary workaround exists but is impractical.</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−5% per active Critical</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48 hours</w:t>
            </w:r>
          </w:p>
        </w:tc>
      </w:tr>
      <w:tr>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Major</w:t>
            </w:r>
          </w:p>
        </w:tc>
        <w:tc>
          <w:tcPr>
            <w:tcW w:type="dxa" w:w="86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S3</w:t>
            </w:r>
          </w:p>
        </w:tc>
        <w:tc>
          <w:tcPr>
            <w:tcW w:type="dxa" w:w="345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Significant issue. Clear and stable workaround available.</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−2% per active Major</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5 business days</w:t>
            </w:r>
          </w:p>
        </w:tc>
      </w:tr>
      <w:tr>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Minor</w:t>
            </w:r>
          </w:p>
        </w:tc>
        <w:tc>
          <w:tcPr>
            <w:tcW w:type="dxa" w:w="86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S4</w:t>
            </w:r>
          </w:p>
        </w:tc>
        <w:tc>
          <w:tcPr>
            <w:tcW w:type="dxa" w:w="345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Trivial cosmetic issue, spelling error, or minor UI inconsistency.</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−0.5% per active Minor</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10 business days</w:t>
            </w:r>
          </w:p>
        </w:tc>
      </w:tr>
    </w:tbl>
    <w:p>
      <w:pPr>
        <w:spacing w:after="160"/>
      </w:pPr>
    </w:p>
    <w:p>
      <w:pPr>
        <w:pStyle w:val="Heading2"/>
        <w:keepNext/>
        <w:spacing w:before="320" w:after="120"/>
      </w:pPr>
      <w:r>
        <w:rPr>
          <w:rFonts w:ascii="Segoe UI" w:hAnsi="Segoe UI"/>
          <w:color w:val="1E9ED5"/>
        </w:rPr>
        <w:t>9.2  Bug Lifecycle &amp; Status Workflow</w:t>
      </w:r>
    </w:p>
    <w:p>
      <w:pPr>
        <w:spacing w:before="0" w:after="120"/>
      </w:pPr>
      <w:r>
        <w:rPr>
          <w:rFonts w:ascii="Segoe UI" w:hAnsi="Segoe UI"/>
          <w:sz w:val="21"/>
        </w:rPr>
        <w:t>Defects flow through the following mandatory status transitions. A defect cannot skip stages — the transition must be sequential:</w:t>
      </w:r>
    </w:p>
    <w:tbl>
      <w:tblPr>
        <w:tblW w:type="auto" w:w="0"/>
        <w:jc w:val="center"/>
        <w:tblLook w:firstColumn="1" w:firstRow="1" w:lastColumn="0" w:lastRow="0" w:noHBand="0" w:noVBand="1" w:val="04A0"/>
      </w:tblPr>
      <w:tblGrid>
        <w:gridCol w:w="3120"/>
        <w:gridCol w:w="3120"/>
        <w:gridCol w:w="3120"/>
      </w:tblGrid>
      <w:tr>
        <w:tc>
          <w:tcPr>
            <w:tcW w:type="dxa" w:w="187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Status</w:t>
            </w:r>
          </w:p>
        </w:tc>
        <w:tc>
          <w:tcPr>
            <w:tcW w:type="dxa" w:w="504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Description</w:t>
            </w:r>
          </w:p>
        </w:tc>
        <w:tc>
          <w:tcPr>
            <w:tcW w:type="dxa" w:w="230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Responsible Party</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New</w:t>
            </w:r>
          </w:p>
        </w:tc>
        <w:tc>
          <w:tcPr>
            <w:tcW w:type="dxa" w:w="504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Defect logged. Awaiting triage and owner assignment.</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Reporter</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Assigned</w:t>
            </w:r>
          </w:p>
        </w:tc>
        <w:tc>
          <w:tcPr>
            <w:tcW w:type="dxa" w:w="504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Owner allocated. Development investigation begun.</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Engineering Manager</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Fixed</w:t>
            </w:r>
          </w:p>
        </w:tc>
        <w:tc>
          <w:tcPr>
            <w:tcW w:type="dxa" w:w="504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Code fix applied by development. Awaiting QA validation.</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Developer</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Retest</w:t>
            </w:r>
          </w:p>
        </w:tc>
        <w:tc>
          <w:tcPr>
            <w:tcW w:type="dxa" w:w="504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Fix deployed to test environment. QA conducting verification testing.</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QA Engineer</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Closed</w:t>
            </w:r>
          </w:p>
        </w:tc>
        <w:tc>
          <w:tcPr>
            <w:tcW w:type="dxa" w:w="504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Fix verified by QA. Defect permanently closed.</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QA Engineer</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Rejected</w:t>
            </w:r>
          </w:p>
        </w:tc>
        <w:tc>
          <w:tcPr>
            <w:tcW w:type="dxa" w:w="504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Defect determined to be invalid (by design or not reproducible).</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Engineering Manager</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Deferred</w:t>
            </w:r>
          </w:p>
        </w:tc>
        <w:tc>
          <w:tcPr>
            <w:tcW w:type="dxa" w:w="504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Fix postponed to a future release cycle with stakeholder approval.</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Project Manager</w:t>
            </w:r>
          </w:p>
        </w:tc>
      </w:tr>
    </w:tbl>
    <w:p>
      <w:pPr>
        <w:spacing w:after="160"/>
      </w:pPr>
    </w:p>
    <w:p>
      <w:pPr>
        <w:pStyle w:val="Heading2"/>
        <w:keepNext/>
        <w:spacing w:before="320" w:after="120"/>
      </w:pPr>
      <w:r>
        <w:rPr>
          <w:rFonts w:ascii="Segoe UI" w:hAnsi="Segoe UI"/>
          <w:color w:val="1E9ED5"/>
        </w:rPr>
        <w:t>9.3  Linking Defects to Tasks</w:t>
      </w:r>
    </w:p>
    <w:p>
      <w:pPr>
        <w:spacing w:before="0" w:after="120"/>
      </w:pPr>
      <w:r>
        <w:rPr>
          <w:rFonts w:ascii="Segoe UI" w:hAnsi="Segoe UI"/>
          <w:sz w:val="21"/>
        </w:rPr>
        <w:t>Every defect must be linked to a specific entity to maintain traceability:</w:t>
      </w:r>
    </w:p>
    <w:p>
      <w:pPr>
        <w:pStyle w:val="ListBullet"/>
        <w:spacing w:before="0" w:after="60"/>
        <w:ind w:left="360"/>
      </w:pPr>
      <w:r>
        <w:rPr>
          <w:rFonts w:ascii="Segoe UI" w:hAnsi="Segoe UI"/>
          <w:sz w:val="21"/>
        </w:rPr>
        <w:t>Link Type: Task, Subtask, or GUI Screen.</w:t>
      </w:r>
    </w:p>
    <w:p>
      <w:pPr>
        <w:pStyle w:val="ListBullet"/>
        <w:spacing w:before="0" w:after="60"/>
        <w:ind w:left="360"/>
      </w:pPr>
      <w:r>
        <w:rPr>
          <w:rFonts w:ascii="Segoe UI" w:hAnsi="Segoe UI"/>
          <w:sz w:val="21"/>
        </w:rPr>
        <w:t>Linked ID: The specific entity ID (e.g., TASK-004, ST-005).</w:t>
      </w:r>
    </w:p>
    <w:p>
      <w:pPr>
        <w:pStyle w:val="ListBullet"/>
        <w:spacing w:before="0" w:after="60"/>
        <w:ind w:left="360"/>
      </w:pPr>
      <w:r>
        <w:rPr>
          <w:rFonts w:ascii="Segoe UI" w:hAnsi="Segoe UI"/>
          <w:sz w:val="21"/>
        </w:rPr>
        <w:t>The Delivery Matrix displays a defect count badge on the linked task row for instant visibility.</w:t>
      </w:r>
    </w:p>
    <w:p>
      <w:pPr>
        <w:pStyle w:val="ListBullet"/>
        <w:spacing w:before="0" w:after="60"/>
        <w:ind w:left="360"/>
      </w:pPr>
      <w:r>
        <w:rPr>
          <w:rFonts w:ascii="Segoe UI" w:hAnsi="Segoe UI"/>
          <w:sz w:val="21"/>
        </w:rPr>
        <w:t>The Task Detail flyout lists all linked defects with their severity and status.</w:t>
      </w:r>
    </w:p>
    <w:p/>
    <w:p>
      <w:pPr>
        <w:pStyle w:val="Heading2"/>
        <w:keepNext/>
        <w:spacing w:before="320" w:after="120"/>
      </w:pPr>
      <w:r>
        <w:rPr>
          <w:rFonts w:ascii="Segoe UI" w:hAnsi="Segoe UI"/>
          <w:color w:val="1E9ED5"/>
        </w:rPr>
        <w:t>9.4  Logging a New Defect — Step by Step</w:t>
      </w:r>
    </w:p>
    <w:p>
      <w:pPr>
        <w:pStyle w:val="ListNumber"/>
        <w:spacing w:before="0" w:after="60"/>
      </w:pPr>
      <w:r>
        <w:rPr>
          <w:rFonts w:ascii="Segoe UI" w:hAnsi="Segoe UI"/>
          <w:sz w:val="21"/>
        </w:rPr>
        <w:t>Navigate to the Defects view via the top navigation bar.</w:t>
      </w:r>
    </w:p>
    <w:p>
      <w:pPr>
        <w:pStyle w:val="ListNumber"/>
        <w:spacing w:before="0" w:after="60"/>
      </w:pPr>
      <w:r>
        <w:rPr>
          <w:rFonts w:ascii="Segoe UI" w:hAnsi="Segoe UI"/>
          <w:sz w:val="21"/>
        </w:rPr>
        <w:t>Click '+ Log Defect' in the top toolbar.</w:t>
      </w:r>
    </w:p>
    <w:p>
      <w:pPr>
        <w:pStyle w:val="ListNumber"/>
        <w:spacing w:before="0" w:after="60"/>
      </w:pPr>
      <w:r>
        <w:rPr>
          <w:rFonts w:ascii="Segoe UI" w:hAnsi="Segoe UI"/>
          <w:sz w:val="21"/>
        </w:rPr>
        <w:t>Complete the defect form: Title, Type, Severity, Priority, Linked Task, Assignee, Reporter, Description, and Reproduction Steps.</w:t>
      </w:r>
    </w:p>
    <w:p>
      <w:pPr>
        <w:pStyle w:val="ListNumber"/>
        <w:spacing w:before="0" w:after="60"/>
      </w:pPr>
      <w:r>
        <w:rPr>
          <w:rFonts w:ascii="Segoe UI" w:hAnsi="Segoe UI"/>
          <w:sz w:val="21"/>
        </w:rPr>
        <w:t>Click 'Save'. The defect is immediately added to the register with status 'New'.</w:t>
      </w:r>
    </w:p>
    <w:p>
      <w:pPr>
        <w:pStyle w:val="ListNumber"/>
        <w:spacing w:before="0" w:after="60"/>
      </w:pPr>
      <w:r>
        <w:rPr>
          <w:rFonts w:ascii="Segoe UI" w:hAnsi="Segoe UI"/>
          <w:sz w:val="21"/>
        </w:rPr>
        <w:t>The linked task's health contribution is recalculated and the dashboard updates in real time.</w:t>
      </w:r>
    </w:p>
    <w:p/>
    <w:tbl>
      <w:tblPr>
        <w:tblW w:type="auto" w:w="0"/>
        <w:jc w:val="center"/>
        <w:tblLook w:firstColumn="1" w:firstRow="1" w:lastColumn="0" w:lastRow="0" w:noHBand="0" w:noVBand="1" w:val="04A0"/>
      </w:tblPr>
      <w:tblGrid>
        <w:gridCol w:w="9360"/>
      </w:tblGrid>
      <w:tr>
        <w:tc>
          <w:tcPr>
            <w:tcW w:type="dxa" w:w="9360"/>
            <w:shd w:val="clear" w:color="auto" w:fill="FDEDEC"/>
            <w:tcMar>
              <w:top w:w="120" w:type="dxa"/>
              <w:bottom w:w="120" w:type="dxa"/>
              <w:left w:w="180" w:type="dxa"/>
              <w:right w:w="180" w:type="dxa"/>
            </w:tcMar>
            <w:tcBorders>
              <w:top w:val="none"/>
              <w:bottom w:val="none"/>
              <w:left w:val="single" w:sz="28" w:color="C0392B"/>
              <w:right w:val="none"/>
            </w:tcBorders>
          </w:tcPr>
          <w:p>
            <w:pPr>
              <w:spacing w:before="40" w:after="40" w:line="276" w:lineRule="auto"/>
            </w:pPr>
            <w:r>
              <w:rPr>
                <w:rFonts w:ascii="Segoe UI" w:hAnsi="Segoe UI"/>
                <w:b/>
                <w:color w:val="6E2222"/>
                <w:sz w:val="19"/>
              </w:rPr>
              <w:t xml:space="preserve">🛑 CAUTION  </w:t>
            </w:r>
          </w:p>
          <w:p>
            <w:pPr>
              <w:spacing w:before="40" w:after="40" w:line="276" w:lineRule="auto"/>
            </w:pPr>
            <w:r>
              <w:rPr>
                <w:rFonts w:ascii="Segoe UI" w:hAnsi="Segoe UI"/>
                <w:color w:val="1C1C1E"/>
                <w:sz w:val="19"/>
              </w:rPr>
              <w:t>S1 Blocker defects trigger an immediate red alert banner on the Executive Overview Dashboard. Blockers that remain open beyond their 24-hour SLA are escalated to the Engineering Manager via in-app notification.</w:t>
            </w:r>
          </w:p>
        </w:tc>
      </w:tr>
    </w:tbl>
    <w:p>
      <w:pPr>
        <w:spacing w:after="80"/>
      </w:pPr>
    </w:p>
    <w:p>
      <w:r>
        <w:br w:type="page"/>
      </w:r>
    </w:p>
    <w:p>
      <w:pPr>
        <w:pStyle w:val="Heading1"/>
        <w:keepNext/>
        <w:spacing w:before="480" w:after="160"/>
      </w:pPr>
      <w:r>
        <w:rPr>
          <w:rFonts w:ascii="Segoe UI" w:hAnsi="Segoe UI"/>
          <w:color w:val="0D1B2A"/>
        </w:rPr>
        <w:t>10  Reports &amp; Stakeholder Board Packs</w:t>
      </w:r>
    </w:p>
    <w:p>
      <w:pPr>
        <w:pBdr>
          <w:bottom w:val="single" w:sz="6" w:space="1" w:color="00C2A8"/>
        </w:pBdr>
        <w:spacing w:before="0" w:after="120"/>
      </w:pPr>
    </w:p>
    <w:p>
      <w:pPr>
        <w:spacing w:before="0" w:after="160"/>
      </w:pPr>
      <w:r>
        <w:rPr>
          <w:rFonts w:ascii="Segoe UI" w:hAnsi="Segoe UI"/>
          <w:sz w:val="21"/>
        </w:rPr>
        <w:t>ProjectPulse features a professional report generation engine that compiles real-time project data into presentation-ready board packs, structured Excel workbooks, and printable PDF status reports — all in one click.</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1" name="Picture 11"/>
                  <wp:cNvGraphicFramePr>
                    <a:graphicFrameLocks noChangeAspect="1"/>
                  </wp:cNvGraphicFramePr>
                  <a:graphic>
                    <a:graphicData uri="http://schemas.openxmlformats.org/drawingml/2006/picture">
                      <pic:pic>
                        <pic:nvPicPr>
                          <pic:cNvPr id="0" name="08_reports_boardpack.png"/>
                          <pic:cNvPicPr/>
                        </pic:nvPicPr>
                        <pic:blipFill>
                          <a:blip r:embed="rId18"/>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10.1 — Reports &amp; Board Packs: Report builder, export controls, and preview panel</w:t>
      </w:r>
    </w:p>
    <w:p>
      <w:pPr>
        <w:pStyle w:val="Heading2"/>
        <w:keepNext/>
        <w:spacing w:before="320" w:after="120"/>
      </w:pPr>
      <w:r>
        <w:rPr>
          <w:rFonts w:ascii="Segoe UI" w:hAnsi="Segoe UI"/>
          <w:color w:val="1E9ED5"/>
        </w:rPr>
        <w:t>10.1  Executive Board Pack</w:t>
      </w:r>
    </w:p>
    <w:p>
      <w:pPr>
        <w:spacing w:before="0" w:after="120"/>
      </w:pPr>
      <w:r>
        <w:rPr>
          <w:rFonts w:ascii="Segoe UI" w:hAnsi="Segoe UI"/>
          <w:sz w:val="21"/>
        </w:rPr>
        <w:t>The Board Pack compiles a complete project narrative suitable for executive and steering committee review:</w:t>
      </w:r>
    </w:p>
    <w:p>
      <w:pPr>
        <w:pStyle w:val="ListBullet"/>
        <w:spacing w:before="0" w:after="60"/>
        <w:ind w:left="360"/>
      </w:pPr>
      <w:r>
        <w:rPr>
          <w:rFonts w:ascii="Segoe UI" w:hAnsi="Segoe UI"/>
          <w:sz w:val="21"/>
        </w:rPr>
        <w:t>Project Summary Narrative: Auto-generated high-level status paragraph, summarising key achievements, blockers, and next steps.</w:t>
      </w:r>
    </w:p>
    <w:p>
      <w:pPr>
        <w:pStyle w:val="ListBullet"/>
        <w:spacing w:before="0" w:after="60"/>
        <w:ind w:left="360"/>
      </w:pPr>
      <w:r>
        <w:rPr>
          <w:rFonts w:ascii="Segoe UI" w:hAnsi="Segoe UI"/>
          <w:sz w:val="21"/>
        </w:rPr>
        <w:t>Aggregated Health Trend Graph: A Bezier-curve sparkline chart showing the Health Index over the past 8 weeks.</w:t>
      </w:r>
    </w:p>
    <w:p>
      <w:pPr>
        <w:pStyle w:val="ListBullet"/>
        <w:spacing w:before="0" w:after="60"/>
        <w:ind w:left="360"/>
      </w:pPr>
      <w:r>
        <w:rPr>
          <w:rFonts w:ascii="Segoe UI" w:hAnsi="Segoe UI"/>
          <w:sz w:val="21"/>
        </w:rPr>
        <w:t>Critical Path Highlights: Tasks on the critical path that are within 5 days of or past their due dates.</w:t>
      </w:r>
    </w:p>
    <w:p>
      <w:pPr>
        <w:pStyle w:val="ListBullet"/>
        <w:spacing w:before="0" w:after="60"/>
        <w:ind w:left="360"/>
      </w:pPr>
      <w:r>
        <w:rPr>
          <w:rFonts w:ascii="Segoe UI" w:hAnsi="Segoe UI"/>
          <w:sz w:val="21"/>
        </w:rPr>
        <w:t>Top 5 Risks: RAID items ranked by Exposure Score (Probability × Impact), with their owners and mitigation summaries.</w:t>
      </w:r>
    </w:p>
    <w:p>
      <w:pPr>
        <w:pStyle w:val="ListBullet"/>
        <w:spacing w:before="0" w:after="60"/>
        <w:ind w:left="360"/>
      </w:pPr>
      <w:r>
        <w:rPr>
          <w:rFonts w:ascii="Segoe UI" w:hAnsi="Segoe UI"/>
          <w:sz w:val="21"/>
        </w:rPr>
        <w:t>Team Velocity Trend: 4-week rolling average of completed story points.</w:t>
      </w:r>
    </w:p>
    <w:p/>
    <w:p>
      <w:pPr>
        <w:pStyle w:val="Heading2"/>
        <w:keepNext/>
        <w:spacing w:before="320" w:after="120"/>
      </w:pPr>
      <w:r>
        <w:rPr>
          <w:rFonts w:ascii="Segoe UI" w:hAnsi="Segoe UI"/>
          <w:color w:val="1E9ED5"/>
        </w:rPr>
        <w:t>10.2  Excel Workbook Export</w:t>
      </w:r>
    </w:p>
    <w:p>
      <w:pPr>
        <w:spacing w:before="0" w:after="120"/>
      </w:pPr>
      <w:r>
        <w:rPr>
          <w:rFonts w:ascii="Segoe UI" w:hAnsi="Segoe UI"/>
          <w:sz w:val="21"/>
        </w:rPr>
        <w:t>The full project workbook is generated using the ExcelJS library in the browser. The export is a multi-sheet workbook with professional formatting:</w:t>
      </w:r>
    </w:p>
    <w:tbl>
      <w:tblPr>
        <w:tblW w:type="auto" w:w="0"/>
        <w:jc w:val="center"/>
        <w:tblLook w:firstColumn="1" w:firstRow="1" w:lastColumn="0" w:lastRow="0" w:noHBand="0" w:noVBand="1" w:val="04A0"/>
      </w:tblPr>
      <w:tblGrid>
        <w:gridCol w:w="4680"/>
        <w:gridCol w:w="4680"/>
      </w:tblGrid>
      <w:tr>
        <w:tc>
          <w:tcPr>
            <w:tcW w:type="dxa" w:w="259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Sheet</w:t>
            </w:r>
          </w:p>
        </w:tc>
        <w:tc>
          <w:tcPr>
            <w:tcW w:type="dxa" w:w="662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Contents</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System State</w:t>
            </w:r>
          </w:p>
        </w:tc>
        <w:tc>
          <w:tcPr>
            <w:tcW w:type="dxa" w:w="66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Project metadata, settings, effort unit, last saved timestamp, and file sync path.</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Tasks</w:t>
            </w:r>
          </w:p>
        </w:tc>
        <w:tc>
          <w:tcPr>
            <w:tcW w:type="dxa" w:w="66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Full task register with all fields, baseline dates, variance calculations, and slippage reasons.</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Team</w:t>
            </w:r>
          </w:p>
        </w:tc>
        <w:tc>
          <w:tcPr>
            <w:tcW w:type="dxa" w:w="66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Member directory with roles, statuses, capacity parameters, and leave records.</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RAID Register</w:t>
            </w:r>
          </w:p>
        </w:tc>
        <w:tc>
          <w:tcPr>
            <w:tcW w:type="dxa" w:w="66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All Risk, Assumption, Issue, and Dependency items with exposure scores and mitigation details.</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Defects</w:t>
            </w:r>
          </w:p>
        </w:tc>
        <w:tc>
          <w:tcPr>
            <w:tcW w:type="dxa" w:w="66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Complete defect log with severity, priority, status, linked tasks, and reproduction steps.</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Activity Log</w:t>
            </w:r>
          </w:p>
        </w:tc>
        <w:tc>
          <w:tcPr>
            <w:tcW w:type="dxa" w:w="66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Last 500 audit log entries with timestamps, users, actions, and diff payloads.</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Baselines</w:t>
            </w:r>
          </w:p>
        </w:tc>
        <w:tc>
          <w:tcPr>
            <w:tcW w:type="dxa" w:w="66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All captured baseline snapshots with per-task variance calculations.</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Releases</w:t>
            </w:r>
          </w:p>
        </w:tc>
        <w:tc>
          <w:tcPr>
            <w:tcW w:type="dxa" w:w="66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Release version registry with status and target dates.</w:t>
            </w:r>
          </w:p>
        </w:tc>
      </w:tr>
    </w:tbl>
    <w:p>
      <w:pPr>
        <w:spacing w:after="160"/>
      </w:pPr>
    </w:p>
    <w:p>
      <w:pPr>
        <w:pStyle w:val="Heading2"/>
        <w:keepNext/>
        <w:spacing w:before="320" w:after="120"/>
      </w:pPr>
      <w:r>
        <w:rPr>
          <w:rFonts w:ascii="Segoe UI" w:hAnsi="Segoe UI"/>
          <w:color w:val="1E9ED5"/>
        </w:rPr>
        <w:t>10.3  Excel Cell Colour Coding</w:t>
      </w:r>
    </w:p>
    <w:p>
      <w:pPr>
        <w:spacing w:before="0" w:after="120"/>
      </w:pPr>
      <w:r>
        <w:rPr>
          <w:rFonts w:ascii="Segoe UI" w:hAnsi="Segoe UI"/>
          <w:sz w:val="21"/>
        </w:rPr>
        <w:t>Exported Excel cells are colour-coded for instant readability:</w:t>
      </w:r>
    </w:p>
    <w:tbl>
      <w:tblPr>
        <w:tblW w:type="auto" w:w="0"/>
        <w:jc w:val="center"/>
        <w:tblLook w:firstColumn="1" w:firstRow="1" w:lastColumn="0" w:lastRow="0" w:noHBand="0" w:noVBand="1" w:val="04A0"/>
      </w:tblPr>
      <w:tblGrid>
        <w:gridCol w:w="3120"/>
        <w:gridCol w:w="3120"/>
        <w:gridCol w:w="3120"/>
      </w:tblGrid>
      <w:tr>
        <w:tc>
          <w:tcPr>
            <w:tcW w:type="dxa" w:w="172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Colour</w:t>
            </w:r>
          </w:p>
        </w:tc>
        <w:tc>
          <w:tcPr>
            <w:tcW w:type="dxa" w:w="288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Hex Code</w:t>
            </w:r>
          </w:p>
        </w:tc>
        <w:tc>
          <w:tcPr>
            <w:tcW w:type="dxa" w:w="460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Applied To</w:t>
            </w:r>
          </w:p>
        </w:tc>
      </w:tr>
      <w:tr>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Green</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#D1E7DD / #0F5132</w:t>
            </w:r>
          </w:p>
        </w:tc>
        <w:tc>
          <w:tcPr>
            <w:tcW w:type="dxa" w:w="460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Completed tasks, mitigated risks, closed defects, low RAID exposure.</w:t>
            </w:r>
          </w:p>
        </w:tc>
      </w:tr>
      <w:tr>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Yellow</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#FFF3CD / #664D03</w:t>
            </w:r>
          </w:p>
        </w:tc>
        <w:tc>
          <w:tcPr>
            <w:tcW w:type="dxa" w:w="460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In-progress tasks, medium risks, deferred defects.</w:t>
            </w:r>
          </w:p>
        </w:tc>
      </w:tr>
      <w:tr>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Red</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#F8D7DA / #842029</w:t>
            </w:r>
          </w:p>
        </w:tc>
        <w:tc>
          <w:tcPr>
            <w:tcW w:type="dxa" w:w="460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Blocked / overdue tasks, critical risks, S1/S2 defects.</w:t>
            </w:r>
          </w:p>
        </w:tc>
      </w:tr>
      <w:tr>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Grey</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#F8F9FA / #6C757D</w:t>
            </w:r>
          </w:p>
        </w:tc>
        <w:tc>
          <w:tcPr>
            <w:tcW w:type="dxa" w:w="460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Cancelled, Rejected, or On Hold items.</w:t>
            </w:r>
          </w:p>
        </w:tc>
      </w:tr>
    </w:tbl>
    <w:p>
      <w:pPr>
        <w:spacing w:after="160"/>
      </w:pPr>
    </w:p>
    <w:tbl>
      <w:tblPr>
        <w:tblW w:type="auto" w:w="0"/>
        <w:jc w:val="center"/>
        <w:tblLook w:firstColumn="1" w:firstRow="1" w:lastColumn="0" w:lastRow="0" w:noHBand="0" w:noVBand="1" w:val="04A0"/>
      </w:tblPr>
      <w:tblGrid>
        <w:gridCol w:w="9360"/>
      </w:tblGrid>
      <w:tr>
        <w:tc>
          <w:tcPr>
            <w:tcW w:type="dxa" w:w="9360"/>
            <w:shd w:val="clear" w:color="auto" w:fill="E9F7EF"/>
            <w:tcMar>
              <w:top w:w="120" w:type="dxa"/>
              <w:bottom w:w="120" w:type="dxa"/>
              <w:left w:w="180" w:type="dxa"/>
              <w:right w:w="180" w:type="dxa"/>
            </w:tcMar>
            <w:tcBorders>
              <w:top w:val="none"/>
              <w:bottom w:val="none"/>
              <w:left w:val="single" w:sz="28" w:color="1E8449"/>
              <w:right w:val="none"/>
            </w:tcBorders>
          </w:tcPr>
          <w:p>
            <w:pPr>
              <w:spacing w:before="40" w:after="40" w:line="276" w:lineRule="auto"/>
            </w:pPr>
            <w:r>
              <w:rPr>
                <w:rFonts w:ascii="Segoe UI" w:hAnsi="Segoe UI"/>
                <w:b/>
                <w:color w:val="145A32"/>
                <w:sz w:val="19"/>
              </w:rPr>
              <w:t xml:space="preserve">💡 TIP  </w:t>
            </w:r>
          </w:p>
          <w:p>
            <w:pPr>
              <w:spacing w:before="40" w:after="40" w:line="276" w:lineRule="auto"/>
            </w:pPr>
            <w:r>
              <w:rPr>
                <w:rFonts w:ascii="Segoe UI" w:hAnsi="Segoe UI"/>
                <w:color w:val="1C1C1E"/>
                <w:sz w:val="19"/>
              </w:rPr>
              <w:t>Exported spreadsheets contain live Excel formulas (SUM, AVERAGE, IF, COUNTIF) rather than static values where applicable. This means the workbook remains interactive and can be extended with additional analysis by stakeholders.</w:t>
            </w:r>
          </w:p>
        </w:tc>
      </w:tr>
    </w:tbl>
    <w:p>
      <w:pPr>
        <w:spacing w:after="80"/>
      </w:pPr>
    </w:p>
    <w:p>
      <w:r>
        <w:br w:type="page"/>
      </w:r>
    </w:p>
    <w:p>
      <w:pPr>
        <w:pStyle w:val="Heading1"/>
        <w:keepNext/>
        <w:spacing w:before="480" w:after="160"/>
      </w:pPr>
      <w:r>
        <w:rPr>
          <w:rFonts w:ascii="Segoe UI" w:hAnsi="Segoe UI"/>
          <w:color w:val="0D1B2A"/>
        </w:rPr>
        <w:t>11  Audit Log &amp; Activity Streams</w:t>
      </w:r>
    </w:p>
    <w:p>
      <w:pPr>
        <w:pBdr>
          <w:bottom w:val="single" w:sz="6" w:space="1" w:color="00C2A8"/>
        </w:pBdr>
        <w:spacing w:before="0" w:after="120"/>
      </w:pPr>
    </w:p>
    <w:p>
      <w:pPr>
        <w:spacing w:before="0" w:after="160"/>
      </w:pPr>
      <w:r>
        <w:rPr>
          <w:rFonts w:ascii="Segoe UI" w:hAnsi="Segoe UI"/>
          <w:sz w:val="21"/>
        </w:rPr>
        <w:t>ProjectPulse maintains an immutable, comprehensive audit trail of every state mutation — task CRUD operations, status transitions, defect lifecycle changes, RAID updates, and resource modifications. The Activity Log provides full accountability and change tracking capabilities.</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2" name="Picture 12"/>
                  <wp:cNvGraphicFramePr>
                    <a:graphicFrameLocks noChangeAspect="1"/>
                  </wp:cNvGraphicFramePr>
                  <a:graphic>
                    <a:graphicData uri="http://schemas.openxmlformats.org/drawingml/2006/picture">
                      <pic:pic>
                        <pic:nvPicPr>
                          <pic:cNvPr id="0" name="09_activity_audit_log.png"/>
                          <pic:cNvPicPr/>
                        </pic:nvPicPr>
                        <pic:blipFill>
                          <a:blip r:embed="rId19"/>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11.1 — Audit Log: Chronological activity stream with user identifiers and diff payloads</w:t>
      </w:r>
    </w:p>
    <w:p>
      <w:pPr>
        <w:pStyle w:val="Heading2"/>
        <w:keepNext/>
        <w:spacing w:before="320" w:after="120"/>
      </w:pPr>
      <w:r>
        <w:rPr>
          <w:rFonts w:ascii="Segoe UI" w:hAnsi="Segoe UI"/>
          <w:color w:val="1E9ED5"/>
        </w:rPr>
        <w:t>11.1  What Gets Logged</w:t>
      </w:r>
    </w:p>
    <w:p>
      <w:pPr>
        <w:spacing w:before="0" w:after="120"/>
      </w:pPr>
      <w:r>
        <w:rPr>
          <w:rFonts w:ascii="Segoe UI" w:hAnsi="Segoe UI"/>
          <w:sz w:val="21"/>
        </w:rPr>
        <w:t>Every significant state change generates an immutable log entry:</w:t>
      </w:r>
    </w:p>
    <w:tbl>
      <w:tblPr>
        <w:tblW w:type="auto" w:w="0"/>
        <w:jc w:val="center"/>
        <w:tblLook w:firstColumn="1" w:firstRow="1" w:lastColumn="0" w:lastRow="0" w:noHBand="0" w:noVBand="1" w:val="04A0"/>
      </w:tblPr>
      <w:tblGrid>
        <w:gridCol w:w="3120"/>
        <w:gridCol w:w="3120"/>
        <w:gridCol w:w="3120"/>
      </w:tblGrid>
      <w:tr>
        <w:tc>
          <w:tcPr>
            <w:tcW w:type="dxa" w:w="21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Action Type</w:t>
            </w:r>
          </w:p>
        </w:tc>
        <w:tc>
          <w:tcPr>
            <w:tcW w:type="dxa" w:w="360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Trigger</w:t>
            </w:r>
          </w:p>
        </w:tc>
        <w:tc>
          <w:tcPr>
            <w:tcW w:type="dxa" w:w="345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Fields Captured</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Created</w:t>
            </w:r>
          </w:p>
        </w:tc>
        <w:tc>
          <w:tcPr>
            <w:tcW w:type="dxa" w:w="360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New task, defect, RAID, or member added.</w:t>
            </w:r>
          </w:p>
        </w:tc>
        <w:tc>
          <w:tcPr>
            <w:tcW w:type="dxa" w:w="345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Entity ID, name, all initial field values, timestamp, user.</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Updated</w:t>
            </w:r>
          </w:p>
        </w:tc>
        <w:tc>
          <w:tcPr>
            <w:tcW w:type="dxa" w:w="360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Any field value changed on an existing entity.</w:t>
            </w:r>
          </w:p>
        </w:tc>
        <w:tc>
          <w:tcPr>
            <w:tcW w:type="dxa" w:w="345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Entity ID, field name, old value, new value, timestamp, user.</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Status Changed</w:t>
            </w:r>
          </w:p>
        </w:tc>
        <w:tc>
          <w:tcPr>
            <w:tcW w:type="dxa" w:w="360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Status field specifically transitions to a new value.</w:t>
            </w:r>
          </w:p>
        </w:tc>
        <w:tc>
          <w:tcPr>
            <w:tcW w:type="dxa" w:w="345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Entity ID, old status, new status, mandatory comment (for restricted transitions), timestamp, user.</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Deleted</w:t>
            </w:r>
          </w:p>
        </w:tc>
        <w:tc>
          <w:tcPr>
            <w:tcW w:type="dxa" w:w="360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 defect, or RAID item permanently removed.</w:t>
            </w:r>
          </w:p>
        </w:tc>
        <w:tc>
          <w:tcPr>
            <w:tcW w:type="dxa" w:w="345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Entity ID, entity name, full field snapshot at time of deletion.</w:t>
            </w:r>
          </w:p>
        </w:tc>
      </w:tr>
    </w:tbl>
    <w:p>
      <w:pPr>
        <w:spacing w:after="160"/>
      </w:pPr>
    </w:p>
    <w:p>
      <w:pPr>
        <w:pStyle w:val="Heading2"/>
        <w:keepNext/>
        <w:spacing w:before="320" w:after="120"/>
      </w:pPr>
      <w:r>
        <w:rPr>
          <w:rFonts w:ascii="Segoe UI" w:hAnsi="Segoe UI"/>
          <w:color w:val="1E9ED5"/>
        </w:rPr>
        <w:t>11.2  Log Entry Structure</w:t>
      </w:r>
    </w:p>
    <w:p>
      <w:pPr>
        <w:spacing w:before="0" w:after="120"/>
      </w:pPr>
      <w:r>
        <w:rPr>
          <w:rFonts w:ascii="Segoe UI" w:hAnsi="Segoe UI"/>
          <w:sz w:val="21"/>
        </w:rPr>
        <w:t>Each log entry contains the following structured fields:</w:t>
      </w:r>
    </w:p>
    <w:p>
      <w:pPr>
        <w:pStyle w:val="ListBullet"/>
        <w:spacing w:before="0" w:after="60"/>
        <w:ind w:left="360"/>
      </w:pPr>
      <w:r>
        <w:rPr>
          <w:rFonts w:ascii="Segoe UI" w:hAnsi="Segoe UI"/>
          <w:sz w:val="21"/>
        </w:rPr>
        <w:t>ts: ISO 8601 timestamp recorded to the millisecond.</w:t>
      </w:r>
    </w:p>
    <w:p>
      <w:pPr>
        <w:pStyle w:val="ListBullet"/>
        <w:spacing w:before="0" w:after="60"/>
        <w:ind w:left="360"/>
      </w:pPr>
      <w:r>
        <w:rPr>
          <w:rFonts w:ascii="Segoe UI" w:hAnsi="Segoe UI"/>
          <w:sz w:val="21"/>
        </w:rPr>
        <w:t>user: Name of the active team member who performed the action.</w:t>
      </w:r>
    </w:p>
    <w:p>
      <w:pPr>
        <w:pStyle w:val="ListBullet"/>
        <w:spacing w:before="0" w:after="60"/>
        <w:ind w:left="360"/>
      </w:pPr>
      <w:r>
        <w:rPr>
          <w:rFonts w:ascii="Segoe UI" w:hAnsi="Segoe UI"/>
          <w:sz w:val="21"/>
        </w:rPr>
        <w:t>action: Category of change — Created, Updated, Status Changed, or Deleted.</w:t>
      </w:r>
    </w:p>
    <w:p>
      <w:pPr>
        <w:pStyle w:val="ListBullet"/>
        <w:spacing w:before="0" w:after="60"/>
        <w:ind w:left="360"/>
      </w:pPr>
      <w:r>
        <w:rPr>
          <w:rFonts w:ascii="Segoe UI" w:hAnsi="Segoe UI"/>
          <w:sz w:val="21"/>
        </w:rPr>
        <w:t>taskId / taskName: Reference to the primary entity affected.</w:t>
      </w:r>
    </w:p>
    <w:p>
      <w:pPr>
        <w:pStyle w:val="ListBullet"/>
        <w:spacing w:before="0" w:after="60"/>
        <w:ind w:left="360"/>
      </w:pPr>
      <w:r>
        <w:rPr>
          <w:rFonts w:ascii="Segoe UI" w:hAnsi="Segoe UI"/>
          <w:sz w:val="21"/>
        </w:rPr>
        <w:t>field: The specific field that changed (e.g., 'status', 'dueDate', 'subtask.status').</w:t>
      </w:r>
    </w:p>
    <w:p>
      <w:pPr>
        <w:pStyle w:val="ListBullet"/>
        <w:spacing w:before="0" w:after="60"/>
        <w:ind w:left="360"/>
      </w:pPr>
      <w:r>
        <w:rPr>
          <w:rFonts w:ascii="Segoe UI" w:hAnsi="Segoe UI"/>
          <w:sz w:val="21"/>
        </w:rPr>
        <w:t>oldVal / newVal: Structured diff payload capturing before and after values.</w:t>
      </w:r>
    </w:p>
    <w:p>
      <w:pPr>
        <w:pStyle w:val="ListBullet"/>
        <w:spacing w:before="0" w:after="60"/>
        <w:ind w:left="360"/>
      </w:pPr>
      <w:r>
        <w:rPr>
          <w:rFonts w:ascii="Segoe UI" w:hAnsi="Segoe UI"/>
          <w:sz w:val="21"/>
        </w:rPr>
        <w:t>subtaskId: Optional — references a specific subtask if the change was at subtask level.</w:t>
      </w:r>
    </w:p>
    <w:p>
      <w:pPr>
        <w:pStyle w:val="ListBullet"/>
        <w:spacing w:before="0" w:after="60"/>
        <w:ind w:left="360"/>
      </w:pPr>
      <w:r>
        <w:rPr>
          <w:rFonts w:ascii="Segoe UI" w:hAnsi="Segoe UI"/>
          <w:sz w:val="21"/>
        </w:rPr>
        <w:t>actCompletionDate: Optional — retrospective actual completion date for activity date resolution.</w:t>
      </w:r>
    </w:p>
    <w:p/>
    <w:p>
      <w:pPr>
        <w:pStyle w:val="Heading2"/>
        <w:keepNext/>
        <w:spacing w:before="320" w:after="120"/>
      </w:pPr>
      <w:r>
        <w:rPr>
          <w:rFonts w:ascii="Segoe UI" w:hAnsi="Segoe UI"/>
          <w:color w:val="1E9ED5"/>
        </w:rPr>
        <w:t>11.3  Retrospective Activity Date Resolution</w:t>
      </w:r>
    </w:p>
    <w:p>
      <w:pPr>
        <w:spacing w:before="0" w:after="160"/>
      </w:pPr>
      <w:r>
        <w:rPr>
          <w:rFonts w:ascii="Segoe UI" w:hAnsi="Segoe UI"/>
          <w:sz w:val="21"/>
        </w:rPr>
        <w:t>A key capability introduced in the June 2026 release is retrospective completion date resolution. Log entries may record an actCompletionDate that differs from the log insertion timestamp (ts). When this field is present, all dashboard widgets — including the 30-Day Activity Timeline, Weekly Velocity charts, Member Heatmaps, and Status Reports — use the actCompletionDate as the activity date rather than the log timestamp. This allows teams to accurately record when work was actually done, even if it was logged retrospectively days later.</w:t>
      </w:r>
    </w:p>
    <w:p>
      <w:pPr>
        <w:pStyle w:val="Heading2"/>
        <w:keepNext/>
        <w:spacing w:before="320" w:after="120"/>
      </w:pPr>
      <w:r>
        <w:rPr>
          <w:rFonts w:ascii="Segoe UI" w:hAnsi="Segoe UI"/>
          <w:color w:val="1E9ED5"/>
        </w:rPr>
        <w:t>11.4  State Reconstruction</w:t>
      </w:r>
    </w:p>
    <w:p>
      <w:pPr>
        <w:spacing w:before="0" w:after="120"/>
      </w:pPr>
      <w:r>
        <w:rPr>
          <w:rFonts w:ascii="Segoe UI" w:hAnsi="Segoe UI"/>
          <w:sz w:val="21"/>
        </w:rPr>
        <w:t>The Activity Log provides detailed before/after diff payloads for every logged transaction. While there is no automated rollback feature directly in the Activity Log view, managers can use these payloads to manually reconstruct prior states. The procedure is as follows:</w:t>
      </w:r>
    </w:p>
    <w:p>
      <w:pPr>
        <w:pStyle w:val="ListNumber"/>
        <w:spacing w:before="0" w:after="60"/>
      </w:pPr>
      <w:r>
        <w:rPr>
          <w:rFonts w:ascii="Segoe UI" w:hAnsi="Segoe UI"/>
          <w:sz w:val="21"/>
        </w:rPr>
        <w:t>Identify the target entity and the historical timestamp when the incorrect change occurred.</w:t>
      </w:r>
    </w:p>
    <w:p>
      <w:pPr>
        <w:pStyle w:val="ListNumber"/>
        <w:spacing w:before="0" w:after="60"/>
      </w:pPr>
      <w:r>
        <w:rPr>
          <w:rFonts w:ascii="Segoe UI" w:hAnsi="Segoe UI"/>
          <w:sz w:val="21"/>
        </w:rPr>
        <w:t>Locate the corresponding log entry containing the before/after details.</w:t>
      </w:r>
    </w:p>
    <w:p>
      <w:pPr>
        <w:pStyle w:val="ListNumber"/>
        <w:spacing w:before="0" w:after="60"/>
      </w:pPr>
      <w:r>
        <w:rPr>
          <w:rFonts w:ascii="Segoe UI" w:hAnsi="Segoe UI"/>
          <w:sz w:val="21"/>
        </w:rPr>
        <w:t>Review the 'Old Value' in the diff details to find the original state of the field.</w:t>
      </w:r>
    </w:p>
    <w:p>
      <w:pPr>
        <w:pStyle w:val="ListNumber"/>
        <w:spacing w:before="0" w:after="60"/>
      </w:pPr>
      <w:r>
        <w:rPr>
          <w:rFonts w:ascii="Segoe UI" w:hAnsi="Segoe UI"/>
          <w:sz w:val="21"/>
        </w:rPr>
        <w:t>Manually edit the target entity using the inline editing tables or flyout edit views to restore the previous value.</w:t>
      </w:r>
    </w:p>
    <w:p>
      <w:pPr>
        <w:spacing w:before="0" w:after="120"/>
      </w:pPr>
      <w:r>
        <w:rPr>
          <w:rFonts w:ascii="Segoe UI" w:hAnsi="Segoe UI"/>
          <w:sz w:val="21"/>
        </w:rPr>
        <w:t>For project-wide rollbacks, managers can use baseline snapshots (Settings -&gt; Schedule Baselines) or restore database backups (Settings -&gt; Data Recovery / Backups) to revert to previous saved states.</w:t>
      </w:r>
    </w:p>
    <w:p/>
    <w:tbl>
      <w:tblPr>
        <w:tblW w:type="auto" w:w="0"/>
        <w:jc w:val="center"/>
        <w:tblLook w:firstColumn="1" w:firstRow="1" w:lastColumn="0" w:lastRow="0" w:noHBand="0" w:noVBand="1" w:val="04A0"/>
      </w:tblPr>
      <w:tblGrid>
        <w:gridCol w:w="9360"/>
      </w:tblGrid>
      <w:tr>
        <w:tc>
          <w:tcPr>
            <w:tcW w:type="dxa" w:w="9360"/>
            <w:shd w:val="clear" w:color="auto" w:fill="FEF9E7"/>
            <w:tcMar>
              <w:top w:w="120" w:type="dxa"/>
              <w:bottom w:w="120" w:type="dxa"/>
              <w:left w:w="180" w:type="dxa"/>
              <w:right w:w="180" w:type="dxa"/>
            </w:tcMar>
            <w:tcBorders>
              <w:top w:val="none"/>
              <w:bottom w:val="none"/>
              <w:left w:val="single" w:sz="28" w:color="C67C00"/>
              <w:right w:val="none"/>
            </w:tcBorders>
          </w:tcPr>
          <w:p>
            <w:pPr>
              <w:spacing w:before="40" w:after="40" w:line="276" w:lineRule="auto"/>
            </w:pPr>
            <w:r>
              <w:rPr>
                <w:rFonts w:ascii="Segoe UI" w:hAnsi="Segoe UI"/>
                <w:b/>
                <w:color w:val="7D4E00"/>
                <w:sz w:val="19"/>
              </w:rPr>
              <w:t xml:space="preserve">⚠️ WARNING  </w:t>
            </w:r>
          </w:p>
          <w:p>
            <w:pPr>
              <w:spacing w:before="40" w:after="40" w:line="276" w:lineRule="auto"/>
            </w:pPr>
            <w:r>
              <w:rPr>
                <w:rFonts w:ascii="Segoe UI" w:hAnsi="Segoe UI"/>
                <w:color w:val="1C1C1E"/>
                <w:sz w:val="19"/>
              </w:rPr>
              <w:t>The Activity Log is auto-pruned to the last 500 entries to prevent unbounded localStorage growth. Export the log to Excel before reaching this limit if you need a permanent audit record beyond 500 entries.</w:t>
            </w:r>
          </w:p>
        </w:tc>
      </w:tr>
    </w:tbl>
    <w:p>
      <w:pPr>
        <w:spacing w:after="80"/>
      </w:pPr>
    </w:p>
    <w:p>
      <w:r>
        <w:br w:type="page"/>
      </w:r>
    </w:p>
    <w:p>
      <w:pPr>
        <w:pStyle w:val="Heading1"/>
        <w:keepNext/>
        <w:spacing w:before="480" w:after="160"/>
      </w:pPr>
      <w:r>
        <w:rPr>
          <w:rFonts w:ascii="Segoe UI" w:hAnsi="Segoe UI"/>
          <w:color w:val="0D1B2A"/>
        </w:rPr>
        <w:t>12  Schedule Baselines &amp; Snapshot History</w:t>
      </w:r>
    </w:p>
    <w:p>
      <w:pPr>
        <w:pBdr>
          <w:bottom w:val="single" w:sz="6" w:space="1" w:color="00C2A8"/>
        </w:pBdr>
        <w:spacing w:before="0" w:after="120"/>
      </w:pPr>
    </w:p>
    <w:p>
      <w:pPr>
        <w:spacing w:before="0" w:after="160"/>
      </w:pPr>
      <w:r>
        <w:rPr>
          <w:rFonts w:ascii="Segoe UI" w:hAnsi="Segoe UI"/>
          <w:sz w:val="21"/>
        </w:rPr>
        <w:t>Schedule Baselines capture a static, approved snapshot of the project plan at a specific milestone — such as project kickoff, a phase gate, or after a major re-scope. Baselines serve as the immutable reference point for calculating schedule variance, analysing slippage, and restoring the plan if assumptions change.</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3" name="Picture 13"/>
                  <wp:cNvGraphicFramePr>
                    <a:graphicFrameLocks noChangeAspect="1"/>
                  </wp:cNvGraphicFramePr>
                  <a:graphic>
                    <a:graphicData uri="http://schemas.openxmlformats.org/drawingml/2006/picture">
                      <pic:pic>
                        <pic:nvPicPr>
                          <pic:cNvPr id="0" name="10_configuration_settings.png"/>
                          <pic:cNvPicPr/>
                        </pic:nvPicPr>
                        <pic:blipFill>
                          <a:blip r:embed="rId20"/>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12.1 — Schedule Baselines &amp; Snapshot History panel in Project Settings</w:t>
      </w:r>
    </w:p>
    <w:p>
      <w:pPr>
        <w:pStyle w:val="Heading2"/>
        <w:keepNext/>
        <w:spacing w:before="320" w:after="120"/>
      </w:pPr>
      <w:r>
        <w:rPr>
          <w:rFonts w:ascii="Segoe UI" w:hAnsi="Segoe UI"/>
          <w:color w:val="1E9ED5"/>
        </w:rPr>
        <w:t>12.1  Three Date Sets Explained</w:t>
      </w:r>
    </w:p>
    <w:p>
      <w:pPr>
        <w:spacing w:before="0" w:after="120"/>
      </w:pPr>
      <w:r>
        <w:rPr>
          <w:rFonts w:ascii="Segoe UI" w:hAnsi="Segoe UI"/>
          <w:sz w:val="21"/>
        </w:rPr>
        <w:t>ProjectPulse tracks three parallel sets of dates for every task:</w:t>
      </w:r>
    </w:p>
    <w:tbl>
      <w:tblPr>
        <w:tblW w:type="auto" w:w="0"/>
        <w:jc w:val="center"/>
        <w:tblLook w:firstColumn="1" w:firstRow="1" w:lastColumn="0" w:lastRow="0" w:noHBand="0" w:noVBand="1" w:val="04A0"/>
      </w:tblPr>
      <w:tblGrid>
        <w:gridCol w:w="3120"/>
        <w:gridCol w:w="3120"/>
        <w:gridCol w:w="3120"/>
      </w:tblGrid>
      <w:tr>
        <w:tc>
          <w:tcPr>
            <w:tcW w:type="dxa" w:w="21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Date Set</w:t>
            </w:r>
          </w:p>
        </w:tc>
        <w:tc>
          <w:tcPr>
            <w:tcW w:type="dxa" w:w="360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Fields</w:t>
            </w:r>
          </w:p>
        </w:tc>
        <w:tc>
          <w:tcPr>
            <w:tcW w:type="dxa" w:w="345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Purpose</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Planned Dates</w:t>
            </w:r>
          </w:p>
        </w:tc>
        <w:tc>
          <w:tcPr>
            <w:tcW w:type="dxa" w:w="360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startDate, dueDate, estEffort</w:t>
            </w:r>
          </w:p>
        </w:tc>
        <w:tc>
          <w:tcPr>
            <w:tcW w:type="dxa" w:w="345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The current working target dates that resources are actively working towards. These evolve during execution.</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Baseline Dates</w:t>
            </w:r>
          </w:p>
        </w:tc>
        <w:tc>
          <w:tcPr>
            <w:tcW w:type="dxa" w:w="360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baselineStartDate, baselineDueDate, baselineEffort</w:t>
            </w:r>
          </w:p>
        </w:tc>
        <w:tc>
          <w:tcPr>
            <w:tcW w:type="dxa" w:w="345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The frozen reference dates captured at a specific baseline snapshot point. Used to calculate variance. Immutable after capture.</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Actual Dates</w:t>
            </w:r>
          </w:p>
        </w:tc>
        <w:tc>
          <w:tcPr>
            <w:tcW w:type="dxa" w:w="360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actCompletionDate, actEffort</w:t>
            </w:r>
          </w:p>
        </w:tc>
        <w:tc>
          <w:tcPr>
            <w:tcW w:type="dxa" w:w="345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The real dates and effort recorded when tasks are completed. Used for EVM, velocity, and activity reporting.</w:t>
            </w:r>
          </w:p>
        </w:tc>
      </w:tr>
    </w:tbl>
    <w:p>
      <w:pPr>
        <w:spacing w:after="160"/>
      </w:pPr>
    </w:p>
    <w:p>
      <w:pPr>
        <w:pStyle w:val="Heading2"/>
        <w:keepNext/>
        <w:spacing w:before="320" w:after="120"/>
      </w:pPr>
      <w:r>
        <w:rPr>
          <w:rFonts w:ascii="Segoe UI" w:hAnsi="Segoe UI"/>
          <w:color w:val="1E9ED5"/>
        </w:rPr>
        <w:t>12.2  Capturing a Baseline Snapshot</w:t>
      </w:r>
    </w:p>
    <w:p>
      <w:pPr>
        <w:pStyle w:val="ListNumber"/>
        <w:spacing w:before="0" w:after="60"/>
      </w:pPr>
      <w:r>
        <w:rPr>
          <w:rFonts w:ascii="Segoe UI" w:hAnsi="Segoe UI"/>
          <w:sz w:val="21"/>
        </w:rPr>
        <w:t>Open Project Settings by clicking the ⚙ gear icon in the top navigation bar.</w:t>
      </w:r>
    </w:p>
    <w:p>
      <w:pPr>
        <w:pStyle w:val="ListNumber"/>
        <w:spacing w:before="0" w:after="60"/>
      </w:pPr>
      <w:r>
        <w:rPr>
          <w:rFonts w:ascii="Segoe UI" w:hAnsi="Segoe UI"/>
          <w:sz w:val="21"/>
        </w:rPr>
        <w:t>Select 'Schedule Baselines' from the left sidebar within Settings.</w:t>
      </w:r>
    </w:p>
    <w:p>
      <w:pPr>
        <w:pStyle w:val="ListNumber"/>
        <w:spacing w:before="0" w:after="60"/>
      </w:pPr>
      <w:r>
        <w:rPr>
          <w:rFonts w:ascii="Segoe UI" w:hAnsi="Segoe UI"/>
          <w:sz w:val="21"/>
        </w:rPr>
        <w:t>Enter a Baseline Name (e.g., 'Initial Kickoff Plan', 'Sprint 3 Reforecast') and a Description.</w:t>
      </w:r>
    </w:p>
    <w:p>
      <w:pPr>
        <w:pStyle w:val="ListNumber"/>
        <w:spacing w:before="0" w:after="60"/>
      </w:pPr>
      <w:r>
        <w:rPr>
          <w:rFonts w:ascii="Segoe UI" w:hAnsi="Segoe UI"/>
          <w:sz w:val="21"/>
        </w:rPr>
        <w:t>Click 'Capture Snapshot'.</w:t>
      </w:r>
    </w:p>
    <w:p/>
    <w:p>
      <w:pPr>
        <w:spacing w:before="0" w:after="80"/>
      </w:pPr>
      <w:r>
        <w:rPr>
          <w:rFonts w:ascii="Segoe UI" w:hAnsi="Segoe UI"/>
          <w:b/>
          <w:sz w:val="21"/>
        </w:rPr>
        <w:t>What happens when a snapshot is captured:</w:t>
      </w:r>
    </w:p>
    <w:p>
      <w:pPr>
        <w:pStyle w:val="ListBullet"/>
        <w:spacing w:before="0" w:after="60"/>
        <w:ind w:left="360"/>
      </w:pPr>
      <w:r>
        <w:rPr>
          <w:rFonts w:ascii="Segoe UI" w:hAnsi="Segoe UI"/>
          <w:sz w:val="21"/>
        </w:rPr>
        <w:t>All active tasks' baseline fields are overwritten with their current planned values.</w:t>
      </w:r>
    </w:p>
    <w:p>
      <w:pPr>
        <w:pStyle w:val="ListBullet"/>
        <w:spacing w:before="0" w:after="60"/>
        <w:ind w:left="360"/>
      </w:pPr>
      <w:r>
        <w:rPr>
          <w:rFonts w:ascii="Segoe UI" w:hAnsi="Segoe UI"/>
          <w:sz w:val="21"/>
        </w:rPr>
        <w:t>A snapshot record is generated for every task and appended to the P.baselines array.</w:t>
      </w:r>
    </w:p>
    <w:p>
      <w:pPr>
        <w:pStyle w:val="ListBullet"/>
        <w:spacing w:before="0" w:after="60"/>
        <w:ind w:left="360"/>
      </w:pPr>
      <w:r>
        <w:rPr>
          <w:rFonts w:ascii="Segoe UI" w:hAnsi="Segoe UI"/>
          <w:sz w:val="21"/>
        </w:rPr>
        <w:t>The snapshot is timestamped and named for future reference.</w:t>
      </w:r>
    </w:p>
    <w:p/>
    <w:p>
      <w:pPr>
        <w:pStyle w:val="Heading2"/>
        <w:keepNext/>
        <w:spacing w:before="320" w:after="120"/>
      </w:pPr>
      <w:r>
        <w:rPr>
          <w:rFonts w:ascii="Segoe UI" w:hAnsi="Segoe UI"/>
          <w:color w:val="1E9ED5"/>
        </w:rPr>
        <w:t>12.3  Variance &amp; Slippage Analysis</w:t>
      </w:r>
    </w:p>
    <w:p>
      <w:pPr>
        <w:spacing w:before="0" w:after="120"/>
      </w:pPr>
      <w:r>
        <w:rPr>
          <w:rFonts w:ascii="Segoe UI" w:hAnsi="Segoe UI"/>
          <w:sz w:val="21"/>
        </w:rPr>
        <w:t>Once a baseline is captured, variance is automatically calculated and displayed:</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Metric</w:t>
            </w:r>
          </w:p>
        </w:tc>
        <w:tc>
          <w:tcPr>
            <w:tcW w:type="dxa" w:w="316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Formula</w:t>
            </w:r>
          </w:p>
        </w:tc>
        <w:tc>
          <w:tcPr>
            <w:tcW w:type="dxa" w:w="345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Interpretation</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Variance Days</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Planned/Actual Date − Baseline Date</w:t>
            </w:r>
          </w:p>
        </w:tc>
        <w:tc>
          <w:tcPr>
            <w:tcW w:type="dxa" w:w="345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+5d = 5 days behind schedule. −3d = 3 days ahead of schedule.</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Effort Variance</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estEffort − baselineEffort</w:t>
            </w:r>
          </w:p>
        </w:tc>
        <w:tc>
          <w:tcPr>
            <w:tcW w:type="dxa" w:w="345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Positive = scope increase. Negative = scope reduction.</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Slippage Reason</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Free-text field on the task flyout</w:t>
            </w:r>
          </w:p>
        </w:tc>
        <w:tc>
          <w:tcPr>
            <w:tcW w:type="dxa" w:w="345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Documented justification for schedule slippage. Captured in subsequent baseline snapshots and exported to Excel.</w:t>
            </w:r>
          </w:p>
        </w:tc>
      </w:tr>
    </w:tbl>
    <w:p>
      <w:pPr>
        <w:spacing w:after="160"/>
      </w:pPr>
    </w:p>
    <w:p>
      <w:pPr>
        <w:pStyle w:val="Heading2"/>
        <w:keepNext/>
        <w:spacing w:before="320" w:after="120"/>
      </w:pPr>
      <w:r>
        <w:rPr>
          <w:rFonts w:ascii="Segoe UI" w:hAnsi="Segoe UI"/>
          <w:color w:val="1E9ED5"/>
        </w:rPr>
        <w:t>12.4  Restoring a Baseline</w:t>
      </w:r>
    </w:p>
    <w:p>
      <w:pPr>
        <w:spacing w:before="0" w:after="120"/>
      </w:pPr>
      <w:r>
        <w:rPr>
          <w:rFonts w:ascii="Segoe UI" w:hAnsi="Segoe UI"/>
          <w:sz w:val="21"/>
        </w:rPr>
        <w:t>From the Schedule Baselines panel, select any historical snapshot and click 'Restore'. This action:</w:t>
      </w:r>
    </w:p>
    <w:p>
      <w:pPr>
        <w:pStyle w:val="ListBullet"/>
        <w:spacing w:before="0" w:after="60"/>
        <w:ind w:left="360"/>
      </w:pPr>
      <w:r>
        <w:rPr>
          <w:rFonts w:ascii="Segoe UI" w:hAnsi="Segoe UI"/>
          <w:sz w:val="21"/>
        </w:rPr>
        <w:t>Overwrites all current planned dates (startDate, dueDate, estEffort) with the snapshot's recorded values.</w:t>
      </w:r>
    </w:p>
    <w:p>
      <w:pPr>
        <w:pStyle w:val="ListBullet"/>
        <w:spacing w:before="0" w:after="60"/>
        <w:ind w:left="360"/>
      </w:pPr>
      <w:r>
        <w:rPr>
          <w:rFonts w:ascii="Segoe UI" w:hAnsi="Segoe UI"/>
          <w:sz w:val="21"/>
        </w:rPr>
        <w:t>Resets baseline dates to match the restored snapshot.</w:t>
      </w:r>
    </w:p>
    <w:p>
      <w:pPr>
        <w:pStyle w:val="ListBullet"/>
        <w:spacing w:before="0" w:after="60"/>
        <w:ind w:left="360"/>
      </w:pPr>
      <w:r>
        <w:rPr>
          <w:rFonts w:ascii="Segoe UI" w:hAnsi="Segoe UI"/>
          <w:sz w:val="21"/>
        </w:rPr>
        <w:t>Triggers a full recalculation of dashboard metrics, EVM figures, and schedule variance.</w:t>
      </w:r>
    </w:p>
    <w:p/>
    <w:tbl>
      <w:tblPr>
        <w:tblW w:type="auto" w:w="0"/>
        <w:jc w:val="center"/>
        <w:tblLook w:firstColumn="1" w:firstRow="1" w:lastColumn="0" w:lastRow="0" w:noHBand="0" w:noVBand="1" w:val="04A0"/>
      </w:tblPr>
      <w:tblGrid>
        <w:gridCol w:w="9360"/>
      </w:tblGrid>
      <w:tr>
        <w:tc>
          <w:tcPr>
            <w:tcW w:type="dxa" w:w="9360"/>
            <w:shd w:val="clear" w:color="auto" w:fill="FDEDEC"/>
            <w:tcMar>
              <w:top w:w="120" w:type="dxa"/>
              <w:bottom w:w="120" w:type="dxa"/>
              <w:left w:w="180" w:type="dxa"/>
              <w:right w:w="180" w:type="dxa"/>
            </w:tcMar>
            <w:tcBorders>
              <w:top w:val="none"/>
              <w:bottom w:val="none"/>
              <w:left w:val="single" w:sz="28" w:color="C0392B"/>
              <w:right w:val="none"/>
            </w:tcBorders>
          </w:tcPr>
          <w:p>
            <w:pPr>
              <w:spacing w:before="40" w:after="40" w:line="276" w:lineRule="auto"/>
            </w:pPr>
            <w:r>
              <w:rPr>
                <w:rFonts w:ascii="Segoe UI" w:hAnsi="Segoe UI"/>
                <w:b/>
                <w:color w:val="6E2222"/>
                <w:sz w:val="19"/>
              </w:rPr>
              <w:t xml:space="preserve">🛑 CAUTION  </w:t>
            </w:r>
          </w:p>
          <w:p>
            <w:pPr>
              <w:spacing w:before="40" w:after="40" w:line="276" w:lineRule="auto"/>
            </w:pPr>
            <w:r>
              <w:rPr>
                <w:rFonts w:ascii="Segoe UI" w:hAnsi="Segoe UI"/>
                <w:color w:val="1C1C1E"/>
                <w:sz w:val="19"/>
              </w:rPr>
              <w:t>Restoring a baseline is irreversible without another snapshot to return to. Always capture a 'Current State' baseline snapshot before restoring a historical one, so you can return to your pre-restore position if needed.</w:t>
            </w:r>
          </w:p>
        </w:tc>
      </w:tr>
    </w:tbl>
    <w:p>
      <w:pPr>
        <w:spacing w:after="80"/>
      </w:pPr>
    </w:p>
    <w:p>
      <w:r>
        <w:br w:type="page"/>
      </w:r>
    </w:p>
    <w:p>
      <w:pPr>
        <w:pStyle w:val="Heading1"/>
        <w:keepNext/>
        <w:spacing w:before="480" w:after="160"/>
      </w:pPr>
      <w:r>
        <w:rPr>
          <w:rFonts w:ascii="Segoe UI" w:hAnsi="Segoe UI"/>
          <w:color w:val="0D1B2A"/>
        </w:rPr>
        <w:t>13  System Configuration Reference</w:t>
      </w:r>
    </w:p>
    <w:p>
      <w:pPr>
        <w:pBdr>
          <w:bottom w:val="single" w:sz="6" w:space="1" w:color="00C2A8"/>
        </w:pBdr>
        <w:spacing w:before="0" w:after="120"/>
      </w:pPr>
    </w:p>
    <w:p>
      <w:pPr>
        <w:spacing w:before="0" w:after="160"/>
      </w:pPr>
      <w:r>
        <w:rPr>
          <w:rFonts w:ascii="Segoe UI" w:hAnsi="Segoe UI"/>
          <w:sz w:val="21"/>
        </w:rPr>
        <w:t>The Administration panel (⚙ Settings) centralises all system-wide configuration options. Changes take effect immediately across all views without requiring a page reload.</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4" name="Picture 14"/>
                  <wp:cNvGraphicFramePr>
                    <a:graphicFrameLocks noChangeAspect="1"/>
                  </wp:cNvGraphicFramePr>
                  <a:graphic>
                    <a:graphicData uri="http://schemas.openxmlformats.org/drawingml/2006/picture">
                      <pic:pic>
                        <pic:nvPicPr>
                          <pic:cNvPr id="0" name="10_configuration_settings.png"/>
                          <pic:cNvPicPr/>
                        </pic:nvPicPr>
                        <pic:blipFill>
                          <a:blip r:embed="rId20"/>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13.1 — System Configuration: General Settings, Dropdown Manager, and Custom Fields panel</w:t>
      </w:r>
    </w:p>
    <w:p>
      <w:pPr>
        <w:pStyle w:val="Heading2"/>
        <w:keepNext/>
        <w:spacing w:before="320" w:after="120"/>
      </w:pPr>
      <w:r>
        <w:rPr>
          <w:rFonts w:ascii="Segoe UI" w:hAnsi="Segoe UI"/>
          <w:color w:val="1E9ED5"/>
        </w:rPr>
        <w:t>13.1  General Settings</w:t>
      </w:r>
    </w:p>
    <w:p>
      <w:pPr>
        <w:spacing w:before="0" w:after="120"/>
      </w:pPr>
      <w:r>
        <w:rPr>
          <w:rFonts w:ascii="Segoe UI" w:hAnsi="Segoe UI"/>
          <w:sz w:val="21"/>
        </w:rPr>
        <w:t>Core application behaviour is controlled by these settings:</w:t>
      </w:r>
    </w:p>
    <w:tbl>
      <w:tblPr>
        <w:tblW w:type="auto" w:w="0"/>
        <w:jc w:val="center"/>
        <w:tblLook w:firstColumn="1" w:firstRow="1" w:lastColumn="0" w:lastRow="0" w:noHBand="0" w:noVBand="1" w:val="04A0"/>
      </w:tblPr>
      <w:tblGrid>
        <w:gridCol w:w="3120"/>
        <w:gridCol w:w="3120"/>
        <w:gridCol w:w="3120"/>
      </w:tblGrid>
      <w:tr>
        <w:tc>
          <w:tcPr>
            <w:tcW w:type="dxa" w:w="230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Setting</w:t>
            </w:r>
          </w:p>
        </w:tc>
        <w:tc>
          <w:tcPr>
            <w:tcW w:type="dxa" w:w="288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Options</w:t>
            </w:r>
          </w:p>
        </w:tc>
        <w:tc>
          <w:tcPr>
            <w:tcW w:type="dxa" w:w="403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Effect</w:t>
            </w:r>
          </w:p>
        </w:tc>
      </w:tr>
      <w:tr>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Effort Unit</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hrs / days / months</w:t>
            </w:r>
          </w:p>
        </w:tc>
        <w:tc>
          <w:tcPr>
            <w:tcW w:type="dxa" w:w="403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Globally switches the unit label and rescales all effort values across the application.</w:t>
            </w:r>
          </w:p>
        </w:tc>
      </w:tr>
      <w:tr>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Hours per Day</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1–24 (default: 8)</w:t>
            </w:r>
          </w:p>
        </w:tc>
        <w:tc>
          <w:tcPr>
            <w:tcW w:type="dxa" w:w="403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Used to convert between hours and days when switching effort units.</w:t>
            </w:r>
          </w:p>
        </w:tc>
      </w:tr>
      <w:tr>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Days per Week</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1–7 (default: 5)</w:t>
            </w:r>
          </w:p>
        </w:tc>
        <w:tc>
          <w:tcPr>
            <w:tcW w:type="dxa" w:w="403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Defines the working week length for capacity calculations.</w:t>
            </w:r>
          </w:p>
        </w:tc>
      </w:tr>
      <w:tr>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Working Days</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Mon–Sun toggles</w:t>
            </w:r>
          </w:p>
        </w:tc>
        <w:tc>
          <w:tcPr>
            <w:tcW w:type="dxa" w:w="403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Specifies which days of the week are working days. Affects capacity calculations and date math.</w:t>
            </w:r>
          </w:p>
        </w:tc>
      </w:tr>
      <w:tr>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Auto-Save</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On / Off</w:t>
            </w:r>
          </w:p>
        </w:tc>
        <w:tc>
          <w:tcPr>
            <w:tcW w:type="dxa" w:w="403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Enables 10-second idle debounced auto-save to localStorage.</w:t>
            </w:r>
          </w:p>
        </w:tc>
      </w:tr>
    </w:tbl>
    <w:p>
      <w:pPr>
        <w:spacing w:after="160"/>
      </w:pPr>
    </w:p>
    <w:p>
      <w:pPr>
        <w:pStyle w:val="Heading2"/>
        <w:keepNext/>
        <w:spacing w:before="320" w:after="120"/>
      </w:pPr>
      <w:r>
        <w:rPr>
          <w:rFonts w:ascii="Segoe UI" w:hAnsi="Segoe UI"/>
          <w:color w:val="1E9ED5"/>
        </w:rPr>
        <w:t>13.2  Dropdown Configuration Manager</w:t>
      </w:r>
    </w:p>
    <w:p>
      <w:pPr>
        <w:spacing w:before="0" w:after="120"/>
      </w:pPr>
      <w:r>
        <w:rPr>
          <w:rFonts w:ascii="Segoe UI" w:hAnsi="Segoe UI"/>
          <w:sz w:val="21"/>
        </w:rPr>
        <w:t>All categorical dropdowns (Status, Priority, Category, Module, Role, etc.) are fully configurable. To modify a dropdown:</w:t>
      </w:r>
    </w:p>
    <w:p>
      <w:pPr>
        <w:pStyle w:val="ListNumber"/>
        <w:spacing w:before="0" w:after="60"/>
      </w:pPr>
      <w:r>
        <w:rPr>
          <w:rFonts w:ascii="Segoe UI" w:hAnsi="Segoe UI"/>
          <w:sz w:val="21"/>
        </w:rPr>
        <w:t>Open Settings → 'Dropdown Manager'.</w:t>
      </w:r>
    </w:p>
    <w:p>
      <w:pPr>
        <w:pStyle w:val="ListNumber"/>
        <w:spacing w:before="0" w:after="60"/>
      </w:pPr>
      <w:r>
        <w:rPr>
          <w:rFonts w:ascii="Segoe UI" w:hAnsi="Segoe UI"/>
          <w:sz w:val="21"/>
        </w:rPr>
        <w:t>Select the dropdown category to modify (e.g., 'Module').</w:t>
      </w:r>
    </w:p>
    <w:p>
      <w:pPr>
        <w:pStyle w:val="ListNumber"/>
        <w:spacing w:before="0" w:after="60"/>
      </w:pPr>
      <w:r>
        <w:rPr>
          <w:rFonts w:ascii="Segoe UI" w:hAnsi="Segoe UI"/>
          <w:sz w:val="21"/>
        </w:rPr>
        <w:t>Add new options, edit existing labels, or reorder items via drag-and-drop.</w:t>
      </w:r>
    </w:p>
    <w:p>
      <w:pPr>
        <w:pStyle w:val="ListNumber"/>
        <w:spacing w:before="0" w:after="60"/>
      </w:pPr>
      <w:r>
        <w:rPr>
          <w:rFonts w:ascii="Segoe UI" w:hAnsi="Segoe UI"/>
          <w:sz w:val="21"/>
        </w:rPr>
        <w:t>Click 'Save'. New options appear immediately in all views.</w:t>
      </w:r>
    </w:p>
    <w:p/>
    <w:tbl>
      <w:tblPr>
        <w:tblW w:type="auto" w:w="0"/>
        <w:jc w:val="center"/>
        <w:tblLook w:firstColumn="1" w:firstRow="1" w:lastColumn="0" w:lastRow="0" w:noHBand="0" w:noVBand="1" w:val="04A0"/>
      </w:tblPr>
      <w:tblGrid>
        <w:gridCol w:w="9360"/>
      </w:tblGrid>
      <w:tr>
        <w:tc>
          <w:tcPr>
            <w:tcW w:type="dxa" w:w="9360"/>
            <w:shd w:val="clear" w:color="auto" w:fill="FEF9E7"/>
            <w:tcMar>
              <w:top w:w="120" w:type="dxa"/>
              <w:bottom w:w="120" w:type="dxa"/>
              <w:left w:w="180" w:type="dxa"/>
              <w:right w:w="180" w:type="dxa"/>
            </w:tcMar>
            <w:tcBorders>
              <w:top w:val="none"/>
              <w:bottom w:val="none"/>
              <w:left w:val="single" w:sz="28" w:color="C67C00"/>
              <w:right w:val="none"/>
            </w:tcBorders>
          </w:tcPr>
          <w:p>
            <w:pPr>
              <w:spacing w:before="40" w:after="40" w:line="276" w:lineRule="auto"/>
            </w:pPr>
            <w:r>
              <w:rPr>
                <w:rFonts w:ascii="Segoe UI" w:hAnsi="Segoe UI"/>
                <w:b/>
                <w:color w:val="7D4E00"/>
                <w:sz w:val="19"/>
              </w:rPr>
              <w:t xml:space="preserve">⚠️ WARNING  </w:t>
            </w:r>
          </w:p>
          <w:p>
            <w:pPr>
              <w:spacing w:before="40" w:after="40" w:line="276" w:lineRule="auto"/>
            </w:pPr>
            <w:r>
              <w:rPr>
                <w:rFonts w:ascii="Segoe UI" w:hAnsi="Segoe UI"/>
                <w:color w:val="1C1C1E"/>
                <w:sz w:val="19"/>
              </w:rPr>
              <w:t>Removing a dropdown option that is currently assigned to active tasks will not delete those tasks or their data — the old value is preserved on existing records. However, it will no longer appear as a selectable option for new assignments.</w:t>
            </w:r>
          </w:p>
        </w:tc>
      </w:tr>
    </w:tbl>
    <w:p>
      <w:pPr>
        <w:spacing w:after="80"/>
      </w:pPr>
    </w:p>
    <w:p>
      <w:pPr>
        <w:pStyle w:val="Heading2"/>
        <w:keepNext/>
        <w:spacing w:before="320" w:after="120"/>
      </w:pPr>
      <w:r>
        <w:rPr>
          <w:rFonts w:ascii="Segoe UI" w:hAnsi="Segoe UI"/>
          <w:color w:val="1E9ED5"/>
        </w:rPr>
        <w:t>13.3  Custom Fields</w:t>
      </w:r>
    </w:p>
    <w:p>
      <w:pPr>
        <w:spacing w:before="0" w:after="120"/>
      </w:pPr>
      <w:r>
        <w:rPr>
          <w:rFonts w:ascii="Segoe UI" w:hAnsi="Segoe UI"/>
          <w:sz w:val="21"/>
        </w:rPr>
        <w:t>Custom Fields allow teams to extend the Task and Defect schemas with project-specific attributes:</w:t>
      </w:r>
    </w:p>
    <w:p>
      <w:pPr>
        <w:pStyle w:val="ListBullet"/>
        <w:spacing w:before="0" w:after="60"/>
        <w:ind w:left="360"/>
      </w:pPr>
      <w:r>
        <w:rPr>
          <w:rFonts w:ascii="Segoe UI" w:hAnsi="Segoe UI"/>
          <w:sz w:val="21"/>
        </w:rPr>
        <w:t>Supported Types: Text, Number, Date, Dropdown, Checkbox.</w:t>
      </w:r>
    </w:p>
    <w:p>
      <w:pPr>
        <w:pStyle w:val="ListBullet"/>
        <w:spacing w:before="0" w:after="60"/>
        <w:ind w:left="360"/>
      </w:pPr>
      <w:r>
        <w:rPr>
          <w:rFonts w:ascii="Segoe UI" w:hAnsi="Segoe UI"/>
          <w:sz w:val="21"/>
        </w:rPr>
        <w:t>Scope: Custom fields can be defined independently for Tasks and for Defects.</w:t>
      </w:r>
    </w:p>
    <w:p>
      <w:pPr>
        <w:pStyle w:val="ListBullet"/>
        <w:spacing w:before="0" w:after="60"/>
        <w:ind w:left="360"/>
      </w:pPr>
      <w:r>
        <w:rPr>
          <w:rFonts w:ascii="Segoe UI" w:hAnsi="Segoe UI"/>
          <w:sz w:val="21"/>
        </w:rPr>
        <w:t>Visibility: Custom fields appear as additional columns in the Delivery Matrix and Defect Tracker, and are included in Excel exports.</w:t>
      </w:r>
    </w:p>
    <w:p>
      <w:pPr>
        <w:pStyle w:val="ListBullet"/>
        <w:spacing w:before="0" w:after="60"/>
        <w:ind w:left="360"/>
      </w:pPr>
      <w:r>
        <w:rPr>
          <w:rFonts w:ascii="Segoe UI" w:hAnsi="Segoe UI"/>
          <w:sz w:val="21"/>
        </w:rPr>
        <w:t>Persistence: Custom field values are stored alongside standard fields in localStorage and in the Excel workbook.</w:t>
      </w:r>
    </w:p>
    <w:p/>
    <w:p>
      <w:pPr>
        <w:pStyle w:val="Heading2"/>
        <w:keepNext/>
        <w:spacing w:before="320" w:after="120"/>
      </w:pPr>
      <w:r>
        <w:rPr>
          <w:rFonts w:ascii="Segoe UI" w:hAnsi="Segoe UI"/>
          <w:color w:val="1E9ED5"/>
        </w:rPr>
        <w:t>13.4  Complexity Factor Multipliers</w:t>
      </w:r>
    </w:p>
    <w:p>
      <w:pPr>
        <w:spacing w:before="0" w:after="120"/>
      </w:pPr>
      <w:r>
        <w:rPr>
          <w:rFonts w:ascii="Segoe UI" w:hAnsi="Segoe UI"/>
          <w:sz w:val="21"/>
        </w:rPr>
        <w:t>The default complexity multipliers (Easy: 0.5×, Medium: 1.0×, Complex: 1.5×) can be adjusted in Settings → 'Complexity Factors'. Changing these values recalculates all velocity and EVM metrics immediately.</w:t>
      </w:r>
    </w:p>
    <w:p>
      <w:pPr>
        <w:pStyle w:val="Heading2"/>
        <w:keepNext/>
        <w:spacing w:before="320" w:after="120"/>
      </w:pPr>
      <w:r>
        <w:rPr>
          <w:rFonts w:ascii="Segoe UI" w:hAnsi="Segoe UI"/>
          <w:color w:val="1E9ED5"/>
        </w:rPr>
        <w:t>13.5  Theme &amp; Visual Configuration</w:t>
      </w:r>
    </w:p>
    <w:p>
      <w:pPr>
        <w:spacing w:before="0" w:after="120"/>
      </w:pPr>
      <w:r>
        <w:rPr>
          <w:rFonts w:ascii="Segoe UI" w:hAnsi="Segoe UI"/>
          <w:sz w:val="21"/>
        </w:rPr>
        <w:t>ProjectPulse ships with 20 curated visual themes:</w:t>
      </w:r>
    </w:p>
    <w:p>
      <w:pPr>
        <w:pStyle w:val="ListBullet"/>
        <w:spacing w:before="0" w:after="60"/>
        <w:ind w:left="360"/>
      </w:pPr>
      <w:r>
        <w:rPr>
          <w:rFonts w:ascii="Segoe UI" w:hAnsi="Segoe UI"/>
          <w:sz w:val="21"/>
        </w:rPr>
        <w:t>Dark Themes: Nexus, Obsidian, Fintech, Codename, Workflow, Bento.</w:t>
      </w:r>
    </w:p>
    <w:p>
      <w:pPr>
        <w:pStyle w:val="ListBullet"/>
        <w:spacing w:before="0" w:after="60"/>
        <w:ind w:left="360"/>
      </w:pPr>
      <w:r>
        <w:rPr>
          <w:rFonts w:ascii="Segoe UI" w:hAnsi="Segoe UI"/>
          <w:sz w:val="21"/>
        </w:rPr>
        <w:t>Light Themes: Emerald, Terracotta, Cloud, and 12 additional curated palettes.</w:t>
      </w:r>
    </w:p>
    <w:p>
      <w:pPr>
        <w:pStyle w:val="ListBullet"/>
        <w:spacing w:before="0" w:after="60"/>
        <w:ind w:left="360"/>
      </w:pPr>
      <w:r>
        <w:rPr>
          <w:rFonts w:ascii="Segoe UI" w:hAnsi="Segoe UI"/>
          <w:sz w:val="21"/>
        </w:rPr>
        <w:t>Dark/Light Mode Override: Force dark or light mode regardless of the selected theme.</w:t>
      </w:r>
    </w:p>
    <w:p>
      <w:pPr>
        <w:pStyle w:val="ListBullet"/>
        <w:spacing w:before="0" w:after="60"/>
        <w:ind w:left="360"/>
      </w:pPr>
      <w:r>
        <w:rPr>
          <w:rFonts w:ascii="Segoe UI" w:hAnsi="Segoe UI"/>
          <w:sz w:val="21"/>
        </w:rPr>
        <w:t>Theme selection is persisted per session and stored to the Excel workbook on export.</w:t>
      </w:r>
    </w:p>
    <w:p/>
    <w:p>
      <w:r>
        <w:br w:type="page"/>
      </w:r>
    </w:p>
    <w:p>
      <w:pPr>
        <w:pStyle w:val="Heading1"/>
        <w:keepNext/>
        <w:spacing w:before="480" w:after="160"/>
      </w:pPr>
      <w:r>
        <w:rPr>
          <w:rFonts w:ascii="Segoe UI" w:hAnsi="Segoe UI"/>
          <w:color w:val="0D1B2A"/>
        </w:rPr>
        <w:t>Appendix A — Keyboard Shortcuts</w:t>
      </w:r>
    </w:p>
    <w:p>
      <w:pPr>
        <w:pBdr>
          <w:bottom w:val="single" w:sz="6" w:space="1" w:color="00C2A8"/>
        </w:pBdr>
        <w:spacing w:before="0" w:after="120"/>
      </w:pPr>
    </w:p>
    <w:p>
      <w:pPr>
        <w:spacing w:before="0" w:after="160"/>
      </w:pPr>
      <w:r>
        <w:rPr>
          <w:rFonts w:ascii="Segoe UI" w:hAnsi="Segoe UI"/>
          <w:sz w:val="21"/>
        </w:rPr>
        <w:t>The following keyboard shortcuts are available globally across all views:</w:t>
      </w:r>
    </w:p>
    <w:tbl>
      <w:tblPr>
        <w:tblW w:type="auto" w:w="0"/>
        <w:jc w:val="center"/>
        <w:tblLook w:firstColumn="1" w:firstRow="1" w:lastColumn="0" w:lastRow="0" w:noHBand="0" w:noVBand="1" w:val="04A0"/>
      </w:tblPr>
      <w:tblGrid>
        <w:gridCol w:w="3120"/>
        <w:gridCol w:w="3120"/>
        <w:gridCol w:w="3120"/>
      </w:tblGrid>
      <w:tr>
        <w:tc>
          <w:tcPr>
            <w:tcW w:type="dxa" w:w="21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Shortcut</w:t>
            </w:r>
          </w:p>
        </w:tc>
        <w:tc>
          <w:tcPr>
            <w:tcW w:type="dxa" w:w="432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Action</w:t>
            </w:r>
          </w:p>
        </w:tc>
        <w:tc>
          <w:tcPr>
            <w:tcW w:type="dxa" w:w="273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Scope</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Ctrl + S</w:t>
            </w:r>
          </w:p>
        </w:tc>
        <w:tc>
          <w:tcPr>
            <w:tcW w:type="dxa" w:w="432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Force immediate save to localStorage and linked file.</w:t>
            </w:r>
          </w:p>
        </w:tc>
        <w:tc>
          <w:tcPr>
            <w:tcW w:type="dxa" w:w="27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Global</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Ctrl + Z</w:t>
            </w:r>
          </w:p>
        </w:tc>
        <w:tc>
          <w:tcPr>
            <w:tcW w:type="dxa" w:w="432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Undo last inline edit.</w:t>
            </w:r>
          </w:p>
        </w:tc>
        <w:tc>
          <w:tcPr>
            <w:tcW w:type="dxa" w:w="27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Delivery Matrix</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Ctrl + F</w:t>
            </w:r>
          </w:p>
        </w:tc>
        <w:tc>
          <w:tcPr>
            <w:tcW w:type="dxa" w:w="432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Focus the search / filter bar.</w:t>
            </w:r>
          </w:p>
        </w:tc>
        <w:tc>
          <w:tcPr>
            <w:tcW w:type="dxa" w:w="27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Delivery Matrix, Defects</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Escape</w:t>
            </w:r>
          </w:p>
        </w:tc>
        <w:tc>
          <w:tcPr>
            <w:tcW w:type="dxa" w:w="432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Close open modal, flyout, or dropdown.</w:t>
            </w:r>
          </w:p>
        </w:tc>
        <w:tc>
          <w:tcPr>
            <w:tcW w:type="dxa" w:w="27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Global</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Enter</w:t>
            </w:r>
          </w:p>
        </w:tc>
        <w:tc>
          <w:tcPr>
            <w:tcW w:type="dxa" w:w="432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Confirm inline cell edit.</w:t>
            </w:r>
          </w:p>
        </w:tc>
        <w:tc>
          <w:tcPr>
            <w:tcW w:type="dxa" w:w="27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Delivery Matrix</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Tab</w:t>
            </w:r>
          </w:p>
        </w:tc>
        <w:tc>
          <w:tcPr>
            <w:tcW w:type="dxa" w:w="432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Move to next editable cell.</w:t>
            </w:r>
          </w:p>
        </w:tc>
        <w:tc>
          <w:tcPr>
            <w:tcW w:type="dxa" w:w="27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Delivery Matrix</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Shift + Tab</w:t>
            </w:r>
          </w:p>
        </w:tc>
        <w:tc>
          <w:tcPr>
            <w:tcW w:type="dxa" w:w="432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Move to previous editable cell.</w:t>
            </w:r>
          </w:p>
        </w:tc>
        <w:tc>
          <w:tcPr>
            <w:tcW w:type="dxa" w:w="27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Delivery Matrix</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Arrow Keys</w:t>
            </w:r>
          </w:p>
        </w:tc>
        <w:tc>
          <w:tcPr>
            <w:tcW w:type="dxa" w:w="432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Navigate between cells in grid.</w:t>
            </w:r>
          </w:p>
        </w:tc>
        <w:tc>
          <w:tcPr>
            <w:tcW w:type="dxa" w:w="27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Delivery Matrix</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Ctrl + Click</w:t>
            </w:r>
          </w:p>
        </w:tc>
        <w:tc>
          <w:tcPr>
            <w:tcW w:type="dxa" w:w="432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Multi-select tasks for bulk operations.</w:t>
            </w:r>
          </w:p>
        </w:tc>
        <w:tc>
          <w:tcPr>
            <w:tcW w:type="dxa" w:w="27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Delivery Matrix</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Space</w:t>
            </w:r>
          </w:p>
        </w:tc>
        <w:tc>
          <w:tcPr>
            <w:tcW w:type="dxa" w:w="432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Toggle expand/collapse on selected parent task.</w:t>
            </w:r>
          </w:p>
        </w:tc>
        <w:tc>
          <w:tcPr>
            <w:tcW w:type="dxa" w:w="27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Delivery Matrix</w:t>
            </w:r>
          </w:p>
        </w:tc>
      </w:tr>
    </w:tbl>
    <w:p>
      <w:pPr>
        <w:spacing w:after="160"/>
      </w:pPr>
    </w:p>
    <w:p>
      <w:pPr>
        <w:pStyle w:val="Heading1"/>
        <w:keepNext/>
        <w:spacing w:before="480" w:after="160"/>
      </w:pPr>
      <w:r>
        <w:rPr>
          <w:rFonts w:ascii="Segoe UI" w:hAnsi="Segoe UI"/>
          <w:color w:val="0D1B2A"/>
        </w:rPr>
        <w:t>Appendix B — Data Schema Reference</w:t>
      </w:r>
    </w:p>
    <w:p>
      <w:pPr>
        <w:pBdr>
          <w:bottom w:val="single" w:sz="6" w:space="1" w:color="00C2A8"/>
        </w:pBdr>
        <w:spacing w:before="0" w:after="120"/>
      </w:pPr>
    </w:p>
    <w:p>
      <w:pPr>
        <w:spacing w:before="0" w:after="160"/>
      </w:pPr>
      <w:r>
        <w:rPr>
          <w:rFonts w:ascii="Segoe UI" w:hAnsi="Segoe UI"/>
          <w:sz w:val="21"/>
        </w:rPr>
        <w:t>The following tables document the full field-level schema for the primary data entities managed by ProjectPulse. All data is persisted in localStorage (pp-data key) and exported to the Excel workbook on save.</w:t>
      </w:r>
    </w:p>
    <w:p>
      <w:pPr>
        <w:pStyle w:val="Heading2"/>
        <w:keepNext/>
        <w:spacing w:before="320" w:after="120"/>
      </w:pPr>
      <w:r>
        <w:rPr>
          <w:rFonts w:ascii="Segoe UI" w:hAnsi="Segoe UI"/>
          <w:color w:val="1E9ED5"/>
        </w:rPr>
        <w:t>B.1  Task Schema</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Field</w:t>
            </w:r>
          </w:p>
        </w:tc>
        <w:tc>
          <w:tcPr>
            <w:tcW w:type="dxa" w:w="172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Type</w:t>
            </w:r>
          </w:p>
        </w:tc>
        <w:tc>
          <w:tcPr>
            <w:tcW w:type="dxa" w:w="489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Description</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id</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48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Unique identifier (e.g., TASK-001). Auto-generated.</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name</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48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 title. Required.</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status</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48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Current status. Must match valid transition from VALID_TRANSITIONS.</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priority</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48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Critical / High / Medium / Low.</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category</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48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Classification from configured Category dropdown.</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module</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48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Associated module name from Module dropdown.</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moduleType</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48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Server / GUI / Interface.</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assignee</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48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Assigned member name.</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release</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48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Target release version (e.g., v1.0.0).</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startDate</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YYYY-MM-DD</w:t>
            </w:r>
          </w:p>
        </w:tc>
        <w:tc>
          <w:tcPr>
            <w:tcW w:type="dxa" w:w="48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Current planned start date.</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dueDate</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YYYY-MM-DD</w:t>
            </w:r>
          </w:p>
        </w:tc>
        <w:tc>
          <w:tcPr>
            <w:tcW w:type="dxa" w:w="48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Current planned due date.</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actCompletionDate</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YYYY-MM-DD</w:t>
            </w:r>
          </w:p>
        </w:tc>
        <w:tc>
          <w:tcPr>
            <w:tcW w:type="dxa" w:w="48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Actual completion date (null if incomplete).</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baselineStartDate</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YYYY-MM-DD</w:t>
            </w:r>
          </w:p>
        </w:tc>
        <w:tc>
          <w:tcPr>
            <w:tcW w:type="dxa" w:w="48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Frozen baseline start date.</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baselineDueDate</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YYYY-MM-DD</w:t>
            </w:r>
          </w:p>
        </w:tc>
        <w:tc>
          <w:tcPr>
            <w:tcW w:type="dxa" w:w="48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Frozen baseline due date.</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forecastDueDate</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YYYY-MM-DD</w:t>
            </w:r>
          </w:p>
        </w:tc>
        <w:tc>
          <w:tcPr>
            <w:tcW w:type="dxa" w:w="48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System-calculated forecast due date based on velocity.</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slippageReason</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48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Free-text explanation if task slips beyond baseline.</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complexity</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48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Easy / Medium / Complex.</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progress</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48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0–100 percentage completion.</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estEffort</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48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Estimated effort in active effortUnit.</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actEffort</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48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Actual logged effort in active effortUnit.</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baselineEffort</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48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Baseline effort in active effortUnit.</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dependsOn</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48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Array of prerequisite Task IDs.</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notes</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48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Multi-line task description and notes.</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subtasks</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Subtask[]</w:t>
            </w:r>
          </w:p>
        </w:tc>
        <w:tc>
          <w:tcPr>
            <w:tcW w:type="dxa" w:w="48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Array of child step/screen items.</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guiScreens</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48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Linked GUI screen names.</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updatedAt</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ISO 8601</w:t>
            </w:r>
          </w:p>
        </w:tc>
        <w:tc>
          <w:tcPr>
            <w:tcW w:type="dxa" w:w="48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Timestamp of last modification.</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parentId</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48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Parent task ID for sub-rows (empty string for root tasks).</w:t>
            </w:r>
          </w:p>
        </w:tc>
      </w:tr>
    </w:tbl>
    <w:p>
      <w:pPr>
        <w:spacing w:after="160"/>
      </w:pPr>
    </w:p>
    <w:p>
      <w:pPr>
        <w:pStyle w:val="Heading2"/>
        <w:keepNext/>
        <w:spacing w:before="320" w:after="120"/>
      </w:pPr>
      <w:r>
        <w:rPr>
          <w:rFonts w:ascii="Segoe UI" w:hAnsi="Segoe UI"/>
          <w:color w:val="1E9ED5"/>
        </w:rPr>
        <w:t>B.2  Defect Schema</w:t>
      </w:r>
    </w:p>
    <w:tbl>
      <w:tblPr>
        <w:tblW w:type="auto" w:w="0"/>
        <w:jc w:val="center"/>
        <w:tblLook w:firstColumn="1" w:firstRow="1" w:lastColumn="0" w:lastRow="0" w:noHBand="0" w:noVBand="1" w:val="04A0"/>
      </w:tblPr>
      <w:tblGrid>
        <w:gridCol w:w="3120"/>
        <w:gridCol w:w="3120"/>
        <w:gridCol w:w="3120"/>
      </w:tblGrid>
      <w:tr>
        <w:tc>
          <w:tcPr>
            <w:tcW w:type="dxa" w:w="21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Field</w:t>
            </w:r>
          </w:p>
        </w:tc>
        <w:tc>
          <w:tcPr>
            <w:tcW w:type="dxa" w:w="144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Type</w:t>
            </w:r>
          </w:p>
        </w:tc>
        <w:tc>
          <w:tcPr>
            <w:tcW w:type="dxa" w:w="561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Description</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id</w:t>
            </w:r>
          </w:p>
        </w:tc>
        <w:tc>
          <w:tcPr>
            <w:tcW w:type="dxa" w:w="144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6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Unique identifier (e.g., DEF-001). Auto-generated.</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title</w:t>
            </w:r>
          </w:p>
        </w:tc>
        <w:tc>
          <w:tcPr>
            <w:tcW w:type="dxa" w:w="144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6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Defect title. Required.</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type</w:t>
            </w:r>
          </w:p>
        </w:tc>
        <w:tc>
          <w:tcPr>
            <w:tcW w:type="dxa" w:w="144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6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Functional Bug / UI/UX Issue / Performance / Security / Data Issue / Suggestion.</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severity</w:t>
            </w:r>
          </w:p>
        </w:tc>
        <w:tc>
          <w:tcPr>
            <w:tcW w:type="dxa" w:w="144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6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S1 Blocker / S2 High / S3 Medium / S4 Low.</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priority</w:t>
            </w:r>
          </w:p>
        </w:tc>
        <w:tc>
          <w:tcPr>
            <w:tcW w:type="dxa" w:w="144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6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Critical / High / Medium / Low.</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status</w:t>
            </w:r>
          </w:p>
        </w:tc>
        <w:tc>
          <w:tcPr>
            <w:tcW w:type="dxa" w:w="144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6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New / Assigned / Fixed / Retest / Closed / Rejected / Deferred.</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linkedType</w:t>
            </w:r>
          </w:p>
        </w:tc>
        <w:tc>
          <w:tcPr>
            <w:tcW w:type="dxa" w:w="144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6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 / subtask / screen — type of linked entity.</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linkedId</w:t>
            </w:r>
          </w:p>
        </w:tc>
        <w:tc>
          <w:tcPr>
            <w:tcW w:type="dxa" w:w="144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6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ID of the linked task, subtask, or screen.</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assignee</w:t>
            </w:r>
          </w:p>
        </w:tc>
        <w:tc>
          <w:tcPr>
            <w:tcW w:type="dxa" w:w="144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6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Developer assigned to fix.</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reporter</w:t>
            </w:r>
          </w:p>
        </w:tc>
        <w:tc>
          <w:tcPr>
            <w:tcW w:type="dxa" w:w="144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6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Person who logged the defect.</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desc</w:t>
            </w:r>
          </w:p>
        </w:tc>
        <w:tc>
          <w:tcPr>
            <w:tcW w:type="dxa" w:w="144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6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Full defect description.</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steps</w:t>
            </w:r>
          </w:p>
        </w:tc>
        <w:tc>
          <w:tcPr>
            <w:tcW w:type="dxa" w:w="144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6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Step-by-step reproduction instructions.</w:t>
            </w:r>
          </w:p>
        </w:tc>
      </w:tr>
    </w:tbl>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C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1B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1B2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1B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