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Functional Specification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Functional Specification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Product Managers / Developers / QA Engineers / Business Analysts</w:t>
            </w:r>
          </w:p>
          <w:p>
            <w:pPr>
              <w:spacing w:before="40" w:after="40" w:line="276" w:lineRule="auto"/>
            </w:pPr>
            <w:r>
              <w:rPr>
                <w:rFonts w:ascii="Segoe UI" w:hAnsi="Segoe UI"/>
                <w:b/>
                <w:color w:val="0D1B2A"/>
                <w:sz w:val="20"/>
              </w:rPr>
              <w:t xml:space="preserve">Date:  </w:t>
            </w:r>
            <w:r>
              <w:rPr>
                <w:rFonts w:ascii="Segoe UI" w:hAnsi="Segoe UI"/>
                <w:color w:val="1C1C1E"/>
                <w:sz w:val="20"/>
              </w:rPr>
              <w:t>11 August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 Restricted</w:t>
            </w:r>
          </w:p>
        </w:tc>
      </w:tr>
    </w:tbl>
    <w:p>
      <w:r>
        <w:br w:type="page"/>
      </w:r>
    </w:p>
    <w:p>
      <w:pPr>
        <w:pStyle w:val="Heading1"/>
        <w:keepNext/>
        <w:spacing w:before="480" w:after="160"/>
      </w:pPr>
      <w:r>
        <w:rPr>
          <w:rFonts w:ascii="Segoe UI" w:hAnsi="Segoe UI"/>
          <w:color w:val="0D1B2A"/>
        </w:rPr>
        <w:t>Document Control</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 Title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 Functional Specification Document</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v2.1.0</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Approved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Author(s)</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Product Team</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Reviewer(s)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Lead / QA Lead / Product Manager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Date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 August 2026</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Internal - Restricted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Next Review</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Quarterly or upon major feature release</w:t>
            </w:r>
          </w:p>
        </w:tc>
      </w:tr>
    </w:tbl>
    <w:p>
      <w:pPr>
        <w:spacing w:after="160"/>
      </w:pPr>
    </w:p>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 — System Architecture &amp; Foundations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Philosophy &amp; Design Principles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Architecture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Data Model &amp; Full Schema Reference</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Caching: buildDashCache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Global Configuration &amp; Settings Model</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 — Module Functional Specifications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Resolver</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 &amp; Activity Streams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Schedule Baselines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74</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III</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III — Cross-Cutting Concerns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18</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Security &amp; Data Privacy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19</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&amp; Scalability Limits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20</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Browser Compatibility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81</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A — Keyboard Shortcuts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B</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B — Formula Reference Card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C</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C —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D</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D — 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87</w:t>
            </w:r>
          </w:p>
        </w:tc>
      </w:tr>
    </w:tbl>
    <w:p>
      <w:pPr>
        <w:spacing w:after="240"/>
      </w:pPr>
    </w:p>
    <w:p>
      <w:r>
        <w:br w:type="page"/>
      </w:r>
    </w:p>
    <w:p>
      <w:r>
        <w:br w:type="page"/>
      </w:r>
    </w:p>
    <w:p>
      <w:r>
        <w:br/>
        <w:br/>
        <w:br/>
        <w:br/>
      </w:r>
    </w:p>
    <w:p>
      <w:pPr>
        <w:spacing w:before="240" w:after="80"/>
        <w:jc w:val="left"/>
      </w:pPr>
      <w:r>
        <w:rPr>
          <w:rFonts w:ascii="Segoe UI" w:hAnsi="Segoe UI"/>
          <w:b/>
          <w:color w:val="00C2A8"/>
          <w:sz w:val="24"/>
        </w:rPr>
        <w:t>PART I</w:t>
      </w:r>
    </w:p>
    <w:p>
      <w:pPr>
        <w:spacing w:before="80" w:after="240"/>
        <w:jc w:val="left"/>
      </w:pPr>
      <w:r>
        <w:rPr>
          <w:rFonts w:ascii="Segoe UI" w:hAnsi="Segoe UI"/>
          <w:b/>
          <w:color w:val="0D1B2A"/>
          <w:sz w:val="56"/>
        </w:rPr>
        <w:t>System Architecture &amp; Foundations</w:t>
      </w:r>
    </w:p>
    <w:p>
      <w:pPr>
        <w:pBdr>
          <w:bottom w:val="single" w:sz="18" w:space="1" w:color="00C2A8"/>
        </w:pBdr>
        <w:spacing w:before="0" w:after="160"/>
      </w:pPr>
    </w:p>
    <w:p>
      <w:r>
        <w:br/>
      </w:r>
    </w:p>
    <w:p>
      <w:pPr>
        <w:spacing w:before="120" w:after="240"/>
        <w:jc w:val="left"/>
      </w:pPr>
      <w:r>
        <w:rPr>
          <w:rFonts w:ascii="Segoe UI" w:hAnsi="Segoe UI"/>
          <w:i/>
          <w:color w:val="6C757D"/>
          <w:sz w:val="22"/>
        </w:rPr>
        <w:t>Application design, state model, data schemas, caching, and configuration.</w:t>
      </w:r>
    </w:p>
    <w:p>
      <w:r>
        <w:br w:type="page"/>
      </w:r>
    </w:p>
    <w:p>
      <w:pPr>
        <w:pStyle w:val="Heading1"/>
        <w:keepNext/>
        <w:spacing w:before="480" w:after="16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2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2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2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2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2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480" w:after="160"/>
      </w:pPr>
      <w:r>
        <w:rPr>
          <w:rFonts w:ascii="Segoe UI" w:hAnsi="Segoe UI"/>
          <w:color w:val="0D1B2A"/>
        </w:rPr>
        <w:t>2  Application Architecture</w:t>
      </w:r>
    </w:p>
    <w:p>
      <w:pPr>
        <w:pBdr>
          <w:bottom w:val="single" w:sz="6" w:space="1" w:color="00C2A8"/>
        </w:pBdr>
        <w:spacing w:before="0" w:after="120"/>
      </w:pPr>
    </w:p>
    <w:p>
      <w:pPr>
        <w:pStyle w:val="Heading2"/>
        <w:keepNext/>
        <w:spacing w:before="32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2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P.name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Displayed in the header and on exported documents.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P.desc</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description. Shown on cover pages of exported reports.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P.tasks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task objects (parent and child). The primary data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P.members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team member profiles.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P.raids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RAID register entries.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defect records.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captured baseline snapshot records.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LogEntry[]</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Append-only array of all activity log entries (max 500).</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P.settings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settings: effortUnit, hoursPerDay, daysPerWeek, workDays, alertPrefs.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P.dropdowns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configurable dropdown option arrays keyed by field name.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analytics cache (hydrated by buildDashCache). Never persisted directly.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P.sandboxTasks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Task[]|null</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In-memory sandbox clone. Null when sandbox is inactive.</w:t>
            </w:r>
          </w:p>
        </w:tc>
      </w:tr>
    </w:tbl>
    <w:p>
      <w:pPr>
        <w:spacing w:after="160"/>
      </w:pPr>
    </w:p>
    <w:p>
      <w:pPr>
        <w:pStyle w:val="Heading2"/>
        <w:keepNext/>
        <w:spacing w:before="32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2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Ctrl+S bypasses the debounce timer and triggers an immediate synchronous save. This is recommended before closing the browser tab or switching networks.</w:t>
            </w:r>
          </w:p>
        </w:tc>
      </w:tr>
    </w:tbl>
    <w:p>
      <w:pPr>
        <w:spacing w:after="80"/>
      </w:pPr>
    </w:p>
    <w:p>
      <w:pPr>
        <w:pStyle w:val="Heading2"/>
        <w:keepNext/>
        <w:spacing w:before="32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2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480" w:after="16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2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Constraint</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auto-gen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TASK-NNN</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Auto-generated unique identifier. Format: TASK-001.</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displayed in all views.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 (dropdowns)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workflow status. Must be a valid VALID_TRANSITIONS key.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from Module dropdown.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Must match a member in P.members.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label (e.g. v1.0.0).</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 work was completed (null if incomplete).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computed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Velocity-based projected completion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for schedule slippage beyond baseline.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(0.5x) / Medium (1.0x) / Complex (1.5x).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completion. Aggregated from subtasks if present.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 unit.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captured at snapshot time.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 Must be acyclic.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 (for GUI module 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 Updated on every save.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Empty string for root-level tasks.</w:t>
            </w:r>
          </w:p>
        </w:tc>
      </w:tr>
    </w:tbl>
    <w:p>
      <w:pPr>
        <w:spacing w:after="160"/>
      </w:pPr>
    </w:p>
    <w:p>
      <w:pPr>
        <w:pStyle w:val="Heading2"/>
        <w:keepNext/>
        <w:spacing w:before="320" w:after="120"/>
      </w:pPr>
      <w:r>
        <w:rPr>
          <w:rFonts w:ascii="Segoe UI" w:hAnsi="Segoe UI"/>
          <w:color w:val="1E9ED5"/>
        </w:rPr>
        <w:t>3.2  Subtask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within parent task. Format: ST-NNN.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Same valid statuses as parent Task.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 Bug / Improvement / GUI Screen / etc.</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boolean</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True when status is Completed. Used for progress aggregation.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effort logged.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Contributes to parent task progress via weighted average.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(development task) or screen (GUI screen).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Used by Activity Heatmap date resolution.</w:t>
            </w:r>
          </w:p>
        </w:tc>
      </w:tr>
    </w:tbl>
    <w:p>
      <w:pPr>
        <w:spacing w:after="160"/>
      </w:pPr>
    </w:p>
    <w:p>
      <w:pPr>
        <w:pStyle w:val="Heading2"/>
        <w:keepNext/>
        <w:spacing w:before="320" w:after="120"/>
      </w:pPr>
      <w:r>
        <w:rPr>
          <w:rFonts w:ascii="Segoe UI" w:hAnsi="Segoe UI"/>
          <w:color w:val="1E9ED5"/>
        </w:rPr>
        <w:t>3.3  Member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MEM-NNN.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 Used as assignee reference in tasks and defects.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 from configured Role dropdown. Used by Copilot for Smart Reassignment.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Other Assignment / Serving Notice Period / Departed.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plannedLeaves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{start: YYYY-MM-DD, end: YYYY-MM-DD} leave date ranges.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weeklyHourCap</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per week. Default: 40.</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utilisationRate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0.0-1.0. Fraction of standard time dedicated to project work. Default: 1.0.</w:t>
            </w:r>
          </w:p>
        </w:tc>
      </w:tr>
    </w:tbl>
    <w:p>
      <w:pPr>
        <w:spacing w:after="160"/>
      </w:pPr>
    </w:p>
    <w:p>
      <w:pPr>
        <w:pStyle w:val="Heading2"/>
        <w:keepNext/>
        <w:spacing w:before="320" w:after="120"/>
      </w:pPr>
      <w:r>
        <w:rPr>
          <w:rFonts w:ascii="Segoe UI" w:hAnsi="Segoe UI"/>
          <w:color w:val="1E9ED5"/>
        </w:rPr>
        <w:t>3.4  RAID Item Schema</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RAID-NNN.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description of the item.</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 for Risks).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Critical / S2 Major / S3 Moderate / S4 Minor.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probability_int x impact_int using 1-3 scale. Max 9.</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 resolution strategy text. Required for Active items.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closure date.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logged.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closed or mitigated.</w:t>
            </w:r>
          </w:p>
        </w:tc>
      </w:tr>
    </w:tbl>
    <w:p>
      <w:pPr>
        <w:spacing w:after="160"/>
      </w:pPr>
    </w:p>
    <w:p>
      <w:pPr>
        <w:pStyle w:val="Heading2"/>
        <w:keepNext/>
        <w:spacing w:before="320" w:after="120"/>
      </w:pPr>
      <w:r>
        <w:rPr>
          <w:rFonts w:ascii="Segoe UI" w:hAnsi="Segoe UI"/>
          <w:color w:val="1E9ED5"/>
        </w:rPr>
        <w:t>3.5  Defect Schema</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DEF-NNN.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(TASK-NNN) or subtask (ST-NNN).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 Must match a member name.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logged.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resolved or closed.</w:t>
            </w:r>
          </w:p>
        </w:tc>
      </w:tr>
    </w:tbl>
    <w:p>
      <w:pPr>
        <w:spacing w:after="160"/>
      </w:pPr>
    </w:p>
    <w:p>
      <w:pPr>
        <w:pStyle w:val="Heading2"/>
        <w:keepNext/>
        <w:spacing w:before="320" w:after="120"/>
      </w:pPr>
      <w:r>
        <w:rPr>
          <w:rFonts w:ascii="Segoe UI" w:hAnsi="Segoe UI"/>
          <w:color w:val="1E9ED5"/>
        </w:rPr>
        <w:t>3.6  Activity Log Entry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the log entry recorded at millisecond precision.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active team member who performed the action.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 / Updated / Status Changed / Deleted.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primary entity affected.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taskName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primary entity at time of action.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field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specific field that changed (e.g. status, dueDate).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oldVal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Previous value before mutation.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newVal</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value after mutation.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References a specific subtask if the change was at subtask level.</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Retrospective actual completion date for activity date resolution.</w:t>
            </w:r>
          </w:p>
        </w:tc>
      </w:tr>
    </w:tbl>
    <w:p>
      <w:pPr>
        <w:spacing w:after="160"/>
      </w:pPr>
    </w:p>
    <w:p>
      <w:r>
        <w:br w:type="page"/>
      </w:r>
    </w:p>
    <w:p>
      <w:pPr>
        <w:pStyle w:val="Heading1"/>
        <w:keepNext/>
        <w:spacing w:before="480" w:after="16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2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Cache Key</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all non-cancelled, non-completed parent tasks.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Completed.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active tasks where dueDate &lt; today and status != Completed/Cancelled.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On Hold or with unresolved dependency violations.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activeRaidCount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status in {Identified, Active}.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exposureScore &gt;= 15.</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openDefects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defects with status not in {Closed, Rejected}.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S1 Blocker.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S2 High.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velocityHistory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weekly complexity-points-completed for the past 12 weeks.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burnUpData</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Time-series arrays for Scope and Completion lines on the burn-up chart.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heatmapData</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30-day activity density map keyed by date string (YYYY-MM-DD).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memberAlloc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allocation hours per member per week for the Scheduler grid.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evmMetrics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Pre-computed PV, EV, AC, SV, SPI, CV values.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depMap</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lookup map: taskId -&gt; [predecessorIds]. O(1) lookup.</w:t>
            </w:r>
          </w:p>
        </w:tc>
      </w:tr>
    </w:tbl>
    <w:p>
      <w:pPr>
        <w:spacing w:after="160"/>
      </w:pPr>
    </w:p>
    <w:p>
      <w:pPr>
        <w:pStyle w:val="Heading2"/>
        <w:keepNext/>
        <w:spacing w:before="32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P.cache is intentionally excluded from localStorage persistence. If the page is refreshed, the cache is rebuilt from the persisted P.tasks, P.members, etc. data on the first render() call after page load.</w:t>
            </w:r>
          </w:p>
        </w:tc>
      </w:tr>
    </w:tbl>
    <w:p>
      <w:pPr>
        <w:spacing w:after="80"/>
      </w:pPr>
    </w:p>
    <w:p>
      <w:r>
        <w:br w:type="page"/>
      </w:r>
    </w:p>
    <w:p>
      <w:pPr>
        <w:pStyle w:val="Heading1"/>
        <w:keepNext/>
        <w:spacing w:before="480" w:after="16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20" w:after="120"/>
      </w:pPr>
      <w:r>
        <w:rPr>
          <w:rFonts w:ascii="Segoe UI" w:hAnsi="Segoe UI"/>
          <w:color w:val="1E9ED5"/>
        </w:rPr>
        <w:t>5.1  P.settings Fields</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 Values</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effortUnit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all effort labels and rescales displayed values.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hoursPerDay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daysPerWeek</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week length. Affects capacity calculations and date math.</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workDays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Subset of [Mon,Tue,Wed,Thu,Fri,Sat,Sun]</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are working days for date arithmetic.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alertPrefs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Future: alert threshold preferences per metric.</w:t>
            </w:r>
          </w:p>
        </w:tc>
      </w:tr>
    </w:tbl>
    <w:p>
      <w:pPr>
        <w:spacing w:after="160"/>
      </w:pPr>
    </w:p>
    <w:p>
      <w:pPr>
        <w:pStyle w:val="Heading2"/>
        <w:keepNext/>
        <w:spacing w:before="320" w:after="120"/>
      </w:pPr>
      <w:r>
        <w:rPr>
          <w:rFonts w:ascii="Segoe UI" w:hAnsi="Segoe UI"/>
          <w:color w:val="1E9ED5"/>
        </w:rPr>
        <w:t>5.2  P.complexityFactors</w:t>
      </w: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 Multiplier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Configurable?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Velocity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0.5. Tasks count less toward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1.0x</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1.0. Baseline multiplier.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1.5. Tasks count more toward velocity.</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Changing complexity multipliers in Settings -&gt; Complexity Factors triggers an immediate full cache rebuild, updating all velocity, EVM, and burn-up chart calculations across the application.</w:t>
            </w:r>
          </w:p>
        </w:tc>
      </w:tr>
    </w:tbl>
    <w:p>
      <w:pPr>
        <w:spacing w:after="80"/>
      </w:pPr>
    </w:p>
    <w:p>
      <w:r>
        <w:br w:type="page"/>
      </w:r>
    </w:p>
    <w:p>
      <w:r>
        <w:br w:type="page"/>
      </w:r>
    </w:p>
    <w:p>
      <w:r>
        <w:br/>
        <w:br/>
        <w:br/>
        <w:br/>
      </w:r>
    </w:p>
    <w:p>
      <w:pPr>
        <w:spacing w:before="240" w:after="80"/>
        <w:jc w:val="left"/>
      </w:pPr>
      <w:r>
        <w:rPr>
          <w:rFonts w:ascii="Segoe UI" w:hAnsi="Segoe UI"/>
          <w:b/>
          <w:color w:val="00C2A8"/>
          <w:sz w:val="24"/>
        </w:rPr>
        <w:t>PART II</w:t>
      </w:r>
    </w:p>
    <w:p>
      <w:pPr>
        <w:spacing w:before="80" w:after="240"/>
        <w:jc w:val="left"/>
      </w:pPr>
      <w:r>
        <w:rPr>
          <w:rFonts w:ascii="Segoe UI" w:hAnsi="Segoe UI"/>
          <w:b/>
          <w:color w:val="0D1B2A"/>
          <w:sz w:val="56"/>
        </w:rPr>
        <w:t>Module Functional Specifications</w:t>
      </w:r>
    </w:p>
    <w:p>
      <w:pPr>
        <w:pBdr>
          <w:bottom w:val="single" w:sz="18" w:space="1" w:color="00C2A8"/>
        </w:pBdr>
        <w:spacing w:before="0" w:after="160"/>
      </w:pPr>
    </w:p>
    <w:p>
      <w:r>
        <w:br/>
      </w:r>
    </w:p>
    <w:p>
      <w:pPr>
        <w:spacing w:before="120" w:after="240"/>
        <w:jc w:val="left"/>
      </w:pPr>
      <w:r>
        <w:rPr>
          <w:rFonts w:ascii="Segoe UI" w:hAnsi="Segoe UI"/>
          <w:i/>
          <w:color w:val="6C757D"/>
          <w:sz w:val="22"/>
        </w:rPr>
        <w:t>Complete specification of all 12 product modules — formulas, workflows, state machines, and business rules.</w:t>
      </w:r>
    </w:p>
    <w:p>
      <w:r>
        <w:br w:type="page"/>
      </w:r>
    </w:p>
    <w:p>
      <w:pPr>
        <w:pStyle w:val="Heading1"/>
        <w:keepNext/>
        <w:spacing w:before="480" w:after="16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2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Source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P.cache.overdueTasks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tasks past their due date.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P.cache.blockedTasks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on hold or with unresolved dependencies.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OnHold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inline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status == On Hold.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P.cache.totalTasks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non-Completed, non-Cancelled tasks.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P.cache.criticalRaids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items with exposureScore &gt;= 15.</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P.cache.s1Blockers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S1 Blocker.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P.cache.s2Critical</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S2 High.</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Health Index is floored at 0 and capped at 100. Completed and Cancelled tasks are excluded from the Active denominator. The index cannot go negative.</w:t>
            </w:r>
          </w:p>
        </w:tc>
      </w:tr>
    </w:tbl>
    <w:p>
      <w:pPr>
        <w:spacing w:after="80"/>
      </w:pPr>
    </w:p>
    <w:p>
      <w:pPr>
        <w:pStyle w:val="Heading2"/>
        <w:keepNext/>
        <w:spacing w:before="32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weeklyVelocity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3-week rolling average of completed complexity points per week. Excludes holiday weeks.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weeksRemaining</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 weeks between today and the latest task due date in the active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remainingPoints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SUM(estEffort * complexityFactor) for all incomplete tasks.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Delivery Confidence is floored at 30% to prevent alarming users when no historical velocity data exists (e.g., a newly created project). The 30% floor communicates uncertainty rather than impossibility.</w:t>
            </w:r>
          </w:p>
        </w:tc>
      </w:tr>
    </w:tbl>
    <w:p>
      <w:pPr>
        <w:spacing w:after="80"/>
      </w:pPr>
    </w:p>
    <w:p>
      <w:pPr>
        <w:pStyle w:val="Heading2"/>
        <w:keepNext/>
        <w:spacing w:before="32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2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Gauge 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Glow Effect</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(#27AE60)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neon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healthy. Maintain pace.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(#E67E22)</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glow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Warning. One or more risk factors active.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(#C0392B)</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pulsing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Immediate intervention required.</w:t>
            </w:r>
          </w:p>
        </w:tc>
      </w:tr>
    </w:tbl>
    <w:p>
      <w:pPr>
        <w:spacing w:after="160"/>
      </w:pPr>
    </w:p>
    <w:p>
      <w:pPr>
        <w:pStyle w:val="Heading2"/>
        <w:keepNext/>
        <w:spacing w:before="32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Sandbox Control</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Input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P.sandboxTasks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to -50%</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each task's duration by 1/(1-reduction). E.g. -20% extends all task durations by 1.25x.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1.1x to 2.0x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estEffort of all Incomplete tasks by the factor. Pushes forecast dates outward proportionally.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Copies sandboxTasks to P.tasks. Logs a Sandbox Commit entry in P.log. Calls save().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Sets P.sandboxTasks = null. Restores views to live P.tasks. No log entry created.</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Always capture a Schedule Baseline (see Section 16) before clicking Commit. A Commit operation is irreversible without a baseline to restore from.</w:t>
            </w:r>
          </w:p>
        </w:tc>
      </w:tr>
    </w:tbl>
    <w:p>
      <w:pPr>
        <w:spacing w:after="80"/>
      </w:pPr>
    </w:p>
    <w:p>
      <w:pPr>
        <w:pStyle w:val="Heading2"/>
        <w:keepNext/>
        <w:spacing w:before="32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480" w:after="16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2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7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Abbr.</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Green Threshold</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(daysElapsed / totalDays)</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 per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(completedPoints / totalPoints)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&gt;= PV</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SUM(actEffort) x blendedRate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 &lt;= EV</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cost of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&gt;= 1.0</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 schedule slippage. SPI &gt; 1.0 =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3"/>
        <w:keepNext/>
        <w:spacing w:before="240" w:after="8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20" w:after="120"/>
      </w:pPr>
      <w:r>
        <w:rPr>
          <w:rFonts w:ascii="Segoe UI" w:hAnsi="Segoe UI"/>
          <w:color w:val="1E9ED5"/>
        </w:rPr>
        <w:t>7.2  Burn-Down &amp; Burn-Up Chart Rendering</w:t>
      </w:r>
    </w:p>
    <w:p>
      <w:pPr>
        <w:spacing w:before="0" w:after="120"/>
      </w:pPr>
      <w:r>
        <w:rPr>
          <w:rFonts w:ascii="Segoe UI" w:hAnsi="Segoe UI"/>
          <w:sz w:val="21"/>
        </w:rPr>
        <w:t>The widget renders four data series on a single canvas with a velocity-based projection cone:</w:t>
      </w:r>
    </w:p>
    <w:p>
      <w:pPr>
        <w:pStyle w:val="ListBullet"/>
        <w:spacing w:before="0" w:after="60"/>
        <w:ind w:left="360"/>
      </w:pPr>
      <w:r>
        <w:rPr>
          <w:rFonts w:ascii="Segoe UI" w:hAnsi="Segoe UI"/>
          <w:sz w:val="21"/>
        </w:rPr>
        <w:t>Actual Burndown (Red solid): Remaining effort each week up to Today, including fractional sub-task and screen completions.</w:t>
      </w:r>
    </w:p>
    <w:p>
      <w:pPr>
        <w:pStyle w:val="ListBullet"/>
        <w:spacing w:before="0" w:after="60"/>
        <w:ind w:left="360"/>
      </w:pPr>
      <w:r>
        <w:rPr>
          <w:rFonts w:ascii="Segoe UI" w:hAnsi="Segoe UI"/>
          <w:sz w:val="21"/>
        </w:rPr>
        <w:t>Ideal Burndown (Amber dashed): Linear target from total scope to zero remaining effort.</w:t>
      </w:r>
    </w:p>
    <w:p>
      <w:pPr>
        <w:pStyle w:val="ListBullet"/>
        <w:spacing w:before="0" w:after="60"/>
        <w:ind w:left="360"/>
      </w:pPr>
      <w:r>
        <w:rPr>
          <w:rFonts w:ascii="Segoe UI" w:hAnsi="Segoe UI"/>
          <w:sz w:val="21"/>
        </w:rPr>
        <w:t>Burn-Up (Green solid): Cumulative completed effort per week.</w:t>
      </w:r>
    </w:p>
    <w:p>
      <w:pPr>
        <w:pStyle w:val="ListBullet"/>
        <w:spacing w:before="0" w:after="60"/>
        <w:ind w:left="360"/>
      </w:pPr>
      <w:r>
        <w:rPr>
          <w:rFonts w:ascii="Segoe UI" w:hAnsi="Segoe UI"/>
          <w:sz w:val="21"/>
        </w:rPr>
        <w:t>Projection Cone (Red shaded zone): Optimistic (1.35x), Most-Likely (1.0x), and Pessimistic (0.65x) outcomes based on recent average velocity.</w:t>
      </w:r>
    </w:p>
    <w:p>
      <w:pPr>
        <w:spacing w:before="0" w:after="80"/>
      </w:pPr>
      <w:r>
        <w:rPr>
          <w:rFonts w:ascii="Segoe UI" w:hAnsi="Segoe UI"/>
          <w:sz w:val="21"/>
        </w:rPr>
        <w:t>Decomposed Sub-Task &amp; Screen-Aware Effort:</w:t>
      </w:r>
    </w:p>
    <w:p>
      <w:pPr>
        <w:pStyle w:val="ListBullet"/>
        <w:spacing w:before="0" w:after="60"/>
        <w:ind w:left="360"/>
      </w:pPr>
      <w:r>
        <w:rPr>
          <w:rFonts w:ascii="Segoe UI" w:hAnsi="Segoe UI"/>
          <w:sz w:val="21"/>
        </w:rPr>
        <w:t>Tasks without sub-tasks: Evaluated as a single binary unit.</w:t>
      </w:r>
    </w:p>
    <w:p>
      <w:pPr>
        <w:pStyle w:val="ListBullet"/>
        <w:spacing w:before="0" w:after="60"/>
        <w:ind w:left="360"/>
      </w:pPr>
      <w:r>
        <w:rPr>
          <w:rFonts w:ascii="Segoe UI" w:hAnsi="Segoe UI"/>
          <w:sz w:val="21"/>
        </w:rPr>
        <w:t>Tasks with sub-tasks: Effort is split proportionally. Screen sub-tasks use fractional progress (0-100%) for incremental completion.</w:t>
      </w:r>
    </w:p>
    <w:p>
      <w:pPr>
        <w:pStyle w:val="ListBullet"/>
        <w:spacing w:before="0" w:after="60"/>
        <w:ind w:left="360"/>
      </w:pPr>
      <w:r>
        <w:rPr>
          <w:rFonts w:ascii="Segoe UI" w:hAnsi="Segoe UI"/>
          <w:sz w:val="21"/>
        </w:rPr>
        <w:t>Module Filter: Interactive multi-select chip bar filters the task dataset and dynamically re-renders all series.</w:t>
      </w:r>
    </w:p>
    <w:p>
      <w:pPr>
        <w:pStyle w:val="Heading2"/>
        <w:keepNext/>
        <w:spacing w:before="32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This retrospective date resolution is essential for teams who log completed work after the fact. Without it, all activity would cluster on the log entry dates rather than the actual completion dates, producing misleading velocity data.</w:t>
            </w:r>
          </w:p>
        </w:tc>
      </w:tr>
    </w:tbl>
    <w:p>
      <w:pPr>
        <w:spacing w:after="80"/>
      </w:pPr>
    </w:p>
    <w:p>
      <w:r>
        <w:br w:type="page"/>
      </w:r>
    </w:p>
    <w:p>
      <w:pPr>
        <w:pStyle w:val="Heading1"/>
        <w:keepNext/>
        <w:spacing w:before="480" w:after="16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2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2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2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actCompletionDate = today. Log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(re-open)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actCompletionDate. Log re-open.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(re-activate)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bl>
    <w:p>
      <w:pPr>
        <w:spacing w:after="160"/>
      </w:pPr>
    </w:p>
    <w:p>
      <w:pPr>
        <w:pStyle w:val="Heading3"/>
        <w:keepNext/>
        <w:spacing w:before="240" w:after="8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2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2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2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2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480" w:after="16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2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Zoom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pixelsPerDay</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Visible Horizon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60px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 months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Month</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18 months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 years</w:t>
            </w:r>
          </w:p>
        </w:tc>
      </w:tr>
    </w:tbl>
    <w:p>
      <w:pPr>
        <w:spacing w:after="160"/>
      </w:pPr>
    </w:p>
    <w:p>
      <w:pPr>
        <w:pStyle w:val="Heading2"/>
        <w:keepNext/>
        <w:spacing w:before="32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240" w:after="8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215286"/>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2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Drag-reschedule modifies the live P.tasks schedule. Use Sandbox Mode to experiment safely before applying changes to the live plan.</w:t>
            </w:r>
          </w:p>
        </w:tc>
      </w:tr>
    </w:tbl>
    <w:p>
      <w:pPr>
        <w:spacing w:after="80"/>
      </w:pPr>
    </w:p>
    <w:p>
      <w:r>
        <w:br w:type="page"/>
      </w:r>
    </w:p>
    <w:p>
      <w:pPr>
        <w:pStyle w:val="Heading1"/>
        <w:keepNext/>
        <w:spacing w:before="480" w:after="16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2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2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20" w:after="120"/>
      </w:pPr>
      <w:r>
        <w:rPr>
          <w:rFonts w:ascii="Segoe UI" w:hAnsi="Segoe UI"/>
          <w:color w:val="1E9ED5"/>
        </w:rPr>
        <w:t>10.3  Heatmap Cell State Classification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Colour</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Label</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weeklyCapacity == 0 (leave recorded)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0h / 0h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&gt;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#7F1D1D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tasks or extend dates.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0.8 * capacity &lt;= allocation &lt;= capacity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14532D</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&lt; 0.7 *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assignments.</w:t>
            </w:r>
          </w:p>
        </w:tc>
      </w:tr>
    </w:tbl>
    <w:p>
      <w:pPr>
        <w:spacing w:after="160"/>
      </w:pPr>
    </w:p>
    <w:p>
      <w:pPr>
        <w:pStyle w:val="Heading2"/>
        <w:keepNext/>
        <w:spacing w:before="32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Conflict Type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Detection 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Over-Allocation</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weeklyAllocation(member, week) &gt; weeklyCapacity(member, week)</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Violation</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task.startDate &lt; predecessor.dueDate for any predecessor in task.dependsOn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Scheduling Gap</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task has no assignee and its start date is within 7 days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r>
    </w:tbl>
    <w:p>
      <w:pPr>
        <w:spacing w:after="160"/>
      </w:pPr>
    </w:p>
    <w:p>
      <w:pPr>
        <w:pStyle w:val="Heading2"/>
        <w:keepNext/>
        <w:spacing w:before="32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Post-condition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dependency violation (Task_A -&gt; Task_B overlap): set Task_B.startDate = Task_A.dueDate + 1 day. Recalculate Task_B.dueDate = Task_B.startDate + originalDuration.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in sandbox.</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Task_B starts after Task_A ends.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Role-matched member with spare capacity exists.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M's allocation drops below capacity.</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graph is acyclic.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dependent tasks are scheduled after their predecessors.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All Copilot resolutions are applied to P.sandboxTasks only. The Diagnostics panel shows the proposed changes in full before the user clicks Commit.</w:t>
            </w:r>
          </w:p>
        </w:tc>
      </w:tr>
    </w:tbl>
    <w:p>
      <w:pPr>
        <w:spacing w:after="80"/>
      </w:pPr>
    </w:p>
    <w:p>
      <w:pPr>
        <w:pStyle w:val="Heading3"/>
        <w:keepNext/>
        <w:spacing w:before="240" w:after="8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20" w:after="120"/>
      </w:pPr>
      <w:r>
        <w:rPr>
          <w:rFonts w:ascii="Segoe UI" w:hAnsi="Segoe UI"/>
          <w:color w:val="1E9ED5"/>
        </w:rPr>
        <w:t>10.6  Sandbox Lifecycle — State Machine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enables Sandbox toggle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Deep-clone P.tasks into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adjusts Capacity or Scope sliders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Mutations applied to P.sandboxTasks only.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runs Copilot resolver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mutations applied 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Commit Changes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Copy P.sandboxTasks to P.tasks. Log entry. Call save(). Set P.sandboxTasks=null.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Views revert to P.tasks.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All sandbox changes lost.</w:t>
            </w:r>
          </w:p>
        </w:tc>
      </w:tr>
    </w:tbl>
    <w:p>
      <w:pPr>
        <w:spacing w:after="160"/>
      </w:pPr>
    </w:p>
    <w:p>
      <w:r>
        <w:br w:type="page"/>
      </w:r>
    </w:p>
    <w:p>
      <w:pPr>
        <w:pStyle w:val="Heading1"/>
        <w:keepNext/>
        <w:spacing w:before="480" w:after="16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5_raid_register.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20" w:after="120"/>
      </w:pPr>
      <w:r>
        <w:rPr>
          <w:rFonts w:ascii="Segoe UI" w:hAnsi="Segoe UI"/>
          <w:color w:val="1E9ED5"/>
        </w:rPr>
        <w:t>11.1  Classification Model</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Who Raises It</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timeline, scope, or quality.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 / Analyst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current problem impacting timeline, scope, or budget.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with clear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vendor, or deliverable.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 / PM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Probability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Impact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r>
    </w:tbl>
    <w:p>
      <w:pPr>
        <w:spacing w:after="160"/>
      </w:pP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 Contributes -5% to Health Index.</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within 5 business days.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11.3  RAID Item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and mitigation plan 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Send notification to owner.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actions completed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status change. Recalculate Health Index.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Realized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event has occurred (for Risks)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Convert to Issue.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Effectiveness confirmed over 2+ weeks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Permanently archived.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proved ineffective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closedDate. Reassign owner. Log re-activation.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Item found invalid upon triage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closure.</w:t>
            </w:r>
          </w:p>
        </w:tc>
      </w:tr>
    </w:tbl>
    <w:p>
      <w:pPr>
        <w:spacing w:after="160"/>
      </w:pPr>
    </w:p>
    <w:p>
      <w:pPr>
        <w:pStyle w:val="Heading3"/>
        <w:keepNext/>
        <w:spacing w:before="240" w:after="8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215286"/>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2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W w:type="auto" w:w="0"/>
        <w:jc w:val="center"/>
        <w:tblLook w:firstColumn="1" w:firstRow="1" w:lastColumn="0" w:lastRow="0" w:noHBand="0" w:noVBand="1" w:val="04A0"/>
      </w:tblPr>
      <w:tblGrid>
        <w:gridCol w:w="8640"/>
      </w:tblGrid>
      <w:tr>
        <w:tc>
          <w:tcPr>
            <w:tcW w:type="dxa" w:w="8640"/>
            <w:shd w:val="clear" w:color="auto" w:fill="E8F5E9"/>
            <w:tcMar>
              <w:top w:w="120" w:type="dxa"/>
              <w:bottom w:w="120" w:type="dxa"/>
              <w:left w:w="180" w:type="dxa"/>
              <w:right w:w="180" w:type="dxa"/>
            </w:tcMar>
            <w:tcBorders>
              <w:top w:val="none"/>
              <w:bottom w:val="none"/>
              <w:left w:val="single" w:sz="28" w:color="2E7D32"/>
              <w:right w:val="none"/>
            </w:tcBorders>
          </w:tcPr>
          <w:p>
            <w:pPr>
              <w:spacing w:before="40" w:after="40" w:line="276" w:lineRule="auto"/>
            </w:pPr>
            <w:r>
              <w:rPr>
                <w:rFonts w:ascii="Segoe UI" w:hAnsi="Segoe UI"/>
                <w:b/>
                <w:color w:val="1B5E20"/>
                <w:sz w:val="19"/>
              </w:rPr>
              <w:t xml:space="preserve">🔒 CONSTRAINT  </w:t>
            </w:r>
          </w:p>
          <w:p>
            <w:pPr>
              <w:spacing w:before="40" w:after="40" w:line="276" w:lineRule="auto"/>
            </w:pPr>
            <w:r>
              <w:rPr>
                <w:rFonts w:ascii="Segoe UI" w:hAnsi="Segoe UI"/>
                <w:color w:val="1C1C1E"/>
                <w:sz w:val="19"/>
              </w:rPr>
              <w:t>Governance requirement: every Active RAID item must have an Owner, a Mitigation Strategy, and a Target Closure Date. The application enforces these three fields before allowing an item to transition from Identified to Active.</w:t>
            </w:r>
          </w:p>
        </w:tc>
      </w:tr>
    </w:tbl>
    <w:p>
      <w:pPr>
        <w:spacing w:after="80"/>
      </w:pPr>
    </w:p>
    <w:p>
      <w:r>
        <w:br w:type="page"/>
      </w:r>
    </w:p>
    <w:p>
      <w:pPr>
        <w:pStyle w:val="Heading1"/>
        <w:keepNext/>
        <w:spacing w:before="480" w:after="16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2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20" w:after="120"/>
      </w:pPr>
      <w:r>
        <w:rPr>
          <w:rFonts w:ascii="Segoe UI" w:hAnsi="Segoe UI"/>
          <w:color w:val="1E9ED5"/>
        </w:rPr>
        <w:t>12.2  Member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starts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set to 0 for leave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ends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restored to normal.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Other Assignment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temporarily reassigned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Scheduler capacity. Tasks remain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 Period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Resignation submitted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future task assignments in Copilot.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Employment ended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all capacity and assignment logic.</w:t>
            </w:r>
          </w:p>
        </w:tc>
      </w:tr>
    </w:tbl>
    <w:p>
      <w:pPr>
        <w:spacing w:after="160"/>
      </w:pPr>
    </w:p>
    <w:p>
      <w:pPr>
        <w:pStyle w:val="Heading2"/>
        <w:keepNext/>
        <w:spacing w:before="32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W w:type="auto" w:w="0"/>
        <w:jc w:val="center"/>
        <w:tblLook w:firstColumn="1" w:firstRow="1" w:lastColumn="0" w:lastRow="0" w:noHBand="0" w:noVBand="1" w:val="04A0"/>
      </w:tblPr>
      <w:tblGrid>
        <w:gridCol w:w="8640"/>
      </w:tblGrid>
      <w:tr>
        <w:tc>
          <w:tcPr>
            <w:tcW w:type="dxa" w:w="8640"/>
            <w:shd w:val="clear" w:color="auto" w:fill="E1F5FE"/>
            <w:tcMar>
              <w:top w:w="120" w:type="dxa"/>
              <w:bottom w:w="120" w:type="dxa"/>
              <w:left w:w="180" w:type="dxa"/>
              <w:right w:w="180" w:type="dxa"/>
            </w:tcMar>
            <w:tcBorders>
              <w:top w:val="none"/>
              <w:bottom w:val="none"/>
              <w:left w:val="single" w:sz="28" w:color="0277BD"/>
              <w:right w:val="none"/>
            </w:tcBorders>
          </w:tcPr>
          <w:p>
            <w:pPr>
              <w:spacing w:before="40" w:after="40" w:line="276" w:lineRule="auto"/>
            </w:pPr>
            <w:r>
              <w:rPr>
                <w:rFonts w:ascii="Segoe UI" w:hAnsi="Segoe UI"/>
                <w:b/>
                <w:color w:val="01579B"/>
                <w:sz w:val="19"/>
              </w:rPr>
              <w:t xml:space="preserve">🔌 INTEGRATION  </w:t>
            </w:r>
          </w:p>
          <w:p>
            <w:pPr>
              <w:spacing w:before="40" w:after="40" w:line="276" w:lineRule="auto"/>
            </w:pPr>
            <w:r>
              <w:rPr>
                <w:rFonts w:ascii="Segoe UI" w:hAnsi="Segoe UI"/>
                <w:color w:val="1C1C1E"/>
                <w:sz w:val="19"/>
              </w:rPr>
              <w:t>Role names are configured in Settings -&gt; Dropdown Manager -&gt; Role. Ensure role names are consistent across all member profiles for Copilot to function correctly.</w:t>
            </w:r>
          </w:p>
        </w:tc>
      </w:tr>
    </w:tbl>
    <w:p>
      <w:pPr>
        <w:spacing w:after="80"/>
      </w:pPr>
    </w:p>
    <w:p>
      <w:r>
        <w:br w:type="page"/>
      </w:r>
    </w:p>
    <w:p>
      <w:pPr>
        <w:pStyle w:val="Heading1"/>
        <w:keepNext/>
        <w:spacing w:before="480" w:after="16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20" w:after="120"/>
      </w:pPr>
      <w:r>
        <w:rPr>
          <w:rFonts w:ascii="Segoe UI" w:hAnsi="Segoe UI"/>
          <w:color w:val="1E9ED5"/>
        </w:rPr>
        <w:t>13.1  Severity Matrix &amp; SLA Targets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Index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High</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Medium</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20" w:after="120"/>
      </w:pPr>
      <w:r>
        <w:rPr>
          <w:rFonts w:ascii="Segoe UI" w:hAnsi="Segoe UI"/>
          <w:color w:val="1E9ED5"/>
        </w:rPr>
        <w:t>13.2  Defect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by Engineering Manager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assignee.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applies code fix</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SLA timer stops.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QA.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verifies fix is correct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Health penalty removed.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finds fix incomplete (re-open)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developer.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is by design or not reproducible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Investigation reveals non-defect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future release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release target.</w:t>
            </w:r>
          </w:p>
        </w:tc>
      </w:tr>
    </w:tbl>
    <w:p>
      <w:pPr>
        <w:spacing w:after="160"/>
      </w:pPr>
    </w:p>
    <w:p>
      <w:pPr>
        <w:pStyle w:val="Heading3"/>
        <w:keepNext/>
        <w:spacing w:before="240" w:after="8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3215286"/>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4"/>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2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480" w:after="16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2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240" w:after="8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215286"/>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6"/>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20" w:after="120"/>
      </w:pPr>
      <w:r>
        <w:rPr>
          <w:rFonts w:ascii="Segoe UI" w:hAnsi="Segoe UI"/>
          <w:color w:val="1E9ED5"/>
        </w:rPr>
        <w:t>14.2  Excel Workbook Architecture — 8 Sheets</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Live Formulas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description, settings, effort unit, last saved timestamp, file sync path.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all fields, baseline dates, variance calculations, slippage reasons.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roles, statuses, capacity parameters, leave records.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RAID items: type, exposure score, owner, mitigation, status lifecycle.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(exposure)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severity, priority, status, SLA, linked tasks, repro steps.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(SLA)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timestamps, users, actions, diff payloads.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14.3  Excel Cell Colour Coding Rules</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Background Hex</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Text Hex</w:t>
            </w:r>
          </w:p>
        </w:tc>
        <w:tc>
          <w:tcPr>
            <w:tcW w:type="dxa" w:w="417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When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#0F5132</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Completed / Closed / Mitigated / Low RAID exposure.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#664D03</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In Progress / Under Review / Medium risk / Deferred.</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#842029</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Blocked / Overdue / Critical risk / S1-S2 Defect.</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#6C757D</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Cancelled / Rejected / On Hold / Departed member.</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Excel cells in the Tasks sheet contain live formulas for Variance Days and Effort Variance. Stakeholders can modify the workbook after export without breaking these calculations.</w:t>
            </w:r>
          </w:p>
        </w:tc>
      </w:tr>
    </w:tbl>
    <w:p>
      <w:pPr>
        <w:spacing w:after="80"/>
      </w:pPr>
    </w:p>
    <w:p>
      <w:r>
        <w:br w:type="page"/>
      </w:r>
    </w:p>
    <w:p>
      <w:pPr>
        <w:pStyle w:val="Heading1"/>
        <w:keepNext/>
        <w:spacing w:before="480" w:after="16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accountability reporting and change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2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500-entry auto-pruning policy removes the oldest entries when the log exceeds 500 records. Export the log to Excel before reaching this limit if a permanent audit record is required.</w:t>
            </w:r>
          </w:p>
        </w:tc>
      </w:tr>
    </w:tbl>
    <w:p>
      <w:pPr>
        <w:spacing w:after="80"/>
      </w:pPr>
    </w:p>
    <w:p>
      <w:pPr>
        <w:pStyle w:val="Heading2"/>
        <w:keepNext/>
        <w:spacing w:before="320" w:after="120"/>
      </w:pPr>
      <w:r>
        <w:rPr>
          <w:rFonts w:ascii="Segoe UI" w:hAnsi="Segoe UI"/>
          <w:color w:val="1E9ED5"/>
        </w:rPr>
        <w:t>15.2  State Reconstruction Workflow</w:t>
      </w:r>
    </w:p>
    <w:p>
      <w:pPr>
        <w:spacing w:before="0" w:after="120"/>
      </w:pPr>
      <w:r>
        <w:rPr>
          <w:rFonts w:ascii="Segoe UI" w:hAnsi="Segoe UI"/>
          <w:sz w:val="21"/>
        </w:rPr>
        <w:t>The Audit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rFonts w:ascii="Segoe UI" w:hAnsi="Segoe UI"/>
          <w:sz w:val="21"/>
        </w:rPr>
        <w:t>Identify the target entity and the historical timestamp when the incorrect change occurred.</w:t>
      </w:r>
    </w:p>
    <w:p>
      <w:pPr>
        <w:pStyle w:val="ListNumber"/>
        <w:spacing w:before="0" w:after="60"/>
      </w:pPr>
      <w:r>
        <w:rPr>
          <w:rFonts w:ascii="Segoe UI" w:hAnsi="Segoe UI"/>
          <w:sz w:val="21"/>
        </w:rPr>
        <w:t>Locate the corresponding log entry containing the before/after details.</w:t>
      </w:r>
    </w:p>
    <w:p>
      <w:pPr>
        <w:pStyle w:val="ListNumber"/>
        <w:spacing w:before="0" w:after="60"/>
      </w:pPr>
      <w:r>
        <w:rPr>
          <w:rFonts w:ascii="Segoe UI" w:hAnsi="Segoe UI"/>
          <w:sz w:val="21"/>
        </w:rPr>
        <w:t>Review the 'Old Value' in the diff details to find the original state of the field.</w:t>
      </w:r>
    </w:p>
    <w:p>
      <w:pPr>
        <w:pStyle w:val="ListNumber"/>
        <w:spacing w:before="0" w:after="60"/>
      </w:pPr>
      <w:r>
        <w:rPr>
          <w:rFonts w:ascii="Segoe UI" w:hAnsi="Segoe UI"/>
          <w:sz w:val="21"/>
        </w:rPr>
        <w:t>Manually edit the target entity using the inline editing tables or flyout edit views to restore the previous value.</w:t>
      </w:r>
    </w:p>
    <w:p>
      <w:r>
        <w:br w:type="page"/>
      </w:r>
    </w:p>
    <w:p>
      <w:pPr>
        <w:pStyle w:val="Heading1"/>
        <w:keepNext/>
        <w:spacing w:before="480" w:after="16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20" w:after="120"/>
      </w:pPr>
      <w:r>
        <w:rPr>
          <w:rFonts w:ascii="Segoe UI" w:hAnsi="Segoe UI"/>
          <w:color w:val="1E9ED5"/>
        </w:rPr>
        <w:t>16.1  Three Date Set Model</w:t>
      </w:r>
    </w:p>
    <w:tbl>
      <w:tblPr>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Task Fields</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Lifecycle</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 during execution</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target dates that resources work towards.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at capture; updated at each new snapshot</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reference for variance calculation.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when task is completed</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completion dates used for EVM and velocity reporting.</w:t>
            </w:r>
          </w:p>
        </w:tc>
      </w:tr>
    </w:tbl>
    <w:p>
      <w:pPr>
        <w:spacing w:after="160"/>
      </w:pPr>
    </w:p>
    <w:p>
      <w:pPr>
        <w:pStyle w:val="Heading2"/>
        <w:keepNext/>
        <w:spacing w:before="32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2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2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 restore operation overwrites all current planned dates. Always capture a 'Current State' snapshot before restoring a historical baseline, so you can return to the pre-restore position if needed.</w:t>
            </w:r>
          </w:p>
        </w:tc>
      </w:tr>
    </w:tbl>
    <w:p>
      <w:pPr>
        <w:spacing w:after="80"/>
      </w:pPr>
    </w:p>
    <w:p>
      <w:pPr>
        <w:pStyle w:val="Heading3"/>
        <w:keepNext/>
        <w:spacing w:before="240" w:after="8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215286"/>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8"/>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480" w:after="16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2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the old value will not appear as a selectable option for new assignments.</w:t>
            </w:r>
          </w:p>
        </w:tc>
      </w:tr>
    </w:tbl>
    <w:p>
      <w:pPr>
        <w:spacing w:after="80"/>
      </w:pPr>
    </w:p>
    <w:p>
      <w:pPr>
        <w:pStyle w:val="Heading2"/>
        <w:keepNext/>
        <w:spacing w:before="32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Supported Types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Number, Date, Dropdown (with custom option list), Checkbox</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are defined independently for Tasks and for Defects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appear as additional columns in Delivery Matrix and Defect Tracker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Persistence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values stored in task.customFields[fieldId] = 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columns are included in the Tasks and Defects sheets of the Excel workbook</w:t>
            </w:r>
          </w:p>
        </w:tc>
      </w:tr>
    </w:tbl>
    <w:p>
      <w:pPr>
        <w:spacing w:after="160"/>
      </w:pPr>
    </w:p>
    <w:p>
      <w:pPr>
        <w:pStyle w:val="Heading2"/>
        <w:keepNext/>
        <w:spacing w:before="32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spacing w:before="240" w:after="80"/>
        <w:jc w:val="left"/>
      </w:pPr>
      <w:r>
        <w:rPr>
          <w:rFonts w:ascii="Segoe UI" w:hAnsi="Segoe UI"/>
          <w:b/>
          <w:color w:val="00C2A8"/>
          <w:sz w:val="24"/>
        </w:rPr>
        <w:t>PART III</w:t>
      </w:r>
    </w:p>
    <w:p>
      <w:pPr>
        <w:spacing w:before="80" w:after="240"/>
        <w:jc w:val="left"/>
      </w:pPr>
      <w:r>
        <w:rPr>
          <w:rFonts w:ascii="Segoe UI" w:hAnsi="Segoe UI"/>
          <w:b/>
          <w:color w:val="0D1B2A"/>
          <w:sz w:val="56"/>
        </w:rPr>
        <w:t>Cross-Cutting Concerns</w:t>
      </w:r>
    </w:p>
    <w:p>
      <w:pPr>
        <w:pBdr>
          <w:bottom w:val="single" w:sz="18" w:space="1" w:color="00C2A8"/>
        </w:pBdr>
        <w:spacing w:before="0" w:after="160"/>
      </w:pPr>
    </w:p>
    <w:p>
      <w:r>
        <w:br/>
      </w:r>
    </w:p>
    <w:p>
      <w:pPr>
        <w:spacing w:before="120" w:after="240"/>
        <w:jc w:val="left"/>
      </w:pPr>
      <w:r>
        <w:rPr>
          <w:rFonts w:ascii="Segoe UI" w:hAnsi="Segoe UI"/>
          <w:i/>
          <w:color w:val="6C757D"/>
          <w:sz w:val="22"/>
        </w:rPr>
        <w:t>Security, performance limits, browser compatibility, and error handling.</w:t>
      </w:r>
    </w:p>
    <w:p>
      <w:r>
        <w:br w:type="page"/>
      </w:r>
    </w:p>
    <w:p>
      <w:pPr>
        <w:pStyle w:val="Heading1"/>
        <w:keepNext/>
        <w:spacing w:before="480" w:after="16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Organizations with sensitive project data should ensure the projectpulse.html file is served from a secure, access-controlled web server rather than opened directly from the filesystem if multiple users share a device.</w:t>
            </w:r>
          </w:p>
        </w:tc>
      </w:tr>
    </w:tbl>
    <w:p>
      <w:pPr>
        <w:spacing w:after="80"/>
      </w:pPr>
    </w:p>
    <w:p>
      <w:pPr>
        <w:pStyle w:val="Heading1"/>
        <w:keepNext/>
        <w:spacing w:before="360" w:after="160"/>
      </w:pPr>
      <w:r>
        <w:rPr>
          <w:rFonts w:ascii="Segoe UI" w:hAnsi="Segoe UI"/>
          <w:color w:val="0D1B2A"/>
        </w:rPr>
        <w:t>19  Performance &amp; Scalability Limits</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Resource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Practical Limit</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Technical Reason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 to 500 tasks recommended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5MB cap. Above 500 tasks with full logs may approach limit.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500 entries (auto-pruned)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 cap enforced in code. Older entries removed when limit reached.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Each baseline snapshot stores per-task date triples. 20 baselines x 500 tasks = ~1MB.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Members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 (50 practical)</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grid becomes unwieldy beyond ~50 rows.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 Performance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Smooth up to ~300 tasks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DOM virtualisation not implemented. Above 300 rows may cause perceptible render lag.</w:t>
            </w:r>
          </w:p>
        </w:tc>
      </w:tr>
    </w:tbl>
    <w:p>
      <w:pPr>
        <w:spacing w:after="160"/>
      </w:pPr>
    </w:p>
    <w:p>
      <w:pPr>
        <w:pStyle w:val="Heading1"/>
        <w:keepNext/>
        <w:spacing w:before="360" w:after="160"/>
      </w:pPr>
      <w:r>
        <w:rPr>
          <w:rFonts w:ascii="Segoe UI" w:hAnsi="Segoe UI"/>
          <w:color w:val="0D1B2A"/>
        </w:rPr>
        <w:t>20  Browser Compatibility Matrix</w:t>
      </w:r>
    </w:p>
    <w:p>
      <w:pPr>
        <w:pBdr>
          <w:bottom w:val="single" w:sz="6" w:space="1" w:color="00C2A8"/>
        </w:pBdr>
        <w:spacing w:before="0" w:after="120"/>
      </w:pP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Browser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Minimum Version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Full Support</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File Sync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Google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Edge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Mozilla Firefox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115+</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r>
        <w:br w:type="page"/>
      </w:r>
    </w:p>
    <w:p>
      <w:r>
        <w:br w:type="page"/>
      </w:r>
    </w:p>
    <w:p>
      <w:r>
        <w:br/>
        <w:br/>
        <w:br/>
        <w:br/>
      </w:r>
    </w:p>
    <w:p>
      <w:pPr>
        <w:spacing w:before="240" w:after="80"/>
        <w:jc w:val="left"/>
      </w:pPr>
      <w:r>
        <w:rPr>
          <w:rFonts w:ascii="Segoe UI" w:hAnsi="Segoe UI"/>
          <w:b/>
          <w:color w:val="00C2A8"/>
          <w:sz w:val="24"/>
        </w:rPr>
        <w:t>APPENDICES</w:t>
      </w:r>
    </w:p>
    <w:p>
      <w:pPr>
        <w:spacing w:before="80" w:after="240"/>
        <w:jc w:val="left"/>
      </w:pPr>
      <w:r>
        <w:rPr>
          <w:rFonts w:ascii="Segoe UI" w:hAnsi="Segoe UI"/>
          <w:b/>
          <w:color w:val="0D1B2A"/>
          <w:sz w:val="56"/>
        </w:rPr>
        <w:t>Reference Material</w:t>
      </w:r>
    </w:p>
    <w:p>
      <w:pPr>
        <w:pBdr>
          <w:bottom w:val="single" w:sz="18" w:space="1" w:color="00C2A8"/>
        </w:pBdr>
        <w:spacing w:before="0" w:after="160"/>
      </w:pPr>
    </w:p>
    <w:p>
      <w:r>
        <w:br/>
      </w:r>
    </w:p>
    <w:p>
      <w:pPr>
        <w:spacing w:before="120" w:after="240"/>
        <w:jc w:val="left"/>
      </w:pPr>
      <w:r>
        <w:rPr>
          <w:rFonts w:ascii="Segoe UI" w:hAnsi="Segoe UI"/>
          <w:i/>
          <w:color w:val="6C757D"/>
          <w:sz w:val="22"/>
        </w:rPr>
        <w:t>Keyboard shortcuts, formula reference, and glossary.</w:t>
      </w:r>
    </w:p>
    <w:p>
      <w:r>
        <w:br w:type="page"/>
      </w:r>
    </w:p>
    <w:p>
      <w:pPr>
        <w:pStyle w:val="Heading1"/>
        <w:keepNext/>
        <w:spacing w:before="480" w:after="160"/>
      </w:pPr>
      <w:r>
        <w:rPr>
          <w:rFonts w:ascii="Segoe UI" w:hAnsi="Segoe UI"/>
          <w:color w:val="0D1B2A"/>
        </w:rPr>
        <w:t>Appendix A — Keyboard Shortcuts Reference</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4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cell edit.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grid cells.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row.</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Formula Reference Card</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54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Reference</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 100 - (Overdue/Active*50) - (Blocked/Active*30) - (OnHold/Active*20) - (critRaids*5) - (s1*10) - (s2*5)</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Confidence = MIN(100, MAX(30, velocity*weeksRemaining/remainingPoints*100))</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6.2</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arcAngle = healthIndex/100*270</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Gauge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6.4</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 = totalBudget * (daysElapsed/totalDays)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totalBudget * (completedPoints/totalPoints)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 EV - PV</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 EV / PV</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complexityPoints = estEffort * complexityFactor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8.4</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parentProgress = SUM(st.progress * st.effort) / SUM(st.effort)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8.5</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 hoursPerDay * daysPerWeek * utilisationRate - leaveHours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10.1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 = probability_int * impact_int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11.2</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healthDefectPenalty = s1*10 + s2*5 + s3*2 + s4*0.5</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13.1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varianceDays = dueDate - baselineDueDate</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effortVariance = estEffort - baselineEffort</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bl>
    <w:p>
      <w:pPr>
        <w:spacing w:after="160"/>
      </w:pPr>
    </w:p>
    <w:p>
      <w:pPr>
        <w:pStyle w:val="Heading1"/>
        <w:keepNext/>
        <w:spacing w:before="480" w:after="160"/>
      </w:pPr>
      <w:r>
        <w:rPr>
          <w:rFonts w:ascii="Segoe UI" w:hAnsi="Segoe UI"/>
          <w:color w:val="0D1B2A"/>
        </w:rPr>
        <w:t>Appendix C — Glossary</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pPr>
        <w:pStyle w:val="Heading1"/>
        <w:keepNext/>
        <w:spacing w:before="480" w:after="160"/>
      </w:pPr>
      <w:r>
        <w:rPr>
          <w:rFonts w:ascii="Segoe UI" w:hAnsi="Segoe UI"/>
          <w:color w:val="0D1B2A"/>
        </w:rPr>
        <w:t>Appendix D — Project Intelligence &amp; Training Resources</w:t>
      </w:r>
    </w:p>
    <w:p>
      <w:pPr>
        <w:pBdr>
          <w:bottom w:val="single" w:sz="6" w:space="1" w:color="00C2A8"/>
        </w:pBdr>
        <w:spacing w:before="0" w:after="120"/>
      </w:pPr>
    </w:p>
    <w:p>
      <w:pPr>
        <w:pStyle w:val="Heading2"/>
        <w:keepNext/>
        <w:spacing w:before="320" w:after="120"/>
      </w:pPr>
      <w:r>
        <w:rPr>
          <w:rFonts w:ascii="Segoe UI" w:hAnsi="Segoe UI"/>
          <w:color w:val="1E9ED5"/>
        </w:rPr>
        <w:t>D.1  Interactive Workstation Blueprint</w:t>
      </w:r>
    </w:p>
    <w:p>
      <w:pPr>
        <w:spacing w:before="0" w:after="160"/>
      </w:pPr>
      <w:r>
        <w:rPr>
          <w:rFonts w:ascii="Segoe UI" w:hAnsi="Segoe UI"/>
          <w:sz w:val="21"/>
        </w:rPr>
        <w:t>The ProjectPulse Interactive Workstation is designed as a browser-native operational dashboard. The blueprint below shows the complete structural topology of the user interface components and how they tie into the client-side Nexus Theme Engine.</w:t>
      </w:r>
    </w:p>
    <w:p>
      <w:pPr>
        <w:spacing w:before="160" w:after="0"/>
        <w:jc w:val="center"/>
      </w:pPr>
      <w:r>
        <w:drawing>
          <wp:inline xmlns:a="http://schemas.openxmlformats.org/drawingml/2006/main" xmlns:pic="http://schemas.openxmlformats.org/drawingml/2006/picture">
            <wp:extent cx="5760720" cy="3215286"/>
            <wp:docPr id="21" name="Picture 21"/>
            <wp:cNvGraphicFramePr>
              <a:graphicFrameLocks noChangeAspect="1"/>
            </wp:cNvGraphicFramePr>
            <a:graphic>
              <a:graphicData uri="http://schemas.openxmlformats.org/drawingml/2006/picture">
                <pic:pic>
                  <pic:nvPicPr>
                    <pic:cNvPr id="0" name="project_management_workstation_blueprint.png"/>
                    <pic:cNvPicPr/>
                  </pic:nvPicPr>
                  <pic:blipFill>
                    <a:blip r:embed="rId3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D.1 — ProjectPulse Client-Side Workstation Blueprint &amp; Component Topology</w:t>
      </w:r>
    </w:p>
    <w:p>
      <w:pPr>
        <w:pStyle w:val="Heading2"/>
        <w:keepNext/>
        <w:spacing w:before="320" w:after="120"/>
      </w:pPr>
      <w:r>
        <w:rPr>
          <w:rFonts w:ascii="Segoe UI" w:hAnsi="Segoe UI"/>
          <w:color w:val="1E9ED5"/>
        </w:rPr>
        <w:t>D.2  Client-Side Schema &amp; Feature Ecosystem Mind Map</w:t>
      </w:r>
    </w:p>
    <w:p>
      <w:pPr>
        <w:spacing w:before="0" w:after="160"/>
      </w:pPr>
      <w:r>
        <w:rPr>
          <w:rFonts w:ascii="Segoe UI" w:hAnsi="Segoe UI"/>
          <w:sz w:val="21"/>
        </w:rPr>
        <w:t>The mind map below maps out the functional ecosystem of ProjectPulse. It illustrates how individual features (Tasks, RAID Register, Defect Tracking, and Capacity Analytics) intersect with the client-side data schemas and the local-first storage architecture.</w:t>
      </w:r>
    </w:p>
    <w:p>
      <w:pPr>
        <w:spacing w:before="160" w:after="0"/>
        <w:jc w:val="center"/>
      </w:pPr>
      <w:r>
        <w:drawing>
          <wp:inline xmlns:a="http://schemas.openxmlformats.org/drawingml/2006/main" xmlns:pic="http://schemas.openxmlformats.org/drawingml/2006/picture">
            <wp:extent cx="5760720" cy="3215286"/>
            <wp:docPr id="22" name="Picture 22"/>
            <wp:cNvGraphicFramePr>
              <a:graphicFrameLocks noChangeAspect="1"/>
            </wp:cNvGraphicFramePr>
            <a:graphic>
              <a:graphicData uri="http://schemas.openxmlformats.org/drawingml/2006/picture">
                <pic:pic>
                  <pic:nvPicPr>
                    <pic:cNvPr id="0" name="notebook_llm_mind_map.png"/>
                    <pic:cNvPicPr/>
                  </pic:nvPicPr>
                  <pic:blipFill>
                    <a:blip r:embed="rId3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D.2 — Software Delivery Ecosystem &amp; Data Schema Mind Map</w:t>
      </w:r>
    </w:p>
    <w:p>
      <w:pPr>
        <w:pStyle w:val="Heading2"/>
        <w:keepNext/>
        <w:spacing w:before="320" w:after="120"/>
      </w:pPr>
      <w:r>
        <w:rPr>
          <w:rFonts w:ascii="Segoe UI" w:hAnsi="Segoe UI"/>
          <w:color w:val="1E9ED5"/>
        </w:rPr>
        <w:t>D.3  Product Pitch &amp; Training Slide Deck Outline</w:t>
      </w:r>
    </w:p>
    <w:p>
      <w:pPr>
        <w:spacing w:before="0" w:after="120"/>
      </w:pPr>
      <w:r>
        <w:rPr>
          <w:rFonts w:ascii="Segoe UI" w:hAnsi="Segoe UI"/>
          <w:sz w:val="21"/>
        </w:rPr>
        <w:t>To facilitate rapid onboarding of team members and stakeholders, ProjectPulse includes a comprehensive, slide-by-slide training presentation (ProjectPulse_Intelligence_Workstation.pptx) stored inside the project folder. Below is the detailed structural outline of the slide deck:</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&amp; Presentation Outline</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