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&amp; User Manual</w:t>
      </w:r>
    </w:p>
    <w:p>
      <w:r>
        <w:br/>
      </w:r>
    </w:p>
    <w:p>
      <w:pPr>
        <w:jc w:val="center"/>
      </w:pPr>
      <w:r>
        <w:rPr>
          <w:color w:val="00C2A8"/>
          <w:sz w:val="24"/>
        </w:rPr>
        <w:t>────────────────────────────────────────────────────────────</w:t>
      </w:r>
    </w:p>
    <w:p>
      <w:r>
        <w:br/>
      </w:r>
    </w:p>
    <w:p>
      <w:pPr>
        <w:jc w:val="center"/>
      </w:pPr>
      <w:r>
        <w:rPr>
          <w:color w:val="6C757D"/>
          <w:sz w:val="26"/>
        </w:rPr>
        <w:t>The definitive functional reference guide covering every module, feature,</w:t>
        <w:br/>
        <w:t>workflow, and configuration option in the ProjectPulse workstation.</w:t>
      </w:r>
    </w:p>
    <w:p>
      <w:r>
        <w:b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&amp; User Manual</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Project Leads · Executives · Developers · QA Engineers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21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Use — Commercial in Confidence</w:t>
            </w:r>
          </w:p>
        </w:tc>
      </w:tr>
    </w:tbl>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576"/>
            <w:shd w:val="clear" w:color="auto" w:fill="F4F7FA"/>
          </w:tcPr>
          <w:p>
            <w:r>
              <w:rPr>
                <w:b/>
                <w:color w:val="00C2A8"/>
                <w:sz w:val="20"/>
              </w:rPr>
              <w:t>1</w:t>
            </w:r>
          </w:p>
        </w:tc>
        <w:tc>
          <w:tcPr>
            <w:tcW w:type="dxa" w:w="7776"/>
            <w:shd w:val="clear" w:color="auto" w:fill="F4F7FA"/>
          </w:tcPr>
          <w:p>
            <w:r>
              <w:rPr>
                <w:sz w:val="21"/>
              </w:rPr>
              <w:t>Executive Overview Dashboard</w:t>
            </w:r>
          </w:p>
        </w:tc>
        <w:tc>
          <w:tcPr>
            <w:tcW w:type="dxa" w:w="864"/>
            <w:shd w:val="clear" w:color="auto" w:fill="F4F7FA"/>
          </w:tcPr>
          <w:p>
            <w:pPr>
              <w:jc w:val="right"/>
            </w:pPr>
            <w:r>
              <w:rPr>
                <w:color w:val="6C757D"/>
                <w:sz w:val="20"/>
              </w:rPr>
              <w:t>5</w:t>
            </w:r>
          </w:p>
        </w:tc>
      </w:tr>
      <w:tr>
        <w:tc>
          <w:tcPr>
            <w:tcW w:type="dxa" w:w="576"/>
            <w:shd w:val="clear" w:color="auto" w:fill="FFFFFF"/>
          </w:tcPr>
          <w:p>
            <w:r>
              <w:rPr>
                <w:b/>
                <w:color w:val="00C2A8"/>
                <w:sz w:val="20"/>
              </w:rPr>
              <w:t>2</w:t>
            </w:r>
          </w:p>
        </w:tc>
        <w:tc>
          <w:tcPr>
            <w:tcW w:type="dxa" w:w="7776"/>
            <w:shd w:val="clear" w:color="auto" w:fill="FFFFFF"/>
          </w:tcPr>
          <w:p>
            <w:r>
              <w:rPr>
                <w:sz w:val="21"/>
              </w:rPr>
              <w:t>Live Project Insights &amp; Analytics</w:t>
            </w:r>
          </w:p>
        </w:tc>
        <w:tc>
          <w:tcPr>
            <w:tcW w:type="dxa" w:w="864"/>
            <w:shd w:val="clear" w:color="auto" w:fill="FFFFFF"/>
          </w:tcPr>
          <w:p>
            <w:pPr>
              <w:jc w:val="right"/>
            </w:pPr>
            <w:r>
              <w:rPr>
                <w:color w:val="6C757D"/>
                <w:sz w:val="20"/>
              </w:rPr>
              <w:t>10</w:t>
            </w:r>
          </w:p>
        </w:tc>
      </w:tr>
      <w:tr>
        <w:tc>
          <w:tcPr>
            <w:tcW w:type="dxa" w:w="576"/>
            <w:shd w:val="clear" w:color="auto" w:fill="F4F7FA"/>
          </w:tcPr>
          <w:p>
            <w:r>
              <w:rPr>
                <w:b/>
                <w:color w:val="00C2A8"/>
                <w:sz w:val="20"/>
              </w:rPr>
              <w:t>3</w:t>
            </w:r>
          </w:p>
        </w:tc>
        <w:tc>
          <w:tcPr>
            <w:tcW w:type="dxa" w:w="7776"/>
            <w:shd w:val="clear" w:color="auto" w:fill="F4F7FA"/>
          </w:tcPr>
          <w:p>
            <w:r>
              <w:rPr>
                <w:sz w:val="21"/>
              </w:rPr>
              <w:t>Hierarchical Delivery Matrix</w:t>
            </w:r>
          </w:p>
        </w:tc>
        <w:tc>
          <w:tcPr>
            <w:tcW w:type="dxa" w:w="864"/>
            <w:shd w:val="clear" w:color="auto" w:fill="F4F7FA"/>
          </w:tcPr>
          <w:p>
            <w:pPr>
              <w:jc w:val="right"/>
            </w:pPr>
            <w:r>
              <w:rPr>
                <w:color w:val="6C757D"/>
                <w:sz w:val="20"/>
              </w:rPr>
              <w:t>15</w:t>
            </w:r>
          </w:p>
        </w:tc>
      </w:tr>
      <w:tr>
        <w:tc>
          <w:tcPr>
            <w:tcW w:type="dxa" w:w="576"/>
            <w:shd w:val="clear" w:color="auto" w:fill="FFFFFF"/>
          </w:tcPr>
          <w:p>
            <w:r>
              <w:rPr>
                <w:b/>
                <w:color w:val="00C2A8"/>
                <w:sz w:val="20"/>
              </w:rPr>
              <w:t>4</w:t>
            </w:r>
          </w:p>
        </w:tc>
        <w:tc>
          <w:tcPr>
            <w:tcW w:type="dxa" w:w="7776"/>
            <w:shd w:val="clear" w:color="auto" w:fill="FFFFFF"/>
          </w:tcPr>
          <w:p>
            <w:r>
              <w:rPr>
                <w:sz w:val="21"/>
              </w:rPr>
              <w:t>Gantt Timeline &amp; Dependency Management</w:t>
            </w:r>
          </w:p>
        </w:tc>
        <w:tc>
          <w:tcPr>
            <w:tcW w:type="dxa" w:w="864"/>
            <w:shd w:val="clear" w:color="auto" w:fill="FFFFFF"/>
          </w:tcPr>
          <w:p>
            <w:pPr>
              <w:jc w:val="right"/>
            </w:pPr>
            <w:r>
              <w:rPr>
                <w:color w:val="6C757D"/>
                <w:sz w:val="20"/>
              </w:rPr>
              <w:t>22</w:t>
            </w:r>
          </w:p>
        </w:tc>
      </w:tr>
      <w:tr>
        <w:tc>
          <w:tcPr>
            <w:tcW w:type="dxa" w:w="576"/>
            <w:shd w:val="clear" w:color="auto" w:fill="F4F7FA"/>
          </w:tcPr>
          <w:p>
            <w:r>
              <w:rPr>
                <w:b/>
                <w:color w:val="00C2A8"/>
                <w:sz w:val="20"/>
              </w:rPr>
              <w:t>5</w:t>
            </w:r>
          </w:p>
        </w:tc>
        <w:tc>
          <w:tcPr>
            <w:tcW w:type="dxa" w:w="7776"/>
            <w:shd w:val="clear" w:color="auto" w:fill="F4F7FA"/>
          </w:tcPr>
          <w:p>
            <w:r>
              <w:rPr>
                <w:sz w:val="21"/>
              </w:rPr>
              <w:t>Intelligent Weekly Scheduler &amp; Conflict Resolver</w:t>
            </w:r>
          </w:p>
        </w:tc>
        <w:tc>
          <w:tcPr>
            <w:tcW w:type="dxa" w:w="864"/>
            <w:shd w:val="clear" w:color="auto" w:fill="F4F7FA"/>
          </w:tcPr>
          <w:p>
            <w:pPr>
              <w:jc w:val="right"/>
            </w:pPr>
            <w:r>
              <w:rPr>
                <w:color w:val="6C757D"/>
                <w:sz w:val="20"/>
              </w:rPr>
              <w:t>28</w:t>
            </w:r>
          </w:p>
        </w:tc>
      </w:tr>
      <w:tr>
        <w:tc>
          <w:tcPr>
            <w:tcW w:type="dxa" w:w="576"/>
            <w:shd w:val="clear" w:color="auto" w:fill="FFFFFF"/>
          </w:tcPr>
          <w:p>
            <w:r>
              <w:rPr>
                <w:b/>
                <w:color w:val="00C2A8"/>
                <w:sz w:val="20"/>
              </w:rPr>
              <w:t>6</w:t>
            </w:r>
          </w:p>
        </w:tc>
        <w:tc>
          <w:tcPr>
            <w:tcW w:type="dxa" w:w="7776"/>
            <w:shd w:val="clear" w:color="auto" w:fill="FFFFFF"/>
          </w:tcPr>
          <w:p>
            <w:r>
              <w:rPr>
                <w:sz w:val="21"/>
              </w:rPr>
              <w:t>Unified RAID Register</w:t>
            </w:r>
          </w:p>
        </w:tc>
        <w:tc>
          <w:tcPr>
            <w:tcW w:type="dxa" w:w="864"/>
            <w:shd w:val="clear" w:color="auto" w:fill="FFFFFF"/>
          </w:tcPr>
          <w:p>
            <w:pPr>
              <w:jc w:val="right"/>
            </w:pPr>
            <w:r>
              <w:rPr>
                <w:color w:val="6C757D"/>
                <w:sz w:val="20"/>
              </w:rPr>
              <w:t>35</w:t>
            </w:r>
          </w:p>
        </w:tc>
      </w:tr>
      <w:tr>
        <w:tc>
          <w:tcPr>
            <w:tcW w:type="dxa" w:w="576"/>
            <w:shd w:val="clear" w:color="auto" w:fill="F4F7FA"/>
          </w:tcPr>
          <w:p>
            <w:r>
              <w:rPr>
                <w:b/>
                <w:color w:val="00C2A8"/>
                <w:sz w:val="20"/>
              </w:rPr>
              <w:t>7</w:t>
            </w:r>
          </w:p>
        </w:tc>
        <w:tc>
          <w:tcPr>
            <w:tcW w:type="dxa" w:w="7776"/>
            <w:shd w:val="clear" w:color="auto" w:fill="F4F7FA"/>
          </w:tcPr>
          <w:p>
            <w:r>
              <w:rPr>
                <w:sz w:val="21"/>
              </w:rPr>
              <w:t>Team Capacity Hub &amp; Role Management</w:t>
            </w:r>
          </w:p>
        </w:tc>
        <w:tc>
          <w:tcPr>
            <w:tcW w:type="dxa" w:w="864"/>
            <w:shd w:val="clear" w:color="auto" w:fill="F4F7FA"/>
          </w:tcPr>
          <w:p>
            <w:pPr>
              <w:jc w:val="right"/>
            </w:pPr>
            <w:r>
              <w:rPr>
                <w:color w:val="6C757D"/>
                <w:sz w:val="20"/>
              </w:rPr>
              <w:t>41</w:t>
            </w:r>
          </w:p>
        </w:tc>
      </w:tr>
      <w:tr>
        <w:tc>
          <w:tcPr>
            <w:tcW w:type="dxa" w:w="576"/>
            <w:shd w:val="clear" w:color="auto" w:fill="FFFFFF"/>
          </w:tcPr>
          <w:p>
            <w:r>
              <w:rPr>
                <w:b/>
                <w:color w:val="00C2A8"/>
                <w:sz w:val="20"/>
              </w:rPr>
              <w:t>8</w:t>
            </w:r>
          </w:p>
        </w:tc>
        <w:tc>
          <w:tcPr>
            <w:tcW w:type="dxa" w:w="7776"/>
            <w:shd w:val="clear" w:color="auto" w:fill="FFFFFF"/>
          </w:tcPr>
          <w:p>
            <w:r>
              <w:rPr>
                <w:sz w:val="21"/>
              </w:rPr>
              <w:t>Defect Tracker &amp; Bug Lifecycle</w:t>
            </w:r>
          </w:p>
        </w:tc>
        <w:tc>
          <w:tcPr>
            <w:tcW w:type="dxa" w:w="864"/>
            <w:shd w:val="clear" w:color="auto" w:fill="FFFFFF"/>
          </w:tcPr>
          <w:p>
            <w:pPr>
              <w:jc w:val="right"/>
            </w:pPr>
            <w:r>
              <w:rPr>
                <w:color w:val="6C757D"/>
                <w:sz w:val="20"/>
              </w:rPr>
              <w:t>46</w:t>
            </w:r>
          </w:p>
        </w:tc>
      </w:tr>
      <w:tr>
        <w:tc>
          <w:tcPr>
            <w:tcW w:type="dxa" w:w="576"/>
            <w:shd w:val="clear" w:color="auto" w:fill="F4F7FA"/>
          </w:tcPr>
          <w:p>
            <w:r>
              <w:rPr>
                <w:b/>
                <w:color w:val="00C2A8"/>
                <w:sz w:val="20"/>
              </w:rPr>
              <w:t>9</w:t>
            </w:r>
          </w:p>
        </w:tc>
        <w:tc>
          <w:tcPr>
            <w:tcW w:type="dxa" w:w="7776"/>
            <w:shd w:val="clear" w:color="auto" w:fill="F4F7FA"/>
          </w:tcPr>
          <w:p>
            <w:r>
              <w:rPr>
                <w:sz w:val="21"/>
              </w:rPr>
              <w:t>Reports &amp; Stakeholder Board Packs</w:t>
            </w:r>
          </w:p>
        </w:tc>
        <w:tc>
          <w:tcPr>
            <w:tcW w:type="dxa" w:w="864"/>
            <w:shd w:val="clear" w:color="auto" w:fill="F4F7FA"/>
          </w:tcPr>
          <w:p>
            <w:pPr>
              <w:jc w:val="right"/>
            </w:pPr>
            <w:r>
              <w:rPr>
                <w:color w:val="6C757D"/>
                <w:sz w:val="20"/>
              </w:rPr>
              <w:t>52</w:t>
            </w:r>
          </w:p>
        </w:tc>
      </w:tr>
      <w:tr>
        <w:tc>
          <w:tcPr>
            <w:tcW w:type="dxa" w:w="576"/>
            <w:shd w:val="clear" w:color="auto" w:fill="FFFFFF"/>
          </w:tcPr>
          <w:p>
            <w:r>
              <w:rPr>
                <w:b/>
                <w:color w:val="00C2A8"/>
                <w:sz w:val="20"/>
              </w:rPr>
              <w:t>10</w:t>
            </w:r>
          </w:p>
        </w:tc>
        <w:tc>
          <w:tcPr>
            <w:tcW w:type="dxa" w:w="7776"/>
            <w:shd w:val="clear" w:color="auto" w:fill="FFFFFF"/>
          </w:tcPr>
          <w:p>
            <w:r>
              <w:rPr>
                <w:sz w:val="21"/>
              </w:rPr>
              <w:t>Audit Log &amp; Activity Streams</w:t>
            </w:r>
          </w:p>
        </w:tc>
        <w:tc>
          <w:tcPr>
            <w:tcW w:type="dxa" w:w="864"/>
            <w:shd w:val="clear" w:color="auto" w:fill="FFFFFF"/>
          </w:tcPr>
          <w:p>
            <w:pPr>
              <w:jc w:val="right"/>
            </w:pPr>
            <w:r>
              <w:rPr>
                <w:color w:val="6C757D"/>
                <w:sz w:val="20"/>
              </w:rPr>
              <w:t>56</w:t>
            </w:r>
          </w:p>
        </w:tc>
      </w:tr>
      <w:tr>
        <w:tc>
          <w:tcPr>
            <w:tcW w:type="dxa" w:w="576"/>
            <w:shd w:val="clear" w:color="auto" w:fill="F4F7FA"/>
          </w:tcPr>
          <w:p>
            <w:r>
              <w:rPr>
                <w:b/>
                <w:color w:val="00C2A8"/>
                <w:sz w:val="20"/>
              </w:rPr>
              <w:t>11</w:t>
            </w:r>
          </w:p>
        </w:tc>
        <w:tc>
          <w:tcPr>
            <w:tcW w:type="dxa" w:w="7776"/>
            <w:shd w:val="clear" w:color="auto" w:fill="F4F7FA"/>
          </w:tcPr>
          <w:p>
            <w:r>
              <w:rPr>
                <w:sz w:val="21"/>
              </w:rPr>
              <w:t>Schedule Baselines &amp; Snapshot History</w:t>
            </w:r>
          </w:p>
        </w:tc>
        <w:tc>
          <w:tcPr>
            <w:tcW w:type="dxa" w:w="864"/>
            <w:shd w:val="clear" w:color="auto" w:fill="F4F7FA"/>
          </w:tcPr>
          <w:p>
            <w:pPr>
              <w:jc w:val="right"/>
            </w:pPr>
            <w:r>
              <w:rPr>
                <w:color w:val="6C757D"/>
                <w:sz w:val="20"/>
              </w:rPr>
              <w:t>60</w:t>
            </w:r>
          </w:p>
        </w:tc>
      </w:tr>
      <w:tr>
        <w:tc>
          <w:tcPr>
            <w:tcW w:type="dxa" w:w="576"/>
            <w:shd w:val="clear" w:color="auto" w:fill="FFFFFF"/>
          </w:tcPr>
          <w:p>
            <w:r>
              <w:rPr>
                <w:b/>
                <w:color w:val="00C2A8"/>
                <w:sz w:val="20"/>
              </w:rPr>
              <w:t>12</w:t>
            </w:r>
          </w:p>
        </w:tc>
        <w:tc>
          <w:tcPr>
            <w:tcW w:type="dxa" w:w="7776"/>
            <w:shd w:val="clear" w:color="auto" w:fill="FFFFFF"/>
          </w:tcPr>
          <w:p>
            <w:r>
              <w:rPr>
                <w:sz w:val="21"/>
              </w:rPr>
              <w:t>System Configuration Reference</w:t>
            </w:r>
          </w:p>
        </w:tc>
        <w:tc>
          <w:tcPr>
            <w:tcW w:type="dxa" w:w="864"/>
            <w:shd w:val="clear" w:color="auto" w:fill="FFFFFF"/>
          </w:tcPr>
          <w:p>
            <w:pPr>
              <w:jc w:val="right"/>
            </w:pPr>
            <w:r>
              <w:rPr>
                <w:color w:val="6C757D"/>
                <w:sz w:val="20"/>
              </w:rPr>
              <w:t>65</w:t>
            </w:r>
          </w:p>
        </w:tc>
      </w:tr>
      <w:tr>
        <w:tc>
          <w:tcPr>
            <w:tcW w:type="dxa" w:w="576"/>
            <w:shd w:val="clear" w:color="auto" w:fill="F4F7FA"/>
          </w:tcPr>
          <w:p>
            <w:r>
              <w:rPr>
                <w:b/>
                <w:color w:val="00C2A8"/>
                <w:sz w:val="20"/>
              </w:rPr>
              <w:t>A</w:t>
            </w:r>
          </w:p>
        </w:tc>
        <w:tc>
          <w:tcPr>
            <w:tcW w:type="dxa" w:w="7776"/>
            <w:shd w:val="clear" w:color="auto" w:fill="F4F7FA"/>
          </w:tcPr>
          <w:p>
            <w:r>
              <w:rPr>
                <w:sz w:val="21"/>
              </w:rPr>
              <w:t>Appendix A — Keyboard Shortcuts</w:t>
            </w:r>
          </w:p>
        </w:tc>
        <w:tc>
          <w:tcPr>
            <w:tcW w:type="dxa" w:w="864"/>
            <w:shd w:val="clear" w:color="auto" w:fill="F4F7FA"/>
          </w:tcPr>
          <w:p>
            <w:pPr>
              <w:jc w:val="right"/>
            </w:pPr>
            <w:r>
              <w:rPr>
                <w:color w:val="6C757D"/>
                <w:sz w:val="20"/>
              </w:rPr>
              <w:t>70</w:t>
            </w:r>
          </w:p>
        </w:tc>
      </w:tr>
      <w:tr>
        <w:tc>
          <w:tcPr>
            <w:tcW w:type="dxa" w:w="576"/>
            <w:shd w:val="clear" w:color="auto" w:fill="FFFFFF"/>
          </w:tcPr>
          <w:p>
            <w:r>
              <w:rPr>
                <w:b/>
                <w:color w:val="00C2A8"/>
                <w:sz w:val="20"/>
              </w:rPr>
              <w:t>B</w:t>
            </w:r>
          </w:p>
        </w:tc>
        <w:tc>
          <w:tcPr>
            <w:tcW w:type="dxa" w:w="7776"/>
            <w:shd w:val="clear" w:color="auto" w:fill="FFFFFF"/>
          </w:tcPr>
          <w:p>
            <w:r>
              <w:rPr>
                <w:sz w:val="21"/>
              </w:rPr>
              <w:t>Appendix B — Data Schema Reference</w:t>
            </w:r>
          </w:p>
        </w:tc>
        <w:tc>
          <w:tcPr>
            <w:tcW w:type="dxa" w:w="864"/>
            <w:shd w:val="clear" w:color="auto" w:fill="FFFFFF"/>
          </w:tcPr>
          <w:p>
            <w:pPr>
              <w:jc w:val="right"/>
            </w:pPr>
            <w:r>
              <w:rPr>
                <w:color w:val="6C757D"/>
                <w:sz w:val="20"/>
              </w:rPr>
              <w:t>72</w:t>
            </w:r>
          </w:p>
        </w:tc>
      </w:tr>
    </w:tbl>
    <w:p>
      <w:r>
        <w:br w:type="page"/>
      </w:r>
    </w:p>
    <w:p>
      <w:pPr>
        <w:pStyle w:val="Heading1"/>
        <w:spacing w:before="360" w:after="120"/>
      </w:pPr>
      <w:r>
        <w:rPr>
          <w:color w:val="0D1B2A"/>
        </w:rPr>
        <w:t>1  Executive Overview Dashboard</w:t>
      </w:r>
    </w:p>
    <w:p>
      <w:pPr>
        <w:pBdr>
          <w:bottom w:val="single" w:sz="6" w:space="1" w:color="00C2A8"/>
        </w:pBdr>
        <w:spacing w:before="0" w:after="120"/>
      </w:pPr>
    </w:p>
    <w:p>
      <w:pPr>
        <w:spacing w:before="0" w:after="160"/>
      </w:pPr>
      <w:r>
        <w:rPr>
          <w:sz w:val="21"/>
        </w:rPr>
        <w:t>The Executive Overview Dashboard is the command centre of ProjectPulse. It surfaces the three core health signals of the project — Health Index, Delivery Confidence, and Active RAID Count — in a single, always-visible pane. Every metric on this screen is computed in real time from the live state of tasks, resources, risks, and defects without requiring a page refresh or manual recalculation.</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 — Executive Overview Dashboard with KPI cards, Health Gauge, and Predictive Sandbox</w:t>
      </w:r>
    </w:p>
    <w:p>
      <w:pPr>
        <w:pStyle w:val="Heading2"/>
        <w:spacing w:before="360" w:after="120"/>
      </w:pPr>
      <w:r>
        <w:rPr>
          <w:color w:val="1E9ED5"/>
        </w:rPr>
        <w:t>1.1  Key Performance Indicator Cards</w:t>
      </w:r>
    </w:p>
    <w:p>
      <w:pPr>
        <w:spacing w:before="0" w:after="120"/>
      </w:pPr>
      <w:r>
        <w:rPr>
          <w:sz w:val="21"/>
        </w:rPr>
        <w:t>Three large KPI cards occupy the top ribbon of the dashboard. Each card updates automatically whenever underlying data changes.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Metric</w:t>
            </w:r>
          </w:p>
        </w:tc>
        <w:tc>
          <w:tcPr>
            <w:tcW w:type="dxa" w:w="2736"/>
            <w:shd w:val="clear" w:color="auto" w:fill="0D1B2A"/>
          </w:tcPr>
          <w:p>
            <w:pPr>
              <w:jc w:val="center"/>
            </w:pPr>
            <w:r>
              <w:rPr>
                <w:b/>
                <w:color w:val="FFFFFF"/>
                <w:sz w:val="19"/>
              </w:rPr>
              <w:t>Description</w:t>
            </w:r>
          </w:p>
        </w:tc>
        <w:tc>
          <w:tcPr>
            <w:tcW w:type="dxa" w:w="3312"/>
            <w:shd w:val="clear" w:color="auto" w:fill="0D1B2A"/>
          </w:tcPr>
          <w:p>
            <w:pPr>
              <w:jc w:val="center"/>
            </w:pPr>
            <w:r>
              <w:rPr>
                <w:b/>
                <w:color w:val="FFFFFF"/>
                <w:sz w:val="19"/>
              </w:rPr>
              <w:t>Calculation Logic</w:t>
            </w:r>
          </w:p>
        </w:tc>
        <w:tc>
          <w:tcPr>
            <w:tcW w:type="dxa" w:w="1728"/>
            <w:shd w:val="clear" w:color="auto" w:fill="0D1B2A"/>
          </w:tcPr>
          <w:p>
            <w:pPr>
              <w:jc w:val="center"/>
            </w:pPr>
            <w:r>
              <w:rPr>
                <w:b/>
                <w:color w:val="FFFFFF"/>
                <w:sz w:val="19"/>
              </w:rPr>
              <w:t>Target Threshold</w:t>
            </w:r>
          </w:p>
        </w:tc>
      </w:tr>
      <w:tr>
        <w:tc>
          <w:tcPr>
            <w:tcW w:type="dxa" w:w="2016"/>
            <w:shd w:val="clear" w:color="auto" w:fill="F8F9FA"/>
          </w:tcPr>
          <w:p>
            <w:pPr>
              <w:spacing w:before="60" w:after="60"/>
            </w:pPr>
            <w:r>
              <w:rPr>
                <w:sz w:val="19"/>
              </w:rPr>
              <w:t>Health Index</w:t>
            </w:r>
          </w:p>
        </w:tc>
        <w:tc>
          <w:tcPr>
            <w:tcW w:type="dxa" w:w="2736"/>
            <w:shd w:val="clear" w:color="auto" w:fill="F8F9FA"/>
          </w:tcPr>
          <w:p>
            <w:pPr>
              <w:spacing w:before="60" w:after="60"/>
            </w:pPr>
            <w:r>
              <w:rPr>
                <w:sz w:val="19"/>
              </w:rPr>
              <w:t>Composite score reflecting overall project vitality.</w:t>
            </w:r>
          </w:p>
        </w:tc>
        <w:tc>
          <w:tcPr>
            <w:tcW w:type="dxa" w:w="3312"/>
            <w:shd w:val="clear" w:color="auto" w:fill="F8F9FA"/>
          </w:tcPr>
          <w:p>
            <w:pPr>
              <w:spacing w:before="60" w:after="60"/>
            </w:pPr>
            <w:r>
              <w:rPr>
                <w:sz w:val="19"/>
              </w:rPr>
              <w:t>100 − (Overdue/Active × 50) − (Blocked/Active × 30) − (On Hold/Active × 20)</w:t>
            </w:r>
          </w:p>
        </w:tc>
        <w:tc>
          <w:tcPr>
            <w:tcW w:type="dxa" w:w="1728"/>
            <w:shd w:val="clear" w:color="auto" w:fill="F8F9FA"/>
          </w:tcPr>
          <w:p>
            <w:pPr>
              <w:spacing w:before="60" w:after="60"/>
            </w:pPr>
            <w:r>
              <w:rPr>
                <w:sz w:val="19"/>
              </w:rPr>
              <w:t>≥ 80% — Green</w:t>
            </w:r>
          </w:p>
        </w:tc>
      </w:tr>
      <w:tr>
        <w:tc>
          <w:tcPr>
            <w:tcW w:type="dxa" w:w="2016"/>
            <w:shd w:val="clear" w:color="auto" w:fill="FFFFFF"/>
          </w:tcPr>
          <w:p>
            <w:pPr>
              <w:spacing w:before="60" w:after="60"/>
            </w:pPr>
            <w:r>
              <w:rPr>
                <w:sz w:val="19"/>
              </w:rPr>
              <w:t>Delivery Confidence</w:t>
            </w:r>
          </w:p>
        </w:tc>
        <w:tc>
          <w:tcPr>
            <w:tcW w:type="dxa" w:w="2736"/>
            <w:shd w:val="clear" w:color="auto" w:fill="FFFFFF"/>
          </w:tcPr>
          <w:p>
            <w:pPr>
              <w:spacing w:before="60" w:after="60"/>
            </w:pPr>
            <w:r>
              <w:rPr>
                <w:sz w:val="19"/>
              </w:rPr>
              <w:t>Probability of delivering on schedule based on team velocity vs. remaining backlog.</w:t>
            </w:r>
          </w:p>
        </w:tc>
        <w:tc>
          <w:tcPr>
            <w:tcW w:type="dxa" w:w="3312"/>
            <w:shd w:val="clear" w:color="auto" w:fill="FFFFFF"/>
          </w:tcPr>
          <w:p>
            <w:pPr>
              <w:spacing w:before="60" w:after="60"/>
            </w:pPr>
            <w:r>
              <w:rPr>
                <w:sz w:val="19"/>
              </w:rPr>
              <w:t>Matches remaining task count against 4-week rolling average velocity. Deficit degrades confidence to a floor of 30%.</w:t>
            </w:r>
          </w:p>
        </w:tc>
        <w:tc>
          <w:tcPr>
            <w:tcW w:type="dxa" w:w="1728"/>
            <w:shd w:val="clear" w:color="auto" w:fill="FFFFFF"/>
          </w:tcPr>
          <w:p>
            <w:pPr>
              <w:spacing w:before="60" w:after="60"/>
            </w:pPr>
            <w:r>
              <w:rPr>
                <w:sz w:val="19"/>
              </w:rPr>
              <w:t>≥ 85% — Green</w:t>
            </w:r>
          </w:p>
        </w:tc>
      </w:tr>
      <w:tr>
        <w:tc>
          <w:tcPr>
            <w:tcW w:type="dxa" w:w="2016"/>
            <w:shd w:val="clear" w:color="auto" w:fill="F8F9FA"/>
          </w:tcPr>
          <w:p>
            <w:pPr>
              <w:spacing w:before="60" w:after="60"/>
            </w:pPr>
            <w:r>
              <w:rPr>
                <w:sz w:val="19"/>
              </w:rPr>
              <w:t>Active RAID Elements</w:t>
            </w:r>
          </w:p>
        </w:tc>
        <w:tc>
          <w:tcPr>
            <w:tcW w:type="dxa" w:w="2736"/>
            <w:shd w:val="clear" w:color="auto" w:fill="F8F9FA"/>
          </w:tcPr>
          <w:p>
            <w:pPr>
              <w:spacing w:before="60" w:after="60"/>
            </w:pPr>
            <w:r>
              <w:rPr>
                <w:sz w:val="19"/>
              </w:rPr>
              <w:t>Total open Risk, Assumption, Issue, and Dependency items.</w:t>
            </w:r>
          </w:p>
        </w:tc>
        <w:tc>
          <w:tcPr>
            <w:tcW w:type="dxa" w:w="3312"/>
            <w:shd w:val="clear" w:color="auto" w:fill="F8F9FA"/>
          </w:tcPr>
          <w:p>
            <w:pPr>
              <w:spacing w:before="60" w:after="60"/>
            </w:pPr>
            <w:r>
              <w:rPr>
                <w:sz w:val="19"/>
              </w:rPr>
              <w:t>COUNT(raids WHERE status ∈ {Identified, Active})</w:t>
            </w:r>
          </w:p>
        </w:tc>
        <w:tc>
          <w:tcPr>
            <w:tcW w:type="dxa" w:w="1728"/>
            <w:shd w:val="clear" w:color="auto" w:fill="F8F9FA"/>
          </w:tcPr>
          <w:p>
            <w:pPr>
              <w:spacing w:before="60" w:after="60"/>
            </w:pPr>
            <w:r>
              <w:rPr>
                <w:sz w:val="19"/>
              </w:rPr>
              <w:t>0 — Goal</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ℹ  NOTE  </w:t>
            </w:r>
          </w:p>
          <w:p>
            <w:pPr>
              <w:spacing w:before="40" w:after="120"/>
              <w:ind w:left="144"/>
            </w:pPr>
            <w:r>
              <w:rPr>
                <w:sz w:val="20"/>
              </w:rPr>
              <w:t>The Health Index excludes Completed and Cancelled tasks from its 'Active' denominator. Only tasks that are genuinely in-flight and at risk contribute to health degradation.</w:t>
            </w:r>
          </w:p>
        </w:tc>
      </w:tr>
    </w:tbl>
    <w:p/>
    <w:p>
      <w:pPr>
        <w:pStyle w:val="Heading2"/>
        <w:spacing w:before="360" w:after="120"/>
      </w:pPr>
      <w:r>
        <w:rPr>
          <w:color w:val="1E9ED5"/>
        </w:rPr>
        <w:t>1.2  Dynamic Health Gauge</w:t>
      </w:r>
    </w:p>
    <w:p>
      <w:pPr>
        <w:spacing w:before="0" w:after="120"/>
      </w:pPr>
      <w:r>
        <w:rPr>
          <w:sz w:val="21"/>
        </w:rPr>
        <w:t>Below the KPI cards sits the radial SVG Health Gauge — a premium animated dial that provides an at-a-glance summary of the Health Index. The gauge uses a dynamic arc drawn in real time by the browser's SVG engine, with a glow effect that intensifies as health improves.</w:t>
      </w:r>
    </w:p>
    <w:p>
      <w:pPr>
        <w:pStyle w:val="ListBullet"/>
        <w:spacing w:before="0" w:after="60"/>
        <w:ind w:left="360"/>
      </w:pPr>
      <w:r>
        <w:rPr>
          <w:sz w:val="21"/>
        </w:rPr>
        <w:t>Green glow (80–100%): Project is healthy and on track.</w:t>
      </w:r>
    </w:p>
    <w:p>
      <w:pPr>
        <w:pStyle w:val="ListBullet"/>
        <w:spacing w:before="0" w:after="60"/>
        <w:ind w:left="360"/>
      </w:pPr>
      <w:r>
        <w:rPr>
          <w:sz w:val="21"/>
        </w:rPr>
        <w:t>Amber arc (50–79%): Warning — one or more risk factors require attention.</w:t>
      </w:r>
    </w:p>
    <w:p>
      <w:pPr>
        <w:pStyle w:val="ListBullet"/>
        <w:spacing w:before="0" w:after="60"/>
        <w:ind w:left="360"/>
      </w:pPr>
      <w:r>
        <w:rPr>
          <w:sz w:val="21"/>
        </w:rPr>
        <w:t>Red arc (&lt;50%): Critical — immediate management intervention required.</w:t>
      </w:r>
    </w:p>
    <w:p>
      <w:pPr>
        <w:pStyle w:val="ListBullet"/>
        <w:spacing w:before="0" w:after="60"/>
        <w:ind w:left="360"/>
      </w:pPr>
      <w:r>
        <w:rPr>
          <w:sz w:val="21"/>
        </w:rPr>
        <w:t>Hover interaction: Reveals a breakdown tooltip listing each drag factor and its percentage contribution (e.g., 'Overdue Tasks: −8%', 'Defects: −12%').</w:t>
      </w:r>
    </w:p>
    <w:p/>
    <w:p>
      <w:pPr>
        <w:pStyle w:val="Heading2"/>
        <w:spacing w:before="360" w:after="120"/>
      </w:pPr>
      <w:r>
        <w:rPr>
          <w:color w:val="1E9ED5"/>
        </w:rPr>
        <w:t>1.3  What-If Predictive Sandbox</w:t>
      </w:r>
    </w:p>
    <w:p>
      <w:pPr>
        <w:spacing w:before="0" w:after="120"/>
      </w:pPr>
      <w:r>
        <w:rPr>
          <w:sz w:val="21"/>
        </w:rPr>
        <w:t>The Predictive Sandbox is a non-destructive simulation environment that lets project managers explore 'what-if' scenarios without altering the live project state. The sandbox operates on an in-memory clone of the master schedule (P.sandboxTasks), leaving P.tasks completely unchanged.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Control</w:t>
            </w:r>
          </w:p>
        </w:tc>
        <w:tc>
          <w:tcPr>
            <w:tcW w:type="dxa" w:w="3168"/>
            <w:shd w:val="clear" w:color="auto" w:fill="0D1B2A"/>
          </w:tcPr>
          <w:p>
            <w:pPr>
              <w:jc w:val="center"/>
            </w:pPr>
            <w:r>
              <w:rPr>
                <w:b/>
                <w:color w:val="FFFFFF"/>
                <w:sz w:val="19"/>
              </w:rPr>
              <w:t>Action</w:t>
            </w:r>
          </w:p>
        </w:tc>
        <w:tc>
          <w:tcPr>
            <w:tcW w:type="dxa" w:w="3888"/>
            <w:shd w:val="clear" w:color="auto" w:fill="0D1B2A"/>
          </w:tcPr>
          <w:p>
            <w:pPr>
              <w:jc w:val="center"/>
            </w:pPr>
            <w:r>
              <w:rPr>
                <w:b/>
                <w:color w:val="FFFFFF"/>
                <w:sz w:val="19"/>
              </w:rPr>
              <w:t>Effect on Simulation</w:t>
            </w:r>
          </w:p>
        </w:tc>
      </w:tr>
      <w:tr>
        <w:tc>
          <w:tcPr>
            <w:tcW w:type="dxa" w:w="2160"/>
            <w:shd w:val="clear" w:color="auto" w:fill="F8F9FA"/>
          </w:tcPr>
          <w:p>
            <w:pPr>
              <w:spacing w:before="60" w:after="60"/>
            </w:pPr>
            <w:r>
              <w:rPr>
                <w:sz w:val="19"/>
              </w:rPr>
              <w:t>Toggle Sandbox</w:t>
            </w:r>
          </w:p>
        </w:tc>
        <w:tc>
          <w:tcPr>
            <w:tcW w:type="dxa" w:w="3168"/>
            <w:shd w:val="clear" w:color="auto" w:fill="F8F9FA"/>
          </w:tcPr>
          <w:p>
            <w:pPr>
              <w:spacing w:before="60" w:after="60"/>
            </w:pPr>
            <w:r>
              <w:rPr>
                <w:sz w:val="19"/>
              </w:rPr>
              <w:t>Activates/deactivates sandbox mode.</w:t>
            </w:r>
          </w:p>
        </w:tc>
        <w:tc>
          <w:tcPr>
            <w:tcW w:type="dxa" w:w="3888"/>
            <w:shd w:val="clear" w:color="auto" w:fill="F8F9FA"/>
          </w:tcPr>
          <w:p>
            <w:pPr>
              <w:spacing w:before="60" w:after="60"/>
            </w:pPr>
            <w:r>
              <w:rPr>
                <w:sz w:val="19"/>
              </w:rPr>
              <w:t>Switches state context from master to sandbox clone.</w:t>
            </w:r>
          </w:p>
        </w:tc>
      </w:tr>
      <w:tr>
        <w:tc>
          <w:tcPr>
            <w:tcW w:type="dxa" w:w="2160"/>
            <w:shd w:val="clear" w:color="auto" w:fill="FFFFFF"/>
          </w:tcPr>
          <w:p>
            <w:pPr>
              <w:spacing w:before="60" w:after="60"/>
            </w:pPr>
            <w:r>
              <w:rPr>
                <w:sz w:val="19"/>
              </w:rPr>
              <w:t>Capacity Slider</w:t>
            </w:r>
          </w:p>
        </w:tc>
        <w:tc>
          <w:tcPr>
            <w:tcW w:type="dxa" w:w="3168"/>
            <w:shd w:val="clear" w:color="auto" w:fill="FFFFFF"/>
          </w:tcPr>
          <w:p>
            <w:pPr>
              <w:spacing w:before="60" w:after="60"/>
            </w:pPr>
            <w:r>
              <w:rPr>
                <w:sz w:val="19"/>
              </w:rPr>
              <w:t>Reduce team availability by a percentage (e.g. −20%).</w:t>
            </w:r>
          </w:p>
        </w:tc>
        <w:tc>
          <w:tcPr>
            <w:tcW w:type="dxa" w:w="3888"/>
            <w:shd w:val="clear" w:color="auto" w:fill="FFFFFF"/>
          </w:tcPr>
          <w:p>
            <w:pPr>
              <w:spacing w:before="60" w:after="60"/>
            </w:pPr>
            <w:r>
              <w:rPr>
                <w:sz w:val="19"/>
              </w:rPr>
              <w:t>Extends forecast due dates proportionally across assigned tasks.</w:t>
            </w:r>
          </w:p>
        </w:tc>
      </w:tr>
      <w:tr>
        <w:tc>
          <w:tcPr>
            <w:tcW w:type="dxa" w:w="2160"/>
            <w:shd w:val="clear" w:color="auto" w:fill="F8F9FA"/>
          </w:tcPr>
          <w:p>
            <w:pPr>
              <w:spacing w:before="60" w:after="60"/>
            </w:pPr>
            <w:r>
              <w:rPr>
                <w:sz w:val="19"/>
              </w:rPr>
              <w:t>Scope Multiplier</w:t>
            </w:r>
          </w:p>
        </w:tc>
        <w:tc>
          <w:tcPr>
            <w:tcW w:type="dxa" w:w="3168"/>
            <w:shd w:val="clear" w:color="auto" w:fill="F8F9FA"/>
          </w:tcPr>
          <w:p>
            <w:pPr>
              <w:spacing w:before="60" w:after="60"/>
            </w:pPr>
            <w:r>
              <w:rPr>
                <w:sz w:val="19"/>
              </w:rPr>
              <w:t>Increase task complexity by a factor (e.g. 1.2×).</w:t>
            </w:r>
          </w:p>
        </w:tc>
        <w:tc>
          <w:tcPr>
            <w:tcW w:type="dxa" w:w="3888"/>
            <w:shd w:val="clear" w:color="auto" w:fill="F8F9FA"/>
          </w:tcPr>
          <w:p>
            <w:pPr>
              <w:spacing w:before="60" w:after="60"/>
            </w:pPr>
            <w:r>
              <w:rPr>
                <w:sz w:val="19"/>
              </w:rPr>
              <w:t>Inflates estimated effort and pushes projected delivery dates outward.</w:t>
            </w:r>
          </w:p>
        </w:tc>
      </w:tr>
      <w:tr>
        <w:tc>
          <w:tcPr>
            <w:tcW w:type="dxa" w:w="2160"/>
            <w:shd w:val="clear" w:color="auto" w:fill="FFFFFF"/>
          </w:tcPr>
          <w:p>
            <w:pPr>
              <w:spacing w:before="60" w:after="60"/>
            </w:pPr>
            <w:r>
              <w:rPr>
                <w:sz w:val="19"/>
              </w:rPr>
              <w:t>Commit Changes</w:t>
            </w:r>
          </w:p>
        </w:tc>
        <w:tc>
          <w:tcPr>
            <w:tcW w:type="dxa" w:w="3168"/>
            <w:shd w:val="clear" w:color="auto" w:fill="FFFFFF"/>
          </w:tcPr>
          <w:p>
            <w:pPr>
              <w:spacing w:before="60" w:after="60"/>
            </w:pPr>
            <w:r>
              <w:rPr>
                <w:sz w:val="19"/>
              </w:rPr>
              <w:t>Applies sandbox mutations to the live project.</w:t>
            </w:r>
          </w:p>
        </w:tc>
        <w:tc>
          <w:tcPr>
            <w:tcW w:type="dxa" w:w="3888"/>
            <w:shd w:val="clear" w:color="auto" w:fill="FFFFFF"/>
          </w:tcPr>
          <w:p>
            <w:pPr>
              <w:spacing w:before="60" w:after="60"/>
            </w:pPr>
            <w:r>
              <w:rPr>
                <w:sz w:val="19"/>
              </w:rPr>
              <w:t>Overwrites master schedule with simulated dates. Irreversible without a baseline restore.</w:t>
            </w:r>
          </w:p>
        </w:tc>
      </w:tr>
      <w:tr>
        <w:tc>
          <w:tcPr>
            <w:tcW w:type="dxa" w:w="2160"/>
            <w:shd w:val="clear" w:color="auto" w:fill="F8F9FA"/>
          </w:tcPr>
          <w:p>
            <w:pPr>
              <w:spacing w:before="60" w:after="60"/>
            </w:pPr>
            <w:r>
              <w:rPr>
                <w:sz w:val="19"/>
              </w:rPr>
              <w:t>Discard</w:t>
            </w:r>
          </w:p>
        </w:tc>
        <w:tc>
          <w:tcPr>
            <w:tcW w:type="dxa" w:w="3168"/>
            <w:shd w:val="clear" w:color="auto" w:fill="F8F9FA"/>
          </w:tcPr>
          <w:p>
            <w:pPr>
              <w:spacing w:before="60" w:after="60"/>
            </w:pPr>
            <w:r>
              <w:rPr>
                <w:sz w:val="19"/>
              </w:rPr>
              <w:t>Rolls back all sandbox mutations.</w:t>
            </w:r>
          </w:p>
        </w:tc>
        <w:tc>
          <w:tcPr>
            <w:tcW w:type="dxa" w:w="3888"/>
            <w:shd w:val="clear" w:color="auto" w:fill="F8F9FA"/>
          </w:tcPr>
          <w:p>
            <w:pPr>
              <w:spacing w:before="60" w:after="60"/>
            </w:pPr>
            <w:r>
              <w:rPr>
                <w:sz w:val="19"/>
              </w:rPr>
              <w:t>Restores the live schedule to its pre-simulation state instantly.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Always capture a Schedule Baseline (Chapter 11) before committing sandbox changes. This ensures you can restore the original plan if the simulation produces undesirable outcomes.</w:t>
            </w:r>
          </w:p>
        </w:tc>
      </w:tr>
    </w:tbl>
    <w:p/>
    <w:p>
      <w:r>
        <w:br w:type="page"/>
      </w:r>
    </w:p>
    <w:p>
      <w:pPr>
        <w:pStyle w:val="Heading1"/>
        <w:spacing w:before="360" w:after="120"/>
      </w:pPr>
      <w:r>
        <w:rPr>
          <w:color w:val="0D1B2A"/>
        </w:rPr>
        <w:t>2  Live Project Insights &amp; Analytics</w:t>
      </w:r>
    </w:p>
    <w:p>
      <w:pPr>
        <w:pBdr>
          <w:bottom w:val="single" w:sz="6" w:space="1" w:color="00C2A8"/>
        </w:pBdr>
        <w:spacing w:before="0" w:after="120"/>
      </w:pPr>
    </w:p>
    <w:p>
      <w:pPr>
        <w:spacing w:before="0" w:after="160"/>
      </w:pPr>
      <w:r>
        <w:rPr>
          <w:sz w:val="21"/>
        </w:rPr>
        <w:t>The Insights tab is the analytical engine of ProjectPulse. It transforms raw task logs and effort records into actionable intelligence: Earned Value Management (EVM) metrics, burn-up projections, velocity sparklines, and 30-day activity heatmaps. All computations are powered by the buildDashCache() function — an O(n) single-pass aggregator that processes the full task and log dataset once to produce O(1) lookup structures that power every widget.</w:t>
      </w:r>
    </w:p>
    <w:p>
      <w:pPr>
        <w:jc w:val="center"/>
      </w:pPr>
      <w:r>
        <w:rPr>
          <w:i/>
          <w:color w:val="6C757D"/>
        </w:rPr>
        <w:t>[Screenshot: 02_insights_analytics]</w:t>
      </w:r>
    </w:p>
    <w:p>
      <w:pPr>
        <w:spacing w:before="80" w:after="280"/>
        <w:jc w:val="center"/>
      </w:pPr>
      <w:r>
        <w:rPr>
          <w:i/>
          <w:color w:val="6C757D"/>
          <w:sz w:val="18"/>
        </w:rPr>
        <w:t>Figure 2.1 — Live Insights: EVM metrics, Burn-up Chart, and Velocity Dashboard</w:t>
      </w:r>
    </w:p>
    <w:p>
      <w:pPr>
        <w:pStyle w:val="Heading2"/>
        <w:spacing w:before="360" w:after="120"/>
      </w:pPr>
      <w:r>
        <w:rPr>
          <w:color w:val="1E9ED5"/>
        </w:rPr>
        <w:t>2.1  Performance Metric Caching (buildDashCache)</w:t>
      </w:r>
    </w:p>
    <w:p>
      <w:pPr>
        <w:spacing w:before="0" w:after="120"/>
      </w:pPr>
      <w:r>
        <w:rPr>
          <w:sz w:val="21"/>
        </w:rPr>
        <w:t>To ensure smooth animations and sub-millisecond render times, ProjectPulse caches all computed analytics in a single P.cache object. The cache is hydrated every time task data or resource allocations change, and before every render cycle.</w:t>
      </w:r>
    </w:p>
    <w:p>
      <w:pPr>
        <w:pStyle w:val="ListBullet"/>
        <w:spacing w:before="0" w:after="60"/>
        <w:ind w:left="360"/>
      </w:pPr>
      <w:r>
        <w:rPr>
          <w:sz w:val="21"/>
        </w:rPr>
        <w:t>Single-pass O(n) aggregation — iterates the task list exactly once per cache build.</w:t>
      </w:r>
    </w:p>
    <w:p>
      <w:pPr>
        <w:pStyle w:val="ListBullet"/>
        <w:spacing w:before="0" w:after="60"/>
        <w:ind w:left="360"/>
      </w:pPr>
      <w:r>
        <w:rPr>
          <w:sz w:val="21"/>
        </w:rPr>
        <w:t>Calculates time-series arrays for cumulative completion tracking.</w:t>
      </w:r>
    </w:p>
    <w:p>
      <w:pPr>
        <w:pStyle w:val="ListBullet"/>
        <w:spacing w:before="0" w:after="60"/>
        <w:ind w:left="360"/>
      </w:pPr>
      <w:r>
        <w:rPr>
          <w:sz w:val="21"/>
        </w:rPr>
        <w:t>Pre-computes dependency lookup maps to eliminate redundant nested searches.</w:t>
      </w:r>
    </w:p>
    <w:p>
      <w:pPr>
        <w:pStyle w:val="ListBullet"/>
        <w:spacing w:before="0" w:after="60"/>
        <w:ind w:left="360"/>
      </w:pPr>
      <w:r>
        <w:rPr>
          <w:sz w:val="21"/>
        </w:rPr>
        <w:t>Generates sparkline data points for all health metric history charts.</w:t>
      </w:r>
    </w:p>
    <w:p/>
    <w:p>
      <w:pPr>
        <w:pStyle w:val="Heading2"/>
        <w:spacing w:before="360" w:after="120"/>
      </w:pPr>
      <w:r>
        <w:rPr>
          <w:color w:val="1E9ED5"/>
        </w:rPr>
        <w:t>2.2  Earned Value Management (EVM)</w:t>
      </w:r>
    </w:p>
    <w:p>
      <w:pPr>
        <w:spacing w:before="0" w:after="120"/>
      </w:pPr>
      <w:r>
        <w:rPr>
          <w:sz w:val="21"/>
        </w:rPr>
        <w:t>ProjectPulse implements the full PMI-standard EVM framework. Metrics are displayed as live cards updated on every cache refresh.</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Metric</w:t>
            </w:r>
          </w:p>
        </w:tc>
        <w:tc>
          <w:tcPr>
            <w:tcW w:type="dxa" w:w="3456"/>
            <w:shd w:val="clear" w:color="auto" w:fill="0D1B2A"/>
          </w:tcPr>
          <w:p>
            <w:pPr>
              <w:jc w:val="center"/>
            </w:pPr>
            <w:r>
              <w:rPr>
                <w:b/>
                <w:color w:val="FFFFFF"/>
                <w:sz w:val="19"/>
              </w:rPr>
              <w:t>Formula</w:t>
            </w:r>
          </w:p>
        </w:tc>
        <w:tc>
          <w:tcPr>
            <w:tcW w:type="dxa" w:w="3168"/>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Planned Value (PV)</w:t>
            </w:r>
          </w:p>
        </w:tc>
        <w:tc>
          <w:tcPr>
            <w:tcW w:type="dxa" w:w="3456"/>
            <w:shd w:val="clear" w:color="auto" w:fill="F8F9FA"/>
          </w:tcPr>
          <w:p>
            <w:pPr>
              <w:spacing w:before="60" w:after="60"/>
            </w:pPr>
            <w:r>
              <w:rPr>
                <w:sz w:val="19"/>
              </w:rPr>
              <w:t>Total Budget × (Time Elapsed / Total Timeline)</w:t>
            </w:r>
          </w:p>
        </w:tc>
        <w:tc>
          <w:tcPr>
            <w:tcW w:type="dxa" w:w="3168"/>
            <w:shd w:val="clear" w:color="auto" w:fill="F8F9FA"/>
          </w:tcPr>
          <w:p>
            <w:pPr>
              <w:spacing w:before="60" w:after="60"/>
            </w:pPr>
            <w:r>
              <w:rPr>
                <w:sz w:val="19"/>
              </w:rPr>
              <w:t>Budget that should have been consumed by today's date per the original plan.</w:t>
            </w:r>
          </w:p>
        </w:tc>
      </w:tr>
      <w:tr>
        <w:tc>
          <w:tcPr>
            <w:tcW w:type="dxa" w:w="2592"/>
            <w:shd w:val="clear" w:color="auto" w:fill="FFFFFF"/>
          </w:tcPr>
          <w:p>
            <w:pPr>
              <w:spacing w:before="60" w:after="60"/>
            </w:pPr>
            <w:r>
              <w:rPr>
                <w:sz w:val="19"/>
              </w:rPr>
              <w:t>Earned Value (EV)</w:t>
            </w:r>
          </w:p>
        </w:tc>
        <w:tc>
          <w:tcPr>
            <w:tcW w:type="dxa" w:w="3456"/>
            <w:shd w:val="clear" w:color="auto" w:fill="FFFFFF"/>
          </w:tcPr>
          <w:p>
            <w:pPr>
              <w:spacing w:before="60" w:after="60"/>
            </w:pPr>
            <w:r>
              <w:rPr>
                <w:sz w:val="19"/>
              </w:rPr>
              <w:t>Total Budget × % Completion</w:t>
            </w:r>
          </w:p>
        </w:tc>
        <w:tc>
          <w:tcPr>
            <w:tcW w:type="dxa" w:w="3168"/>
            <w:shd w:val="clear" w:color="auto" w:fill="FFFFFF"/>
          </w:tcPr>
          <w:p>
            <w:pPr>
              <w:spacing w:before="60" w:after="60"/>
            </w:pPr>
            <w:r>
              <w:rPr>
                <w:sz w:val="19"/>
              </w:rPr>
              <w:t>Value of work actually delivered relative to the plan.</w:t>
            </w:r>
          </w:p>
        </w:tc>
      </w:tr>
      <w:tr>
        <w:tc>
          <w:tcPr>
            <w:tcW w:type="dxa" w:w="2592"/>
            <w:shd w:val="clear" w:color="auto" w:fill="F8F9FA"/>
          </w:tcPr>
          <w:p>
            <w:pPr>
              <w:spacing w:before="60" w:after="60"/>
            </w:pPr>
            <w:r>
              <w:rPr>
                <w:sz w:val="19"/>
              </w:rPr>
              <w:t>Actual Cost (AC)</w:t>
            </w:r>
          </w:p>
        </w:tc>
        <w:tc>
          <w:tcPr>
            <w:tcW w:type="dxa" w:w="3456"/>
            <w:shd w:val="clear" w:color="auto" w:fill="F8F9FA"/>
          </w:tcPr>
          <w:p>
            <w:pPr>
              <w:spacing w:before="60" w:after="60"/>
            </w:pPr>
            <w:r>
              <w:rPr>
                <w:sz w:val="19"/>
              </w:rPr>
              <w:t>Σ(logged hours) × avg. blended resource rate</w:t>
            </w:r>
          </w:p>
        </w:tc>
        <w:tc>
          <w:tcPr>
            <w:tcW w:type="dxa" w:w="3168"/>
            <w:shd w:val="clear" w:color="auto" w:fill="F8F9FA"/>
          </w:tcPr>
          <w:p>
            <w:pPr>
              <w:spacing w:before="60" w:after="60"/>
            </w:pPr>
            <w:r>
              <w:rPr>
                <w:sz w:val="19"/>
              </w:rPr>
              <w:t>Real resources consumed to date.</w:t>
            </w:r>
          </w:p>
        </w:tc>
      </w:tr>
      <w:tr>
        <w:tc>
          <w:tcPr>
            <w:tcW w:type="dxa" w:w="2592"/>
            <w:shd w:val="clear" w:color="auto" w:fill="FFFFFF"/>
          </w:tcPr>
          <w:p>
            <w:pPr>
              <w:spacing w:before="60" w:after="60"/>
            </w:pPr>
            <w:r>
              <w:rPr>
                <w:sz w:val="19"/>
              </w:rPr>
              <w:t>Schedule Variance (SV)</w:t>
            </w:r>
          </w:p>
        </w:tc>
        <w:tc>
          <w:tcPr>
            <w:tcW w:type="dxa" w:w="3456"/>
            <w:shd w:val="clear" w:color="auto" w:fill="FFFFFF"/>
          </w:tcPr>
          <w:p>
            <w:pPr>
              <w:spacing w:before="60" w:after="60"/>
            </w:pPr>
            <w:r>
              <w:rPr>
                <w:sz w:val="19"/>
              </w:rPr>
              <w:t>EV − PV</w:t>
            </w:r>
          </w:p>
        </w:tc>
        <w:tc>
          <w:tcPr>
            <w:tcW w:type="dxa" w:w="3168"/>
            <w:shd w:val="clear" w:color="auto" w:fill="FFFFFF"/>
          </w:tcPr>
          <w:p>
            <w:pPr>
              <w:spacing w:before="60" w:after="60"/>
            </w:pPr>
            <w:r>
              <w:rPr>
                <w:sz w:val="19"/>
              </w:rPr>
              <w:t>Positive = ahead of schedule. Negative = behind schedule.</w:t>
            </w:r>
          </w:p>
        </w:tc>
      </w:tr>
      <w:tr>
        <w:tc>
          <w:tcPr>
            <w:tcW w:type="dxa" w:w="2592"/>
            <w:shd w:val="clear" w:color="auto" w:fill="F8F9FA"/>
          </w:tcPr>
          <w:p>
            <w:pPr>
              <w:spacing w:before="60" w:after="60"/>
            </w:pPr>
            <w:r>
              <w:rPr>
                <w:sz w:val="19"/>
              </w:rPr>
              <w:t>Schedule Performance Index (SPI)</w:t>
            </w:r>
          </w:p>
        </w:tc>
        <w:tc>
          <w:tcPr>
            <w:tcW w:type="dxa" w:w="3456"/>
            <w:shd w:val="clear" w:color="auto" w:fill="F8F9FA"/>
          </w:tcPr>
          <w:p>
            <w:pPr>
              <w:spacing w:before="60" w:after="60"/>
            </w:pPr>
            <w:r>
              <w:rPr>
                <w:sz w:val="19"/>
              </w:rPr>
              <w:t>EV ÷ PV</w:t>
            </w:r>
          </w:p>
        </w:tc>
        <w:tc>
          <w:tcPr>
            <w:tcW w:type="dxa" w:w="3168"/>
            <w:shd w:val="clear" w:color="auto" w:fill="F8F9FA"/>
          </w:tcPr>
          <w:p>
            <w:pPr>
              <w:spacing w:before="60" w:after="60"/>
            </w:pPr>
            <w:r>
              <w:rPr>
                <w:sz w:val="19"/>
              </w:rPr>
              <w:t>SPI &lt; 1.0 indicates schedule slippage. SPI &gt; 1.0 indicates ahead-of-schedule delivery.</w:t>
            </w:r>
          </w:p>
        </w:tc>
      </w:tr>
      <w:tr>
        <w:tc>
          <w:tcPr>
            <w:tcW w:type="dxa" w:w="2592"/>
            <w:shd w:val="clear" w:color="auto" w:fill="FFFFFF"/>
          </w:tcPr>
          <w:p>
            <w:pPr>
              <w:spacing w:before="60" w:after="60"/>
            </w:pPr>
            <w:r>
              <w:rPr>
                <w:sz w:val="19"/>
              </w:rPr>
              <w:t>Cost Variance (CV)</w:t>
            </w:r>
          </w:p>
        </w:tc>
        <w:tc>
          <w:tcPr>
            <w:tcW w:type="dxa" w:w="3456"/>
            <w:shd w:val="clear" w:color="auto" w:fill="FFFFFF"/>
          </w:tcPr>
          <w:p>
            <w:pPr>
              <w:spacing w:before="60" w:after="60"/>
            </w:pPr>
            <w:r>
              <w:rPr>
                <w:sz w:val="19"/>
              </w:rPr>
              <w:t>EV − AC</w:t>
            </w:r>
          </w:p>
        </w:tc>
        <w:tc>
          <w:tcPr>
            <w:tcW w:type="dxa" w:w="3168"/>
            <w:shd w:val="clear" w:color="auto" w:fill="FFFFFF"/>
          </w:tcPr>
          <w:p>
            <w:pPr>
              <w:spacing w:before="60" w:after="60"/>
            </w:pPr>
            <w:r>
              <w:rPr>
                <w:sz w:val="19"/>
              </w:rPr>
              <w:t>Positive = under budget. Negative = over budget.</w:t>
            </w:r>
          </w:p>
        </w:tc>
      </w:tr>
    </w:tbl>
    <w:p>
      <w:pPr>
        <w:spacing w:after="120"/>
      </w:pPr>
    </w:p>
    <w:p>
      <w:pPr>
        <w:pStyle w:val="Heading2"/>
        <w:spacing w:before="360" w:after="120"/>
      </w:pPr>
      <w:r>
        <w:rPr>
          <w:color w:val="1E9ED5"/>
        </w:rPr>
        <w:t>2.3  Burn-up &amp; Burn-down Projections</w:t>
      </w:r>
    </w:p>
    <w:p>
      <w:pPr>
        <w:spacing w:before="0" w:after="120"/>
      </w:pPr>
      <w:r>
        <w:rPr>
          <w:sz w:val="21"/>
        </w:rPr>
        <w:t>The central chart in the Insights view is an interactive burn-up chart that provides a visual projection of project completion.</w:t>
      </w:r>
    </w:p>
    <w:p>
      <w:pPr>
        <w:pStyle w:val="ListBullet"/>
        <w:spacing w:before="0" w:after="60"/>
        <w:ind w:left="360"/>
      </w:pPr>
      <w:r>
        <w:rPr>
          <w:sz w:val="21"/>
        </w:rPr>
        <w:t>Scope Line (Blue): Total planned complexity points over time. Rises when scope is added.</w:t>
      </w:r>
    </w:p>
    <w:p>
      <w:pPr>
        <w:pStyle w:val="ListBullet"/>
        <w:spacing w:before="0" w:after="60"/>
        <w:ind w:left="360"/>
      </w:pPr>
      <w:r>
        <w:rPr>
          <w:sz w:val="21"/>
        </w:rPr>
        <w:t>Completion Line (Green): Accumulated complexity points of all tasks with status 'Completed'. Rising steeply indicates a healthy delivery pace.</w:t>
      </w:r>
    </w:p>
    <w:p>
      <w:pPr>
        <w:pStyle w:val="ListBullet"/>
        <w:spacing w:before="0" w:after="60"/>
        <w:ind w:left="360"/>
      </w:pPr>
      <w:r>
        <w:rPr>
          <w:sz w:val="21"/>
        </w:rPr>
        <w:t>Dynamic Projection (Dashed Amber): Linear extrapolation based on the rolling 3-week velocity, estimating the exact calendar week of project completion.</w:t>
      </w:r>
    </w:p>
    <w:p/>
    <w:p>
      <w:pPr>
        <w:pStyle w:val="Heading2"/>
        <w:spacing w:before="360" w:after="120"/>
      </w:pPr>
      <w:r>
        <w:rPr>
          <w:color w:val="1E9ED5"/>
        </w:rPr>
        <w:t>2.4  30-Day Activity Heatmap</w:t>
      </w:r>
    </w:p>
    <w:p>
      <w:pPr>
        <w:spacing w:before="0" w:after="120"/>
      </w:pPr>
      <w:r>
        <w:rPr>
          <w:sz w:val="21"/>
        </w:rPr>
        <w:t>A calendar heatmap shows contribution density across the past 30 calendar days. Each cell represents a single day; colour intensity reflects the number of task state changes logged by the team on that day. This view is powered by the retrospective activity date resolution system introduced in the June 2026 release — log entries reference actCompletionDate rather than insertion timestamps, giving an accurate picture of when work was actually completed rather than when it was logged.</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 TIP  </w:t>
            </w:r>
          </w:p>
          <w:p>
            <w:pPr>
              <w:spacing w:before="40" w:after="120"/>
              <w:ind w:left="144"/>
            </w:pPr>
            <w:r>
              <w:rPr>
                <w:sz w:val="20"/>
              </w:rPr>
              <w:t>Velocity is calculated as the 3-week rolling average of completed complexity points per week. Weeks where no tasks were completed are excluded from the rolling window to avoid artificially suppressing the velocity figure during holiday periods.</w:t>
            </w:r>
          </w:p>
        </w:tc>
      </w:tr>
    </w:tbl>
    <w:p/>
    <w:p>
      <w:r>
        <w:br w:type="page"/>
      </w:r>
    </w:p>
    <w:p>
      <w:pPr>
        <w:pStyle w:val="Heading1"/>
        <w:spacing w:before="360" w:after="120"/>
      </w:pPr>
      <w:r>
        <w:rPr>
          <w:color w:val="0D1B2A"/>
        </w:rPr>
        <w:t>3  Hierarchical Delivery Matrix</w:t>
      </w:r>
    </w:p>
    <w:p>
      <w:pPr>
        <w:pBdr>
          <w:bottom w:val="single" w:sz="6" w:space="1" w:color="00C2A8"/>
        </w:pBdr>
        <w:spacing w:before="0" w:after="120"/>
      </w:pPr>
    </w:p>
    <w:p>
      <w:pPr>
        <w:spacing w:before="0" w:after="160"/>
      </w:pPr>
      <w:r>
        <w:rPr>
          <w:sz w:val="21"/>
        </w:rPr>
        <w:t>The Delivery Matrix is the operational backbone of ProjectPulse — a high-density, spreadsheet-style task grid that supports multi-level parent-child hierarchies, inline editing, dependency mapping, effort estimation, and real-time status tracking. Every deliverable, epic, task, and subtask in the project lives in this view.</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3.1 — Hierarchical Delivery Matrix showing parent tasks, child subtasks, status pills, and inline controls</w:t>
      </w:r>
    </w:p>
    <w:p>
      <w:pPr>
        <w:pStyle w:val="Heading2"/>
        <w:spacing w:before="360" w:after="120"/>
      </w:pPr>
      <w:r>
        <w:rPr>
          <w:color w:val="1E9ED5"/>
        </w:rPr>
        <w:t>3.1  Parent-Child Task Hierarchies</w:t>
      </w:r>
    </w:p>
    <w:p>
      <w:pPr>
        <w:spacing w:before="0" w:after="120"/>
      </w:pPr>
      <w:r>
        <w:rPr>
          <w:sz w:val="21"/>
        </w:rPr>
        <w:t>Tasks can be structured into multi-level trees. Parent tasks (Epics or Deliverables) aggregate metrics from all child tasks:</w:t>
      </w:r>
    </w:p>
    <w:p>
      <w:pPr>
        <w:pStyle w:val="ListBullet"/>
        <w:spacing w:before="0" w:after="60"/>
        <w:ind w:left="360"/>
      </w:pPr>
      <w:r>
        <w:rPr>
          <w:sz w:val="21"/>
        </w:rPr>
        <w:t>Parent Tasks: Display summary progress as the weighted average of child task progress.</w:t>
      </w:r>
    </w:p>
    <w:p>
      <w:pPr>
        <w:pStyle w:val="ListBullet"/>
        <w:spacing w:before="0" w:after="60"/>
        <w:ind w:left="360"/>
      </w:pPr>
      <w:r>
        <w:rPr>
          <w:sz w:val="21"/>
        </w:rPr>
        <w:t>Child Tasks / Subtasks: Individual action items with their own assignees, dates, effort, and complexity.</w:t>
      </w:r>
    </w:p>
    <w:p>
      <w:pPr>
        <w:pStyle w:val="ListBullet"/>
        <w:spacing w:before="0" w:after="60"/>
        <w:ind w:left="360"/>
      </w:pPr>
      <w:r>
        <w:rPr>
          <w:sz w:val="21"/>
        </w:rPr>
        <w:t>Expand/Collapse: Click the chevron icon on any parent row to toggle child visibility.</w:t>
      </w:r>
    </w:p>
    <w:p>
      <w:pPr>
        <w:pStyle w:val="ListBullet"/>
        <w:spacing w:before="0" w:after="60"/>
        <w:ind w:left="360"/>
      </w:pPr>
      <w:r>
        <w:rPr>
          <w:sz w:val="21"/>
        </w:rPr>
        <w:t>Indentation: Child rows are visually indented 24px per nesting level for clear hierarchy display.</w:t>
      </w:r>
    </w:p>
    <w:p/>
    <w:p>
      <w:pPr>
        <w:pStyle w:val="Heading2"/>
        <w:spacing w:before="360" w:after="120"/>
      </w:pPr>
      <w:r>
        <w:rPr>
          <w:color w:val="1E9ED5"/>
        </w:rPr>
        <w:t>3.2  Spreadsheet-Style Inline Editing</w:t>
      </w:r>
    </w:p>
    <w:p>
      <w:pPr>
        <w:spacing w:before="0" w:after="120"/>
      </w:pPr>
      <w:r>
        <w:rPr>
          <w:sz w:val="21"/>
        </w:rPr>
        <w:t>The matrix operates like a live spreadsheet — every cell is directly editable without opening a modal:</w:t>
      </w:r>
    </w:p>
    <w:p>
      <w:pPr>
        <w:pStyle w:val="ListBullet"/>
        <w:spacing w:before="0" w:after="60"/>
        <w:ind w:left="360"/>
      </w:pPr>
      <w:r>
        <w:rPr>
          <w:sz w:val="21"/>
        </w:rPr>
        <w:t>Double-click any cell to activate an inline input field (text, number, date, or dropdown).</w:t>
      </w:r>
    </w:p>
    <w:p>
      <w:pPr>
        <w:pStyle w:val="ListBullet"/>
        <w:spacing w:before="0" w:after="60"/>
        <w:ind w:left="360"/>
      </w:pPr>
      <w:r>
        <w:rPr>
          <w:sz w:val="21"/>
        </w:rPr>
        <w:t>Press Enter or click outside (blur) to save changes. Changes are immediately reflected in the dashboard.</w:t>
      </w:r>
    </w:p>
    <w:p>
      <w:pPr>
        <w:pStyle w:val="ListBullet"/>
        <w:spacing w:before="0" w:after="60"/>
        <w:ind w:left="360"/>
      </w:pPr>
      <w:r>
        <w:rPr>
          <w:sz w:val="21"/>
        </w:rPr>
        <w:t>Dropdown cells enforce valid system options — no free-text entry for controlled fields like Status, Priority, Complexity, or Module.</w:t>
      </w:r>
    </w:p>
    <w:p>
      <w:pPr>
        <w:pStyle w:val="ListBullet"/>
        <w:spacing w:before="0" w:after="60"/>
        <w:ind w:left="360"/>
      </w:pPr>
      <w:r>
        <w:rPr>
          <w:sz w:val="21"/>
        </w:rPr>
        <w:t>Ctrl+Z undoes the last inline edit within the session.</w:t>
      </w:r>
    </w:p>
    <w:p/>
    <w:p>
      <w:pPr>
        <w:pStyle w:val="Heading2"/>
        <w:spacing w:before="360" w:after="120"/>
      </w:pPr>
      <w:r>
        <w:rPr>
          <w:color w:val="1E9ED5"/>
        </w:rPr>
        <w:t>3.3  Task Status Lifecycle</w:t>
      </w:r>
    </w:p>
    <w:p>
      <w:pPr>
        <w:spacing w:before="0" w:after="120"/>
      </w:pPr>
      <w:r>
        <w:rPr>
          <w:sz w:val="21"/>
        </w:rPr>
        <w:t>Status transitions follow a controlled workflow. Not all transitions are permitted — the system enforces the following state machine: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From Status</w:t>
            </w:r>
          </w:p>
        </w:tc>
        <w:tc>
          <w:tcPr>
            <w:tcW w:type="dxa" w:w="4032"/>
            <w:shd w:val="clear" w:color="auto" w:fill="0D1B2A"/>
          </w:tcPr>
          <w:p>
            <w:pPr>
              <w:jc w:val="center"/>
            </w:pPr>
            <w:r>
              <w:rPr>
                <w:b/>
                <w:color w:val="FFFFFF"/>
                <w:sz w:val="19"/>
              </w:rPr>
              <w:t>Permitted Transitions</w:t>
            </w:r>
          </w:p>
        </w:tc>
        <w:tc>
          <w:tcPr>
            <w:tcW w:type="dxa" w:w="2880"/>
            <w:shd w:val="clear" w:color="auto" w:fill="0D1B2A"/>
          </w:tcPr>
          <w:p>
            <w:pPr>
              <w:jc w:val="center"/>
            </w:pPr>
            <w:r>
              <w:rPr>
                <w:b/>
                <w:color w:val="FFFFFF"/>
                <w:sz w:val="19"/>
              </w:rPr>
              <w:t>Comment Required?</w:t>
            </w:r>
          </w:p>
        </w:tc>
      </w:tr>
      <w:tr>
        <w:tc>
          <w:tcPr>
            <w:tcW w:type="dxa" w:w="2304"/>
            <w:shd w:val="clear" w:color="auto" w:fill="F8F9FA"/>
          </w:tcPr>
          <w:p>
            <w:pPr>
              <w:spacing w:before="60" w:after="60"/>
            </w:pPr>
            <w:r>
              <w:rPr>
                <w:sz w:val="19"/>
              </w:rPr>
              <w:t>Not Started</w:t>
            </w:r>
          </w:p>
        </w:tc>
        <w:tc>
          <w:tcPr>
            <w:tcW w:type="dxa" w:w="4032"/>
            <w:shd w:val="clear" w:color="auto" w:fill="F8F9FA"/>
          </w:tcPr>
          <w:p>
            <w:pPr>
              <w:spacing w:before="60" w:after="60"/>
            </w:pPr>
            <w:r>
              <w:rPr>
                <w:sz w:val="19"/>
              </w:rPr>
              <w:t>In Progress, Cancelled</w:t>
            </w:r>
          </w:p>
        </w:tc>
        <w:tc>
          <w:tcPr>
            <w:tcW w:type="dxa" w:w="2880"/>
            <w:shd w:val="clear" w:color="auto" w:fill="F8F9FA"/>
          </w:tcPr>
          <w:p>
            <w:pPr>
              <w:spacing w:before="60" w:after="60"/>
            </w:pPr>
            <w:r>
              <w:rPr>
                <w:sz w:val="19"/>
              </w:rPr>
              <w:t>No</w:t>
            </w:r>
          </w:p>
        </w:tc>
      </w:tr>
      <w:tr>
        <w:tc>
          <w:tcPr>
            <w:tcW w:type="dxa" w:w="2304"/>
            <w:shd w:val="clear" w:color="auto" w:fill="FFFFFF"/>
          </w:tcPr>
          <w:p>
            <w:pPr>
              <w:spacing w:before="60" w:after="60"/>
            </w:pPr>
            <w:r>
              <w:rPr>
                <w:sz w:val="19"/>
              </w:rPr>
              <w:t>In Progress</w:t>
            </w:r>
          </w:p>
        </w:tc>
        <w:tc>
          <w:tcPr>
            <w:tcW w:type="dxa" w:w="4032"/>
            <w:shd w:val="clear" w:color="auto" w:fill="FFFFFF"/>
          </w:tcPr>
          <w:p>
            <w:pPr>
              <w:spacing w:before="60" w:after="60"/>
            </w:pPr>
            <w:r>
              <w:rPr>
                <w:sz w:val="19"/>
              </w:rPr>
              <w:t>Under Review, On Hold, Cancelled</w:t>
            </w:r>
          </w:p>
        </w:tc>
        <w:tc>
          <w:tcPr>
            <w:tcW w:type="dxa" w:w="2880"/>
            <w:shd w:val="clear" w:color="auto" w:fill="FFFFFF"/>
          </w:tcPr>
          <w:p>
            <w:pPr>
              <w:spacing w:before="60" w:after="60"/>
            </w:pPr>
            <w:r>
              <w:rPr>
                <w:sz w:val="19"/>
              </w:rPr>
              <w:t>Required for On Hold, Cancelled</w:t>
            </w:r>
          </w:p>
        </w:tc>
      </w:tr>
      <w:tr>
        <w:tc>
          <w:tcPr>
            <w:tcW w:type="dxa" w:w="2304"/>
            <w:shd w:val="clear" w:color="auto" w:fill="F8F9FA"/>
          </w:tcPr>
          <w:p>
            <w:pPr>
              <w:spacing w:before="60" w:after="60"/>
            </w:pPr>
            <w:r>
              <w:rPr>
                <w:sz w:val="19"/>
              </w:rPr>
              <w:t>Under Review</w:t>
            </w:r>
          </w:p>
        </w:tc>
        <w:tc>
          <w:tcPr>
            <w:tcW w:type="dxa" w:w="4032"/>
            <w:shd w:val="clear" w:color="auto" w:fill="F8F9FA"/>
          </w:tcPr>
          <w:p>
            <w:pPr>
              <w:spacing w:before="60" w:after="60"/>
            </w:pPr>
            <w:r>
              <w:rPr>
                <w:sz w:val="19"/>
              </w:rPr>
              <w:t>Completed, In Progress, Cancelled</w:t>
            </w:r>
          </w:p>
        </w:tc>
        <w:tc>
          <w:tcPr>
            <w:tcW w:type="dxa" w:w="2880"/>
            <w:shd w:val="clear" w:color="auto" w:fill="F8F9FA"/>
          </w:tcPr>
          <w:p>
            <w:pPr>
              <w:spacing w:before="60" w:after="60"/>
            </w:pPr>
            <w:r>
              <w:rPr>
                <w:sz w:val="19"/>
              </w:rPr>
              <w:t>Required for Cancelled</w:t>
            </w:r>
          </w:p>
        </w:tc>
      </w:tr>
      <w:tr>
        <w:tc>
          <w:tcPr>
            <w:tcW w:type="dxa" w:w="2304"/>
            <w:shd w:val="clear" w:color="auto" w:fill="FFFFFF"/>
          </w:tcPr>
          <w:p>
            <w:pPr>
              <w:spacing w:before="60" w:after="60"/>
            </w:pPr>
            <w:r>
              <w:rPr>
                <w:sz w:val="19"/>
              </w:rPr>
              <w:t>On Hold</w:t>
            </w:r>
          </w:p>
        </w:tc>
        <w:tc>
          <w:tcPr>
            <w:tcW w:type="dxa" w:w="4032"/>
            <w:shd w:val="clear" w:color="auto" w:fill="FFFFFF"/>
          </w:tcPr>
          <w:p>
            <w:pPr>
              <w:spacing w:before="60" w:after="60"/>
            </w:pPr>
            <w:r>
              <w:rPr>
                <w:sz w:val="19"/>
              </w:rPr>
              <w:t>In Progress, Under Review, Cancelled</w:t>
            </w:r>
          </w:p>
        </w:tc>
        <w:tc>
          <w:tcPr>
            <w:tcW w:type="dxa" w:w="2880"/>
            <w:shd w:val="clear" w:color="auto" w:fill="FFFFFF"/>
          </w:tcPr>
          <w:p>
            <w:pPr>
              <w:spacing w:before="60" w:after="60"/>
            </w:pPr>
            <w:r>
              <w:rPr>
                <w:sz w:val="19"/>
              </w:rPr>
              <w:t>Required for Cancelled</w:t>
            </w:r>
          </w:p>
        </w:tc>
      </w:tr>
      <w:tr>
        <w:tc>
          <w:tcPr>
            <w:tcW w:type="dxa" w:w="2304"/>
            <w:shd w:val="clear" w:color="auto" w:fill="F8F9FA"/>
          </w:tcPr>
          <w:p>
            <w:pPr>
              <w:spacing w:before="60" w:after="60"/>
            </w:pPr>
            <w:r>
              <w:rPr>
                <w:sz w:val="19"/>
              </w:rPr>
              <w:t>Completed</w:t>
            </w:r>
          </w:p>
        </w:tc>
        <w:tc>
          <w:tcPr>
            <w:tcW w:type="dxa" w:w="4032"/>
            <w:shd w:val="clear" w:color="auto" w:fill="F8F9FA"/>
          </w:tcPr>
          <w:p>
            <w:pPr>
              <w:spacing w:before="60" w:after="60"/>
            </w:pPr>
            <w:r>
              <w:rPr>
                <w:sz w:val="19"/>
              </w:rPr>
              <w:t>In Progress (re-open)</w:t>
            </w:r>
          </w:p>
        </w:tc>
        <w:tc>
          <w:tcPr>
            <w:tcW w:type="dxa" w:w="2880"/>
            <w:shd w:val="clear" w:color="auto" w:fill="F8F9FA"/>
          </w:tcPr>
          <w:p>
            <w:pPr>
              <w:spacing w:before="60" w:after="60"/>
            </w:pPr>
            <w:r>
              <w:rPr>
                <w:sz w:val="19"/>
              </w:rPr>
              <w:t>No</w:t>
            </w:r>
          </w:p>
        </w:tc>
      </w:tr>
      <w:tr>
        <w:tc>
          <w:tcPr>
            <w:tcW w:type="dxa" w:w="2304"/>
            <w:shd w:val="clear" w:color="auto" w:fill="FFFFFF"/>
          </w:tcPr>
          <w:p>
            <w:pPr>
              <w:spacing w:before="60" w:after="60"/>
            </w:pPr>
            <w:r>
              <w:rPr>
                <w:sz w:val="19"/>
              </w:rPr>
              <w:t>Cancelled</w:t>
            </w:r>
          </w:p>
        </w:tc>
        <w:tc>
          <w:tcPr>
            <w:tcW w:type="dxa" w:w="4032"/>
            <w:shd w:val="clear" w:color="auto" w:fill="FFFFFF"/>
          </w:tcPr>
          <w:p>
            <w:pPr>
              <w:spacing w:before="60" w:after="60"/>
            </w:pPr>
            <w:r>
              <w:rPr>
                <w:sz w:val="19"/>
              </w:rPr>
              <w:t>Not Started (re-activate)</w:t>
            </w:r>
          </w:p>
        </w:tc>
        <w:tc>
          <w:tcPr>
            <w:tcW w:type="dxa" w:w="2880"/>
            <w:shd w:val="clear" w:color="auto" w:fill="FFFFFF"/>
          </w:tcPr>
          <w:p>
            <w:pPr>
              <w:spacing w:before="60" w:after="60"/>
            </w:pPr>
            <w:r>
              <w:rPr>
                <w:sz w:val="19"/>
              </w:rPr>
              <w:t>No</w:t>
            </w:r>
          </w:p>
        </w:tc>
      </w:tr>
    </w:tbl>
    <w:p>
      <w:pPr>
        <w:spacing w:after="120"/>
      </w:pPr>
    </w:p>
    <w:p>
      <w:pPr>
        <w:pStyle w:val="Heading2"/>
        <w:spacing w:before="360" w:after="120"/>
      </w:pPr>
      <w:r>
        <w:rPr>
          <w:color w:val="1E9ED5"/>
        </w:rPr>
        <w:t>3.4  Column Management &amp; Visibility</w:t>
      </w:r>
    </w:p>
    <w:p>
      <w:pPr>
        <w:spacing w:before="0" w:after="120"/>
      </w:pPr>
      <w:r>
        <w:rPr>
          <w:sz w:val="21"/>
        </w:rPr>
        <w:t>The visible column set, order, and column widths are fully configurable:</w:t>
      </w:r>
    </w:p>
    <w:p>
      <w:pPr>
        <w:pStyle w:val="ListBullet"/>
        <w:spacing w:before="0" w:after="60"/>
        <w:ind w:left="360"/>
      </w:pPr>
      <w:r>
        <w:rPr>
          <w:sz w:val="21"/>
        </w:rPr>
        <w:t>Right-click any column header to show the Column Visibility panel.</w:t>
      </w:r>
    </w:p>
    <w:p>
      <w:pPr>
        <w:pStyle w:val="ListBullet"/>
        <w:spacing w:before="0" w:after="60"/>
        <w:ind w:left="360"/>
      </w:pPr>
      <w:r>
        <w:rPr>
          <w:sz w:val="21"/>
        </w:rPr>
        <w:t>Drag column headers horizontally to reorder them.</w:t>
      </w:r>
    </w:p>
    <w:p>
      <w:pPr>
        <w:pStyle w:val="ListBullet"/>
        <w:spacing w:before="0" w:after="60"/>
        <w:ind w:left="360"/>
      </w:pPr>
      <w:r>
        <w:rPr>
          <w:sz w:val="21"/>
        </w:rPr>
        <w:t>Drag the right edge of a column header to resize it. All configurations persist across sessions via localStorage.</w:t>
      </w:r>
    </w:p>
    <w:p/>
    <w:p>
      <w:pPr>
        <w:pStyle w:val="Heading2"/>
        <w:spacing w:before="360" w:after="120"/>
      </w:pPr>
      <w:r>
        <w:rPr>
          <w:color w:val="1E9ED5"/>
        </w:rPr>
        <w:t>3.5  Complexity &amp; Effort Estimation</w:t>
      </w:r>
    </w:p>
    <w:p>
      <w:pPr>
        <w:spacing w:before="0" w:after="120"/>
      </w:pPr>
      <w:r>
        <w:rPr>
          <w:sz w:val="21"/>
        </w:rPr>
        <w:t>ProjectPulse uses a three-tier complexity model that scales estimated effort:</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Complexity Level</w:t>
            </w:r>
          </w:p>
        </w:tc>
        <w:tc>
          <w:tcPr>
            <w:tcW w:type="dxa" w:w="2592"/>
            <w:shd w:val="clear" w:color="auto" w:fill="0D1B2A"/>
          </w:tcPr>
          <w:p>
            <w:pPr>
              <w:jc w:val="center"/>
            </w:pPr>
            <w:r>
              <w:rPr>
                <w:b/>
                <w:color w:val="FFFFFF"/>
                <w:sz w:val="19"/>
              </w:rPr>
              <w:t>Effort Multiplier</w:t>
            </w:r>
          </w:p>
        </w:tc>
        <w:tc>
          <w:tcPr>
            <w:tcW w:type="dxa" w:w="4320"/>
            <w:shd w:val="clear" w:color="auto" w:fill="0D1B2A"/>
          </w:tcPr>
          <w:p>
            <w:pPr>
              <w:jc w:val="center"/>
            </w:pPr>
            <w:r>
              <w:rPr>
                <w:b/>
                <w:color w:val="FFFFFF"/>
                <w:sz w:val="19"/>
              </w:rPr>
              <w:t>Recommended Use Case</w:t>
            </w:r>
          </w:p>
        </w:tc>
      </w:tr>
      <w:tr>
        <w:tc>
          <w:tcPr>
            <w:tcW w:type="dxa" w:w="2592"/>
            <w:shd w:val="clear" w:color="auto" w:fill="F8F9FA"/>
          </w:tcPr>
          <w:p>
            <w:pPr>
              <w:spacing w:before="60" w:after="60"/>
            </w:pPr>
            <w:r>
              <w:rPr>
                <w:sz w:val="19"/>
              </w:rPr>
              <w:t>Easy</w:t>
            </w:r>
          </w:p>
        </w:tc>
        <w:tc>
          <w:tcPr>
            <w:tcW w:type="dxa" w:w="2592"/>
            <w:shd w:val="clear" w:color="auto" w:fill="F8F9FA"/>
          </w:tcPr>
          <w:p>
            <w:pPr>
              <w:spacing w:before="60" w:after="60"/>
            </w:pPr>
            <w:r>
              <w:rPr>
                <w:sz w:val="19"/>
              </w:rPr>
              <w:t>0.5×</w:t>
            </w:r>
          </w:p>
        </w:tc>
        <w:tc>
          <w:tcPr>
            <w:tcW w:type="dxa" w:w="4320"/>
            <w:shd w:val="clear" w:color="auto" w:fill="F8F9FA"/>
          </w:tcPr>
          <w:p>
            <w:pPr>
              <w:spacing w:before="60" w:after="60"/>
            </w:pPr>
            <w:r>
              <w:rPr>
                <w:sz w:val="19"/>
              </w:rPr>
              <w:t>Well-understood tasks with clear requirements and low dependency.</w:t>
            </w:r>
          </w:p>
        </w:tc>
      </w:tr>
      <w:tr>
        <w:tc>
          <w:tcPr>
            <w:tcW w:type="dxa" w:w="2592"/>
            <w:shd w:val="clear" w:color="auto" w:fill="FFFFFF"/>
          </w:tcPr>
          <w:p>
            <w:pPr>
              <w:spacing w:before="60" w:after="60"/>
            </w:pPr>
            <w:r>
              <w:rPr>
                <w:sz w:val="19"/>
              </w:rPr>
              <w:t>Medium</w:t>
            </w:r>
          </w:p>
        </w:tc>
        <w:tc>
          <w:tcPr>
            <w:tcW w:type="dxa" w:w="2592"/>
            <w:shd w:val="clear" w:color="auto" w:fill="FFFFFF"/>
          </w:tcPr>
          <w:p>
            <w:pPr>
              <w:spacing w:before="60" w:after="60"/>
            </w:pPr>
            <w:r>
              <w:rPr>
                <w:sz w:val="19"/>
              </w:rPr>
              <w:t>1.0×</w:t>
            </w:r>
          </w:p>
        </w:tc>
        <w:tc>
          <w:tcPr>
            <w:tcW w:type="dxa" w:w="4320"/>
            <w:shd w:val="clear" w:color="auto" w:fill="FFFFFF"/>
          </w:tcPr>
          <w:p>
            <w:pPr>
              <w:spacing w:before="60" w:after="60"/>
            </w:pPr>
            <w:r>
              <w:rPr>
                <w:sz w:val="19"/>
              </w:rPr>
              <w:t>Standard development tasks with moderate ambiguity.</w:t>
            </w:r>
          </w:p>
        </w:tc>
      </w:tr>
      <w:tr>
        <w:tc>
          <w:tcPr>
            <w:tcW w:type="dxa" w:w="2592"/>
            <w:shd w:val="clear" w:color="auto" w:fill="F8F9FA"/>
          </w:tcPr>
          <w:p>
            <w:pPr>
              <w:spacing w:before="60" w:after="60"/>
            </w:pPr>
            <w:r>
              <w:rPr>
                <w:sz w:val="19"/>
              </w:rPr>
              <w:t>Complex</w:t>
            </w:r>
          </w:p>
        </w:tc>
        <w:tc>
          <w:tcPr>
            <w:tcW w:type="dxa" w:w="2592"/>
            <w:shd w:val="clear" w:color="auto" w:fill="F8F9FA"/>
          </w:tcPr>
          <w:p>
            <w:pPr>
              <w:spacing w:before="60" w:after="60"/>
            </w:pPr>
            <w:r>
              <w:rPr>
                <w:sz w:val="19"/>
              </w:rPr>
              <w:t>1.5×</w:t>
            </w:r>
          </w:p>
        </w:tc>
        <w:tc>
          <w:tcPr>
            <w:tcW w:type="dxa" w:w="4320"/>
            <w:shd w:val="clear" w:color="auto" w:fill="F8F9FA"/>
          </w:tcPr>
          <w:p>
            <w:pPr>
              <w:spacing w:before="60" w:after="60"/>
            </w:pPr>
            <w:r>
              <w:rPr>
                <w:sz w:val="19"/>
              </w:rPr>
              <w:t>Tasks with significant unknowns, cross-team dependencies, or novel engineering challenges.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ℹ  NOTE  </w:t>
            </w:r>
          </w:p>
          <w:p>
            <w:pPr>
              <w:spacing w:before="40" w:after="120"/>
              <w:ind w:left="144"/>
            </w:pPr>
            <w:r>
              <w:rPr>
                <w:sz w:val="20"/>
              </w:rPr>
              <w:t>The Effort Unit (hrs / days / months) is a global system setting configured in Administration → General Settings. All effort values across the entire application honour this setting — switching units automatically recalculates all displayed values.</w:t>
            </w:r>
          </w:p>
        </w:tc>
      </w:tr>
    </w:tbl>
    <w:p/>
    <w:p>
      <w:pPr>
        <w:pStyle w:val="Heading2"/>
        <w:spacing w:before="360" w:after="120"/>
      </w:pPr>
      <w:r>
        <w:rPr>
          <w:color w:val="1E9ED5"/>
        </w:rPr>
        <w:t>3.6  Filtering &amp; Sorting</w:t>
      </w:r>
    </w:p>
    <w:p>
      <w:pPr>
        <w:spacing w:before="0" w:after="120"/>
      </w:pPr>
      <w:r>
        <w:rPr>
          <w:sz w:val="21"/>
        </w:rPr>
        <w:t>The left sidebar provides a powerful multi-dimensional filter panel:</w:t>
      </w:r>
    </w:p>
    <w:p>
      <w:pPr>
        <w:pStyle w:val="ListBullet"/>
        <w:spacing w:before="0" w:after="60"/>
        <w:ind w:left="360"/>
      </w:pPr>
      <w:r>
        <w:rPr>
          <w:sz w:val="21"/>
        </w:rPr>
        <w:t>Filter by Module, Status, Priority, Assignee, Release, Category, and Module Type simultaneously.</w:t>
      </w:r>
    </w:p>
    <w:p>
      <w:pPr>
        <w:pStyle w:val="ListBullet"/>
        <w:spacing w:before="0" w:after="60"/>
        <w:ind w:left="360"/>
      </w:pPr>
      <w:r>
        <w:rPr>
          <w:sz w:val="21"/>
        </w:rPr>
        <w:t>Click any column header once to sort ascending; click again to sort descending.</w:t>
      </w:r>
    </w:p>
    <w:p>
      <w:pPr>
        <w:pStyle w:val="ListBullet"/>
        <w:spacing w:before="0" w:after="60"/>
        <w:ind w:left="360"/>
      </w:pPr>
      <w:r>
        <w:rPr>
          <w:sz w:val="21"/>
        </w:rPr>
        <w:t>Active filters are displayed as removable pills at the top of the filter sidebar.</w:t>
      </w:r>
    </w:p>
    <w:p>
      <w:pPr>
        <w:pStyle w:val="ListBullet"/>
        <w:spacing w:before="0" w:after="60"/>
        <w:ind w:left="360"/>
      </w:pPr>
      <w:r>
        <w:rPr>
          <w:sz w:val="21"/>
        </w:rPr>
        <w:t>The search bar performs live full-text search across Task IDs, names, assignees, and notes.</w:t>
      </w:r>
    </w:p>
    <w:p/>
    <w:p>
      <w:r>
        <w:br w:type="page"/>
      </w:r>
    </w:p>
    <w:p>
      <w:pPr>
        <w:pStyle w:val="Heading1"/>
        <w:spacing w:before="360" w:after="120"/>
      </w:pPr>
      <w:r>
        <w:rPr>
          <w:color w:val="0D1B2A"/>
        </w:rPr>
        <w:t>4  Gantt Timeline &amp; Dependency Management</w:t>
      </w:r>
    </w:p>
    <w:p>
      <w:pPr>
        <w:pBdr>
          <w:bottom w:val="single" w:sz="6" w:space="1" w:color="00C2A8"/>
        </w:pBdr>
        <w:spacing w:before="0" w:after="120"/>
      </w:pPr>
    </w:p>
    <w:p>
      <w:pPr>
        <w:spacing w:before="0" w:after="160"/>
      </w:pPr>
      <w:r>
        <w:rPr>
          <w:sz w:val="21"/>
        </w:rPr>
        <w:t>The Gantt Timeline provides a time-anchored visual representation of the project schedule. Tasks appear as horizontal bars spanning their start-to-due date range, with dependency arrows linking predecessor and successor tasks. Toggle to the Timeline view by clicking 'Timeline' in the Delivery Matrix toolbar.</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4.1 — Gantt Timeline with dependency arrows, critical path highlighting, and baseline comparison overlay</w:t>
      </w:r>
    </w:p>
    <w:p>
      <w:pPr>
        <w:pStyle w:val="Heading2"/>
        <w:spacing w:before="360" w:after="120"/>
      </w:pPr>
      <w:r>
        <w:rPr>
          <w:color w:val="1E9ED5"/>
        </w:rPr>
        <w:t>4.1  Timeline Controls</w:t>
      </w:r>
    </w:p>
    <w:p>
      <w:pPr>
        <w:spacing w:before="0" w:after="120"/>
      </w:pPr>
      <w:r>
        <w:rPr>
          <w:sz w:val="21"/>
        </w:rPr>
        <w:t>The timeline toolbar provides granular navigation controls:</w:t>
      </w:r>
    </w:p>
    <w:p>
      <w:pPr>
        <w:pStyle w:val="ListBullet"/>
        <w:spacing w:before="0" w:after="60"/>
        <w:ind w:left="360"/>
      </w:pPr>
      <w:r>
        <w:rPr>
          <w:sz w:val="21"/>
        </w:rPr>
        <w:t>Zoom Levels: Day / Week / Month / Quarter — adjust the time-axis resolution.</w:t>
      </w:r>
    </w:p>
    <w:p>
      <w:pPr>
        <w:pStyle w:val="ListBullet"/>
        <w:spacing w:before="0" w:after="60"/>
        <w:ind w:left="360"/>
      </w:pPr>
      <w:r>
        <w:rPr>
          <w:sz w:val="21"/>
        </w:rPr>
        <w:t>Scroll: Click-drag the timeline canvas to pan left/right across the schedule.</w:t>
      </w:r>
    </w:p>
    <w:p>
      <w:pPr>
        <w:pStyle w:val="ListBullet"/>
        <w:spacing w:before="0" w:after="60"/>
        <w:ind w:left="360"/>
      </w:pPr>
      <w:r>
        <w:rPr>
          <w:sz w:val="21"/>
        </w:rPr>
        <w:t>Today Line: A vertical amber marker indicates today's date on the timeline.</w:t>
      </w:r>
    </w:p>
    <w:p>
      <w:pPr>
        <w:pStyle w:val="ListBullet"/>
        <w:spacing w:before="0" w:after="60"/>
        <w:ind w:left="360"/>
      </w:pPr>
      <w:r>
        <w:rPr>
          <w:sz w:val="21"/>
        </w:rPr>
        <w:t>Baseline Overlay: Toggle the baseline date range (shown as a ghost bar behind each task bar) to visually compare planned vs. actual schedule positions.</w:t>
      </w:r>
    </w:p>
    <w:p/>
    <w:p>
      <w:pPr>
        <w:pStyle w:val="Heading2"/>
        <w:spacing w:before="360" w:after="120"/>
      </w:pPr>
      <w:r>
        <w:rPr>
          <w:color w:val="1E9ED5"/>
        </w:rPr>
        <w:t>4.2  Dependency Arrows</w:t>
      </w:r>
    </w:p>
    <w:p>
      <w:pPr>
        <w:spacing w:before="0" w:after="120"/>
      </w:pPr>
      <w:r>
        <w:rPr>
          <w:sz w:val="21"/>
        </w:rPr>
        <w:t>Finish-to-Start dependency relationships between tasks are rendered as curved SVG arrows connecting predecessor task bars to successor task bars.</w:t>
      </w:r>
    </w:p>
    <w:p>
      <w:pPr>
        <w:pStyle w:val="ListBullet"/>
        <w:spacing w:before="0" w:after="60"/>
        <w:ind w:left="360"/>
      </w:pPr>
      <w:r>
        <w:rPr>
          <w:sz w:val="21"/>
        </w:rPr>
        <w:t>Blue arrows: Active dependencies where the predecessor is still incomplete.</w:t>
      </w:r>
    </w:p>
    <w:p>
      <w:pPr>
        <w:pStyle w:val="ListBullet"/>
        <w:spacing w:before="0" w:after="60"/>
        <w:ind w:left="360"/>
      </w:pPr>
      <w:r>
        <w:rPr>
          <w:sz w:val="21"/>
        </w:rPr>
        <w:t>Green arrows: Resolved dependencies (predecessor is Completed).</w:t>
      </w:r>
    </w:p>
    <w:p>
      <w:pPr>
        <w:pStyle w:val="ListBullet"/>
        <w:spacing w:before="0" w:after="60"/>
        <w:ind w:left="360"/>
      </w:pPr>
      <w:r>
        <w:rPr>
          <w:sz w:val="21"/>
        </w:rPr>
        <w:t>Red arrows: Violated dependencies — the successor's start date precedes the predecessor's due date (scheduling conflict).</w:t>
      </w:r>
    </w:p>
    <w:p/>
    <w:p>
      <w:pPr>
        <w:pStyle w:val="Heading2"/>
        <w:spacing w:before="360" w:after="120"/>
      </w:pPr>
      <w:r>
        <w:rPr>
          <w:color w:val="1E9ED5"/>
        </w:rPr>
        <w:t>4.3  Drag-to-Reschedule</w:t>
      </w:r>
    </w:p>
    <w:p>
      <w:pPr>
        <w:spacing w:before="0" w:after="120"/>
      </w:pPr>
      <w:r>
        <w:rPr>
          <w:sz w:val="21"/>
        </w:rPr>
        <w:t>Task bars on the timeline are interactive:</w:t>
      </w:r>
    </w:p>
    <w:p>
      <w:pPr>
        <w:pStyle w:val="ListBullet"/>
        <w:spacing w:before="0" w:after="60"/>
        <w:ind w:left="360"/>
      </w:pPr>
      <w:r>
        <w:rPr>
          <w:sz w:val="21"/>
        </w:rPr>
        <w:t>Drag the bar body horizontally to shift the start and due date together (preserving duration).</w:t>
      </w:r>
    </w:p>
    <w:p>
      <w:pPr>
        <w:pStyle w:val="ListBullet"/>
        <w:spacing w:before="0" w:after="60"/>
        <w:ind w:left="360"/>
      </w:pPr>
      <w:r>
        <w:rPr>
          <w:sz w:val="21"/>
        </w:rPr>
        <w:t>Drag the right edge of the bar to extend or shorten the duration.</w:t>
      </w:r>
    </w:p>
    <w:p>
      <w:pPr>
        <w:pStyle w:val="ListBullet"/>
        <w:spacing w:before="0" w:after="60"/>
        <w:ind w:left="360"/>
      </w:pPr>
      <w:r>
        <w:rPr>
          <w:sz w:val="21"/>
        </w:rPr>
        <w:t>Cascading: When a task's dates shift, all downstream dependent tasks can optionally cascade their dates forward automatically.</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Cascading date shifts in the Gantt view operate on the live schedule by default. To experiment safely without affecting the live plan, activate Sandbox Mode first (available via the Scheduler view).</w:t>
            </w:r>
          </w:p>
        </w:tc>
      </w:tr>
    </w:tbl>
    <w:p/>
    <w:p>
      <w:r>
        <w:br w:type="page"/>
      </w:r>
    </w:p>
    <w:p>
      <w:pPr>
        <w:pStyle w:val="Heading1"/>
        <w:spacing w:before="360" w:after="120"/>
      </w:pPr>
      <w:r>
        <w:rPr>
          <w:color w:val="0D1B2A"/>
        </w:rPr>
        <w:t>5  Intelligent Weekly Scheduler &amp; Conflict Resolver</w:t>
      </w:r>
    </w:p>
    <w:p>
      <w:pPr>
        <w:pBdr>
          <w:bottom w:val="single" w:sz="6" w:space="1" w:color="00C2A8"/>
        </w:pBdr>
        <w:spacing w:before="0" w:after="120"/>
      </w:pPr>
    </w:p>
    <w:p>
      <w:pPr>
        <w:spacing w:before="0" w:after="160"/>
      </w:pPr>
      <w:r>
        <w:rPr>
          <w:sz w:val="21"/>
        </w:rPr>
        <w:t>The Weekly Scheduler is the resource-levelling engine of ProjectPulse. It maps team capacity against assigned task efforts across a rolling 12-week horizon, surfacing over-allocations, dependency violations, and scheduling conflicts — and offering automated resolution heuristics via the Copilot engine.</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5.1 — Weekly Scheduler: Resource Heatmap Grid, Conflict Diagnostics, and Copilot Cockpit</w:t>
      </w:r>
    </w:p>
    <w:p>
      <w:pPr>
        <w:pStyle w:val="Heading2"/>
        <w:spacing w:before="360" w:after="120"/>
      </w:pPr>
      <w:r>
        <w:rPr>
          <w:color w:val="1E9ED5"/>
        </w:rPr>
        <w:t>5.1  The Weekly Heatmap Grid</w:t>
      </w:r>
    </w:p>
    <w:p>
      <w:pPr>
        <w:spacing w:before="0" w:after="120"/>
      </w:pPr>
      <w:r>
        <w:rPr>
          <w:sz w:val="21"/>
        </w:rPr>
        <w:t>The central element of the Scheduler is a two-dimensional heatmap grid: team members on the vertical axis and calendar weeks on the horizontal axis. Each cell displays the resource's allocated hours vs. their weekly capacity: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Cell State</w:t>
            </w:r>
          </w:p>
        </w:tc>
        <w:tc>
          <w:tcPr>
            <w:tcW w:type="dxa" w:w="2880"/>
            <w:shd w:val="clear" w:color="auto" w:fill="0D1B2A"/>
          </w:tcPr>
          <w:p>
            <w:pPr>
              <w:jc w:val="center"/>
            </w:pPr>
            <w:r>
              <w:rPr>
                <w:b/>
                <w:color w:val="FFFFFF"/>
                <w:sz w:val="19"/>
              </w:rPr>
              <w:t>Display</w:t>
            </w:r>
          </w:p>
        </w:tc>
        <w:tc>
          <w:tcPr>
            <w:tcW w:type="dxa" w:w="2592"/>
            <w:shd w:val="clear" w:color="auto" w:fill="0D1B2A"/>
          </w:tcPr>
          <w:p>
            <w:pPr>
              <w:jc w:val="center"/>
            </w:pPr>
            <w:r>
              <w:rPr>
                <w:b/>
                <w:color w:val="FFFFFF"/>
                <w:sz w:val="19"/>
              </w:rPr>
              <w:t>Condition</w:t>
            </w:r>
          </w:p>
        </w:tc>
        <w:tc>
          <w:tcPr>
            <w:tcW w:type="dxa" w:w="2304"/>
            <w:shd w:val="clear" w:color="auto" w:fill="0D1B2A"/>
          </w:tcPr>
          <w:p>
            <w:pPr>
              <w:jc w:val="center"/>
            </w:pPr>
            <w:r>
              <w:rPr>
                <w:b/>
                <w:color w:val="FFFFFF"/>
                <w:sz w:val="19"/>
              </w:rPr>
              <w:t>Action Required</w:t>
            </w:r>
          </w:p>
        </w:tc>
      </w:tr>
      <w:tr>
        <w:tc>
          <w:tcPr>
            <w:tcW w:type="dxa" w:w="2016"/>
            <w:shd w:val="clear" w:color="auto" w:fill="F8F9FA"/>
          </w:tcPr>
          <w:p>
            <w:pPr>
              <w:spacing w:before="60" w:after="60"/>
            </w:pPr>
            <w:r>
              <w:rPr>
                <w:sz w:val="19"/>
              </w:rPr>
              <w:t>Over-allocated</w:t>
            </w:r>
          </w:p>
        </w:tc>
        <w:tc>
          <w:tcPr>
            <w:tcW w:type="dxa" w:w="2880"/>
            <w:shd w:val="clear" w:color="auto" w:fill="F8F9FA"/>
          </w:tcPr>
          <w:p>
            <w:pPr>
              <w:spacing w:before="60" w:after="60"/>
            </w:pPr>
            <w:r>
              <w:rPr>
                <w:sz w:val="19"/>
              </w:rPr>
              <w:t>Neon crimson glow — e.g. '48h / 40h'</w:t>
            </w:r>
          </w:p>
        </w:tc>
        <w:tc>
          <w:tcPr>
            <w:tcW w:type="dxa" w:w="2592"/>
            <w:shd w:val="clear" w:color="auto" w:fill="F8F9FA"/>
          </w:tcPr>
          <w:p>
            <w:pPr>
              <w:spacing w:before="60" w:after="60"/>
            </w:pPr>
            <w:r>
              <w:rPr>
                <w:sz w:val="19"/>
              </w:rPr>
              <w:t>Allocated hours &gt; Capacity</w:t>
            </w:r>
          </w:p>
        </w:tc>
        <w:tc>
          <w:tcPr>
            <w:tcW w:type="dxa" w:w="2304"/>
            <w:shd w:val="clear" w:color="auto" w:fill="F8F9FA"/>
          </w:tcPr>
          <w:p>
            <w:pPr>
              <w:spacing w:before="60" w:after="60"/>
            </w:pPr>
            <w:r>
              <w:rPr>
                <w:sz w:val="19"/>
              </w:rPr>
              <w:t>Reassign or extend task dates.</w:t>
            </w:r>
          </w:p>
        </w:tc>
      </w:tr>
      <w:tr>
        <w:tc>
          <w:tcPr>
            <w:tcW w:type="dxa" w:w="2016"/>
            <w:shd w:val="clear" w:color="auto" w:fill="FFFFFF"/>
          </w:tcPr>
          <w:p>
            <w:pPr>
              <w:spacing w:before="60" w:after="60"/>
            </w:pPr>
            <w:r>
              <w:rPr>
                <w:sz w:val="19"/>
              </w:rPr>
              <w:t>Optimal</w:t>
            </w:r>
          </w:p>
        </w:tc>
        <w:tc>
          <w:tcPr>
            <w:tcW w:type="dxa" w:w="2880"/>
            <w:shd w:val="clear" w:color="auto" w:fill="FFFFFF"/>
          </w:tcPr>
          <w:p>
            <w:pPr>
              <w:spacing w:before="60" w:after="60"/>
            </w:pPr>
            <w:r>
              <w:rPr>
                <w:sz w:val="19"/>
              </w:rPr>
              <w:t>Green highlight — e.g. '38h / 40h'</w:t>
            </w:r>
          </w:p>
        </w:tc>
        <w:tc>
          <w:tcPr>
            <w:tcW w:type="dxa" w:w="2592"/>
            <w:shd w:val="clear" w:color="auto" w:fill="FFFFFF"/>
          </w:tcPr>
          <w:p>
            <w:pPr>
              <w:spacing w:before="60" w:after="60"/>
            </w:pPr>
            <w:r>
              <w:rPr>
                <w:sz w:val="19"/>
              </w:rPr>
              <w:t>80%–100% of capacity used</w:t>
            </w:r>
          </w:p>
        </w:tc>
        <w:tc>
          <w:tcPr>
            <w:tcW w:type="dxa" w:w="2304"/>
            <w:shd w:val="clear" w:color="auto" w:fill="FFFFFF"/>
          </w:tcPr>
          <w:p>
            <w:pPr>
              <w:spacing w:before="60" w:after="60"/>
            </w:pPr>
            <w:r>
              <w:rPr>
                <w:sz w:val="19"/>
              </w:rPr>
              <w:t>No action required.</w:t>
            </w:r>
          </w:p>
        </w:tc>
      </w:tr>
      <w:tr>
        <w:tc>
          <w:tcPr>
            <w:tcW w:type="dxa" w:w="2016"/>
            <w:shd w:val="clear" w:color="auto" w:fill="F8F9FA"/>
          </w:tcPr>
          <w:p>
            <w:pPr>
              <w:spacing w:before="60" w:after="60"/>
            </w:pPr>
            <w:r>
              <w:rPr>
                <w:sz w:val="19"/>
              </w:rPr>
              <w:t>Under-utilised</w:t>
            </w:r>
          </w:p>
        </w:tc>
        <w:tc>
          <w:tcPr>
            <w:tcW w:type="dxa" w:w="2880"/>
            <w:shd w:val="clear" w:color="auto" w:fill="F8F9FA"/>
          </w:tcPr>
          <w:p>
            <w:pPr>
              <w:spacing w:before="60" w:after="60"/>
            </w:pPr>
            <w:r>
              <w:rPr>
                <w:sz w:val="19"/>
              </w:rPr>
              <w:t>Slate grey — e.g. '22h / 40h'</w:t>
            </w:r>
          </w:p>
        </w:tc>
        <w:tc>
          <w:tcPr>
            <w:tcW w:type="dxa" w:w="2592"/>
            <w:shd w:val="clear" w:color="auto" w:fill="F8F9FA"/>
          </w:tcPr>
          <w:p>
            <w:pPr>
              <w:spacing w:before="60" w:after="60"/>
            </w:pPr>
            <w:r>
              <w:rPr>
                <w:sz w:val="19"/>
              </w:rPr>
              <w:t>&lt; 70% of capacity used</w:t>
            </w:r>
          </w:p>
        </w:tc>
        <w:tc>
          <w:tcPr>
            <w:tcW w:type="dxa" w:w="2304"/>
            <w:shd w:val="clear" w:color="auto" w:fill="F8F9FA"/>
          </w:tcPr>
          <w:p>
            <w:pPr>
              <w:spacing w:before="60" w:after="60"/>
            </w:pPr>
            <w:r>
              <w:rPr>
                <w:sz w:val="19"/>
              </w:rPr>
              <w:t>Consider additional task assignments.</w:t>
            </w:r>
          </w:p>
        </w:tc>
      </w:tr>
      <w:tr>
        <w:tc>
          <w:tcPr>
            <w:tcW w:type="dxa" w:w="2016"/>
            <w:shd w:val="clear" w:color="auto" w:fill="FFFFFF"/>
          </w:tcPr>
          <w:p>
            <w:pPr>
              <w:spacing w:before="60" w:after="60"/>
            </w:pPr>
            <w:r>
              <w:rPr>
                <w:sz w:val="19"/>
              </w:rPr>
              <w:t>On Leave</w:t>
            </w:r>
          </w:p>
        </w:tc>
        <w:tc>
          <w:tcPr>
            <w:tcW w:type="dxa" w:w="2880"/>
            <w:shd w:val="clear" w:color="auto" w:fill="FFFFFF"/>
          </w:tcPr>
          <w:p>
            <w:pPr>
              <w:spacing w:before="60" w:after="60"/>
            </w:pPr>
            <w:r>
              <w:rPr>
                <w:sz w:val="19"/>
              </w:rPr>
              <w:t>Hatched pattern — '0h / 0h'</w:t>
            </w:r>
          </w:p>
        </w:tc>
        <w:tc>
          <w:tcPr>
            <w:tcW w:type="dxa" w:w="2592"/>
            <w:shd w:val="clear" w:color="auto" w:fill="FFFFFF"/>
          </w:tcPr>
          <w:p>
            <w:pPr>
              <w:spacing w:before="60" w:after="60"/>
            </w:pPr>
            <w:r>
              <w:rPr>
                <w:sz w:val="19"/>
              </w:rPr>
              <w:t>Leave recorded in Capacity Hub</w:t>
            </w:r>
          </w:p>
        </w:tc>
        <w:tc>
          <w:tcPr>
            <w:tcW w:type="dxa" w:w="2304"/>
            <w:shd w:val="clear" w:color="auto" w:fill="FFFFFF"/>
          </w:tcPr>
          <w:p>
            <w:pPr>
              <w:spacing w:before="60" w:after="60"/>
            </w:pPr>
            <w:r>
              <w:rPr>
                <w:sz w:val="19"/>
              </w:rPr>
              <w:t>No tasks should be assigned.</w:t>
            </w:r>
          </w:p>
        </w:tc>
      </w:tr>
    </w:tbl>
    <w:p>
      <w:pPr>
        <w:spacing w:after="120"/>
      </w:pPr>
    </w:p>
    <w:p>
      <w:pPr>
        <w:pStyle w:val="Heading2"/>
        <w:spacing w:before="360" w:after="120"/>
      </w:pPr>
      <w:r>
        <w:rPr>
          <w:color w:val="1E9ED5"/>
        </w:rPr>
        <w:t>5.2  Left Navigation Sidebar</w:t>
      </w:r>
    </w:p>
    <w:p>
      <w:pPr>
        <w:spacing w:before="0" w:after="120"/>
      </w:pPr>
      <w:r>
        <w:rPr>
          <w:sz w:val="21"/>
        </w:rPr>
        <w:t>The scheduler sidebar provides four real-time widgets:</w:t>
      </w:r>
    </w:p>
    <w:p>
      <w:pPr>
        <w:pStyle w:val="ListBullet"/>
        <w:spacing w:before="0" w:after="60"/>
        <w:ind w:left="360"/>
      </w:pPr>
      <w:r>
        <w:rPr>
          <w:sz w:val="21"/>
        </w:rPr>
        <w:t>Statistics Bar: Shows Active Conflicts count, Monitored Tasks, Sandbox State (CLEAN / DIRTY), and current Week Offset.</w:t>
      </w:r>
    </w:p>
    <w:p>
      <w:pPr>
        <w:pStyle w:val="ListBullet"/>
        <w:spacing w:before="0" w:after="60"/>
        <w:ind w:left="360"/>
      </w:pPr>
      <w:r>
        <w:rPr>
          <w:sz w:val="21"/>
        </w:rPr>
        <w:t>Team Workload Widget: A progress-bar checklist showing total weekly allocated days per active team member.</w:t>
      </w:r>
    </w:p>
    <w:p>
      <w:pPr>
        <w:pStyle w:val="ListBullet"/>
        <w:spacing w:before="0" w:after="60"/>
        <w:ind w:left="360"/>
      </w:pPr>
      <w:r>
        <w:rPr>
          <w:sz w:val="21"/>
        </w:rPr>
        <w:t>Active Conflicts Widget: Stacks all detected scheduling overlaps and dependency violations with Lucide indicator icons.</w:t>
      </w:r>
    </w:p>
    <w:p>
      <w:pPr>
        <w:pStyle w:val="ListBullet"/>
        <w:spacing w:before="0" w:after="60"/>
        <w:ind w:left="360"/>
      </w:pPr>
      <w:r>
        <w:rPr>
          <w:sz w:val="21"/>
        </w:rPr>
        <w:t>Quick Tips: Contextual guidance on heatmap interpretation, sandbox usage, and date-shifting shortcuts.</w:t>
      </w:r>
    </w:p>
    <w:p/>
    <w:p>
      <w:pPr>
        <w:pStyle w:val="Heading2"/>
        <w:spacing w:before="360" w:after="120"/>
      </w:pPr>
      <w:r>
        <w:rPr>
          <w:color w:val="1E9ED5"/>
        </w:rPr>
        <w:t>5.3  Right-Side Diagnostics Cockpit</w:t>
      </w:r>
    </w:p>
    <w:p>
      <w:pPr>
        <w:spacing w:before="0" w:after="120"/>
      </w:pPr>
      <w:r>
        <w:rPr>
          <w:sz w:val="21"/>
        </w:rPr>
        <w:t>A three-tab cockpit panel on the right side provides planning intelligence:</w:t>
      </w:r>
    </w:p>
    <w:p>
      <w:pPr>
        <w:pStyle w:val="ListBullet"/>
        <w:spacing w:before="0" w:after="60"/>
        <w:ind w:left="360"/>
      </w:pPr>
      <w:r>
        <w:rPr>
          <w:sz w:val="21"/>
        </w:rPr>
        <w:t>Diagnostics Tab: Lists every active conflict with its type (Over-allocated / Dependency Violation / Gap), affected resource, and impacted weeks.</w:t>
      </w:r>
    </w:p>
    <w:p>
      <w:pPr>
        <w:pStyle w:val="ListBullet"/>
        <w:spacing w:before="0" w:after="60"/>
        <w:ind w:left="360"/>
      </w:pPr>
      <w:r>
        <w:rPr>
          <w:sz w:val="21"/>
        </w:rPr>
        <w:t>Copilot Tab: Offers one-click automated resolution actions. Each action shows a preview of changes before applying.</w:t>
      </w:r>
    </w:p>
    <w:p>
      <w:pPr>
        <w:pStyle w:val="ListBullet"/>
        <w:spacing w:before="0" w:after="60"/>
        <w:ind w:left="360"/>
      </w:pPr>
      <w:r>
        <w:rPr>
          <w:sz w:val="21"/>
        </w:rPr>
        <w:t>Tips Tab: Displays keyboard shortcuts and sandbox state reminders.</w:t>
      </w:r>
    </w:p>
    <w:p/>
    <w:p>
      <w:pPr>
        <w:pStyle w:val="Heading2"/>
        <w:spacing w:before="360" w:after="120"/>
      </w:pPr>
      <w:r>
        <w:rPr>
          <w:color w:val="1E9ED5"/>
        </w:rPr>
        <w:t>5.4  Automated Conflict Resolution Heuristics</w:t>
      </w:r>
    </w:p>
    <w:p>
      <w:pPr>
        <w:spacing w:before="0" w:after="120"/>
      </w:pPr>
      <w:r>
        <w:rPr>
          <w:sz w:val="21"/>
        </w:rPr>
        <w:t>The autoResolveAllSchedulerConflicts() engine evaluates tasks in the sandbox state and applies three sequential heuristics: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val="clear" w:color="auto" w:fill="0D1B2A"/>
          </w:tcPr>
          <w:p>
            <w:pPr>
              <w:jc w:val="center"/>
            </w:pPr>
            <w:r>
              <w:rPr>
                <w:b/>
                <w:color w:val="FFFFFF"/>
                <w:sz w:val="19"/>
              </w:rPr>
              <w:t>Heuristic</w:t>
            </w:r>
          </w:p>
        </w:tc>
        <w:tc>
          <w:tcPr>
            <w:tcW w:type="dxa" w:w="2304"/>
            <w:shd w:val="clear" w:color="auto" w:fill="0D1B2A"/>
          </w:tcPr>
          <w:p>
            <w:pPr>
              <w:jc w:val="center"/>
            </w:pPr>
            <w:r>
              <w:rPr>
                <w:b/>
                <w:color w:val="FFFFFF"/>
                <w:sz w:val="19"/>
              </w:rPr>
              <w:t>Name</w:t>
            </w:r>
          </w:p>
        </w:tc>
        <w:tc>
          <w:tcPr>
            <w:tcW w:type="dxa" w:w="4320"/>
            <w:shd w:val="clear" w:color="auto" w:fill="0D1B2A"/>
          </w:tcPr>
          <w:p>
            <w:pPr>
              <w:jc w:val="center"/>
            </w:pPr>
            <w:r>
              <w:rPr>
                <w:b/>
                <w:color w:val="FFFFFF"/>
                <w:sz w:val="19"/>
              </w:rPr>
              <w:t>Logic</w:t>
            </w:r>
          </w:p>
        </w:tc>
        <w:tc>
          <w:tcPr>
            <w:tcW w:type="dxa" w:w="1872"/>
            <w:shd w:val="clear" w:color="auto" w:fill="0D1B2A"/>
          </w:tcPr>
          <w:p>
            <w:pPr>
              <w:jc w:val="center"/>
            </w:pPr>
            <w:r>
              <w:rPr>
                <w:b/>
                <w:color w:val="FFFFFF"/>
                <w:sz w:val="19"/>
              </w:rPr>
              <w:t>Pre-condition</w:t>
            </w:r>
          </w:p>
        </w:tc>
      </w:tr>
      <w:tr>
        <w:tc>
          <w:tcPr>
            <w:tcW w:type="dxa" w:w="1008"/>
            <w:shd w:val="clear" w:color="auto" w:fill="F8F9FA"/>
          </w:tcPr>
          <w:p>
            <w:pPr>
              <w:spacing w:before="60" w:after="60"/>
            </w:pPr>
            <w:r>
              <w:rPr>
                <w:sz w:val="19"/>
              </w:rPr>
              <w:t>A</w:t>
            </w:r>
          </w:p>
        </w:tc>
        <w:tc>
          <w:tcPr>
            <w:tcW w:type="dxa" w:w="2304"/>
            <w:shd w:val="clear" w:color="auto" w:fill="F8F9FA"/>
          </w:tcPr>
          <w:p>
            <w:pPr>
              <w:spacing w:before="60" w:after="60"/>
            </w:pPr>
            <w:r>
              <w:rPr>
                <w:sz w:val="19"/>
              </w:rPr>
              <w:t>Auto-Sequence</w:t>
            </w:r>
          </w:p>
        </w:tc>
        <w:tc>
          <w:tcPr>
            <w:tcW w:type="dxa" w:w="4320"/>
            <w:shd w:val="clear" w:color="auto" w:fill="F8F9FA"/>
          </w:tcPr>
          <w:p>
            <w:pPr>
              <w:spacing w:before="60" w:after="60"/>
            </w:pPr>
            <w:r>
              <w:rPr>
                <w:sz w:val="19"/>
              </w:rPr>
              <w:t>If Task_A → Task_B dependency exists and they overlap, Task_B's start date is shifted to Task_A's end date + 1 day.</w:t>
            </w:r>
          </w:p>
        </w:tc>
        <w:tc>
          <w:tcPr>
            <w:tcW w:type="dxa" w:w="1872"/>
            <w:shd w:val="clear" w:color="auto" w:fill="F8F9FA"/>
          </w:tcPr>
          <w:p>
            <w:pPr>
              <w:spacing w:before="60" w:after="60"/>
            </w:pPr>
            <w:r>
              <w:rPr>
                <w:sz w:val="19"/>
              </w:rPr>
              <w:t>Both tasks must be in sandbox mode.</w:t>
            </w:r>
          </w:p>
        </w:tc>
      </w:tr>
      <w:tr>
        <w:tc>
          <w:tcPr>
            <w:tcW w:type="dxa" w:w="1008"/>
            <w:shd w:val="clear" w:color="auto" w:fill="FFFFFF"/>
          </w:tcPr>
          <w:p>
            <w:pPr>
              <w:spacing w:before="60" w:after="60"/>
            </w:pPr>
            <w:r>
              <w:rPr>
                <w:sz w:val="19"/>
              </w:rPr>
              <w:t>B</w:t>
            </w:r>
          </w:p>
        </w:tc>
        <w:tc>
          <w:tcPr>
            <w:tcW w:type="dxa" w:w="2304"/>
            <w:shd w:val="clear" w:color="auto" w:fill="FFFFFF"/>
          </w:tcPr>
          <w:p>
            <w:pPr>
              <w:spacing w:before="60" w:after="60"/>
            </w:pPr>
            <w:r>
              <w:rPr>
                <w:sz w:val="19"/>
              </w:rPr>
              <w:t>Smart Reassignment</w:t>
            </w:r>
          </w:p>
        </w:tc>
        <w:tc>
          <w:tcPr>
            <w:tcW w:type="dxa" w:w="4320"/>
            <w:shd w:val="clear" w:color="auto" w:fill="FFFFFF"/>
          </w:tcPr>
          <w:p>
            <w:pPr>
              <w:spacing w:before="60" w:after="60"/>
            </w:pPr>
            <w:r>
              <w:rPr>
                <w:sz w:val="19"/>
              </w:rPr>
              <w:t>If Resource R1 is over-allocated and Resource R2 shares the same Role with available capacity, tasks are re-assigned to R2.</w:t>
            </w:r>
          </w:p>
        </w:tc>
        <w:tc>
          <w:tcPr>
            <w:tcW w:type="dxa" w:w="1872"/>
            <w:shd w:val="clear" w:color="auto" w:fill="FFFFFF"/>
          </w:tcPr>
          <w:p>
            <w:pPr>
              <w:spacing w:before="60" w:after="60"/>
            </w:pPr>
            <w:r>
              <w:rPr>
                <w:sz w:val="19"/>
              </w:rPr>
              <w:t>A role-matched resource with spare capacity must exist.</w:t>
            </w:r>
          </w:p>
        </w:tc>
      </w:tr>
      <w:tr>
        <w:tc>
          <w:tcPr>
            <w:tcW w:type="dxa" w:w="1008"/>
            <w:shd w:val="clear" w:color="auto" w:fill="F8F9FA"/>
          </w:tcPr>
          <w:p>
            <w:pPr>
              <w:spacing w:before="60" w:after="60"/>
            </w:pPr>
            <w:r>
              <w:rPr>
                <w:sz w:val="19"/>
              </w:rPr>
              <w:t>C</w:t>
            </w:r>
          </w:p>
        </w:tc>
        <w:tc>
          <w:tcPr>
            <w:tcW w:type="dxa" w:w="2304"/>
            <w:shd w:val="clear" w:color="auto" w:fill="F8F9FA"/>
          </w:tcPr>
          <w:p>
            <w:pPr>
              <w:spacing w:before="60" w:after="60"/>
            </w:pPr>
            <w:r>
              <w:rPr>
                <w:sz w:val="19"/>
              </w:rPr>
              <w:t>Cascading Date Shift</w:t>
            </w:r>
          </w:p>
        </w:tc>
        <w:tc>
          <w:tcPr>
            <w:tcW w:type="dxa" w:w="4320"/>
            <w:shd w:val="clear" w:color="auto" w:fill="F8F9FA"/>
          </w:tcPr>
          <w:p>
            <w:pPr>
              <w:spacing w:before="60" w:after="60"/>
            </w:pPr>
            <w:r>
              <w:rPr>
                <w:sz w:val="19"/>
              </w:rPr>
              <w:t>If a critical-path task is delayed, all transitively dependent future tasks are pushed forward, maintaining established buffer periods.</w:t>
            </w:r>
          </w:p>
        </w:tc>
        <w:tc>
          <w:tcPr>
            <w:tcW w:type="dxa" w:w="1872"/>
            <w:shd w:val="clear" w:color="auto" w:fill="F8F9FA"/>
          </w:tcPr>
          <w:p>
            <w:pPr>
              <w:spacing w:before="60" w:after="60"/>
            </w:pPr>
            <w:r>
              <w:rPr>
                <w:sz w:val="19"/>
              </w:rPr>
              <w:t>Task dependency graph must be acyclic.</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All automated resolutions are applied to the Sandbox state only. Review the proposed changes in the Diagnostics tab before clicking 'Commit' to apply them to the live schedule.</w:t>
            </w:r>
          </w:p>
        </w:tc>
      </w:tr>
    </w:tbl>
    <w:p/>
    <w:p>
      <w:pPr>
        <w:pStyle w:val="Heading2"/>
        <w:spacing w:before="360" w:after="120"/>
      </w:pPr>
      <w:r>
        <w:rPr>
          <w:color w:val="1E9ED5"/>
        </w:rPr>
        <w:t>5.5  Interactive Tooltips</w:t>
      </w:r>
    </w:p>
    <w:p>
      <w:pPr>
        <w:spacing w:before="0" w:after="120"/>
      </w:pPr>
      <w:r>
        <w:rPr>
          <w:sz w:val="21"/>
        </w:rPr>
        <w:t>Hovering over elements in the heatmap reveals live contextual data:</w:t>
      </w:r>
    </w:p>
    <w:p>
      <w:pPr>
        <w:pStyle w:val="ListBullet"/>
        <w:spacing w:before="0" w:after="60"/>
        <w:ind w:left="360"/>
      </w:pPr>
      <w:r>
        <w:rPr>
          <w:sz w:val="21"/>
        </w:rPr>
        <w:t>Grid Cells: Lists all tasks assigned to that resource for that week, total allocated hours, and remaining available hours.</w:t>
      </w:r>
    </w:p>
    <w:p>
      <w:pPr>
        <w:pStyle w:val="ListBullet"/>
        <w:spacing w:before="0" w:after="60"/>
        <w:ind w:left="360"/>
      </w:pPr>
      <w:r>
        <w:rPr>
          <w:sz w:val="21"/>
        </w:rPr>
        <w:t>Task Chips: Shows task status, parent deliverable name, priority level, and precise start/end dates.</w:t>
      </w:r>
    </w:p>
    <w:p/>
    <w:p>
      <w:r>
        <w:br w:type="page"/>
      </w:r>
    </w:p>
    <w:p>
      <w:pPr>
        <w:pStyle w:val="Heading1"/>
        <w:spacing w:before="360" w:after="120"/>
      </w:pPr>
      <w:r>
        <w:rPr>
          <w:color w:val="0D1B2A"/>
        </w:rPr>
        <w:t>6  Unified RAID Register</w:t>
      </w:r>
    </w:p>
    <w:p>
      <w:pPr>
        <w:pBdr>
          <w:bottom w:val="single" w:sz="6" w:space="1" w:color="00C2A8"/>
        </w:pBdr>
        <w:spacing w:before="0" w:after="120"/>
      </w:pPr>
    </w:p>
    <w:p>
      <w:pPr>
        <w:spacing w:before="0" w:after="160"/>
      </w:pPr>
      <w:r>
        <w:rPr>
          <w:sz w:val="21"/>
        </w:rPr>
        <w:t>The RAID Register is the risk governance engine of ProjectPulse. It consolidates all Risks, Assumptions, Issues, and Dependencies into a single searchable register with formal exposure scoring, owner assignment, mitigation planning, and escalation tracking.</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6.1 — Unified RAID Register with 5×5 Risk Matrix Heatmap and categorised RAID items</w:t>
      </w:r>
    </w:p>
    <w:p>
      <w:pPr>
        <w:pStyle w:val="Heading2"/>
        <w:spacing w:before="360" w:after="120"/>
      </w:pPr>
      <w:r>
        <w:rPr>
          <w:color w:val="1E9ED5"/>
        </w:rPr>
        <w:t>6.1  RAID Classification Model</w:t>
      </w:r>
    </w:p>
    <w:p>
      <w:pPr>
        <w:spacing w:before="0" w:after="120"/>
      </w:pPr>
      <w:r>
        <w:rPr>
          <w:sz w:val="21"/>
        </w:rPr>
        <w:t>Every RAID entry is categorised into one of four types: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Type</w:t>
            </w:r>
          </w:p>
        </w:tc>
        <w:tc>
          <w:tcPr>
            <w:tcW w:type="dxa" w:w="3888"/>
            <w:shd w:val="clear" w:color="auto" w:fill="0D1B2A"/>
          </w:tcPr>
          <w:p>
            <w:pPr>
              <w:jc w:val="center"/>
            </w:pPr>
            <w:r>
              <w:rPr>
                <w:b/>
                <w:color w:val="FFFFFF"/>
                <w:sz w:val="19"/>
              </w:rPr>
              <w:t>Definition</w:t>
            </w:r>
          </w:p>
        </w:tc>
        <w:tc>
          <w:tcPr>
            <w:tcW w:type="dxa" w:w="3456"/>
            <w:shd w:val="clear" w:color="auto" w:fill="0D1B2A"/>
          </w:tcPr>
          <w:p>
            <w:pPr>
              <w:jc w:val="center"/>
            </w:pPr>
            <w:r>
              <w:rPr>
                <w:b/>
                <w:color w:val="FFFFFF"/>
                <w:sz w:val="19"/>
              </w:rPr>
              <w:t>Primary Management Action</w:t>
            </w:r>
          </w:p>
        </w:tc>
      </w:tr>
      <w:tr>
        <w:tc>
          <w:tcPr>
            <w:tcW w:type="dxa" w:w="1872"/>
            <w:shd w:val="clear" w:color="auto" w:fill="F8F9FA"/>
          </w:tcPr>
          <w:p>
            <w:pPr>
              <w:spacing w:before="60" w:after="60"/>
            </w:pPr>
            <w:r>
              <w:rPr>
                <w:sz w:val="19"/>
              </w:rPr>
              <w:t>Risk</w:t>
            </w:r>
          </w:p>
        </w:tc>
        <w:tc>
          <w:tcPr>
            <w:tcW w:type="dxa" w:w="3888"/>
            <w:shd w:val="clear" w:color="auto" w:fill="F8F9FA"/>
          </w:tcPr>
          <w:p>
            <w:pPr>
              <w:spacing w:before="60" w:after="60"/>
            </w:pPr>
            <w:r>
              <w:rPr>
                <w:sz w:val="19"/>
              </w:rPr>
              <w:t>A potential future event that could negatively impact the project.</w:t>
            </w:r>
          </w:p>
        </w:tc>
        <w:tc>
          <w:tcPr>
            <w:tcW w:type="dxa" w:w="3456"/>
            <w:shd w:val="clear" w:color="auto" w:fill="F8F9FA"/>
          </w:tcPr>
          <w:p>
            <w:pPr>
              <w:spacing w:before="60" w:after="60"/>
            </w:pPr>
            <w:r>
              <w:rPr>
                <w:sz w:val="19"/>
              </w:rPr>
              <w:t>Mitigate, transfer, or accept before the event occurs.</w:t>
            </w:r>
          </w:p>
        </w:tc>
      </w:tr>
      <w:tr>
        <w:tc>
          <w:tcPr>
            <w:tcW w:type="dxa" w:w="1872"/>
            <w:shd w:val="clear" w:color="auto" w:fill="FFFFFF"/>
          </w:tcPr>
          <w:p>
            <w:pPr>
              <w:spacing w:before="60" w:after="60"/>
            </w:pPr>
            <w:r>
              <w:rPr>
                <w:sz w:val="19"/>
              </w:rPr>
              <w:t>Assumption</w:t>
            </w:r>
          </w:p>
        </w:tc>
        <w:tc>
          <w:tcPr>
            <w:tcW w:type="dxa" w:w="3888"/>
            <w:shd w:val="clear" w:color="auto" w:fill="FFFFFF"/>
          </w:tcPr>
          <w:p>
            <w:pPr>
              <w:spacing w:before="60" w:after="60"/>
            </w:pPr>
            <w:r>
              <w:rPr>
                <w:sz w:val="19"/>
              </w:rPr>
              <w:t>A factor believed to be true for planning purposes, without verified evidence.</w:t>
            </w:r>
          </w:p>
        </w:tc>
        <w:tc>
          <w:tcPr>
            <w:tcW w:type="dxa" w:w="3456"/>
            <w:shd w:val="clear" w:color="auto" w:fill="FFFFFF"/>
          </w:tcPr>
          <w:p>
            <w:pPr>
              <w:spacing w:before="60" w:after="60"/>
            </w:pPr>
            <w:r>
              <w:rPr>
                <w:sz w:val="19"/>
              </w:rPr>
              <w:t>Validate through testing or stakeholder confirmation to eliminate associated risk.</w:t>
            </w:r>
          </w:p>
        </w:tc>
      </w:tr>
      <w:tr>
        <w:tc>
          <w:tcPr>
            <w:tcW w:type="dxa" w:w="1872"/>
            <w:shd w:val="clear" w:color="auto" w:fill="F8F9FA"/>
          </w:tcPr>
          <w:p>
            <w:pPr>
              <w:spacing w:before="60" w:after="60"/>
            </w:pPr>
            <w:r>
              <w:rPr>
                <w:sz w:val="19"/>
              </w:rPr>
              <w:t>Issue</w:t>
            </w:r>
          </w:p>
        </w:tc>
        <w:tc>
          <w:tcPr>
            <w:tcW w:type="dxa" w:w="3888"/>
            <w:shd w:val="clear" w:color="auto" w:fill="F8F9FA"/>
          </w:tcPr>
          <w:p>
            <w:pPr>
              <w:spacing w:before="60" w:after="60"/>
            </w:pPr>
            <w:r>
              <w:rPr>
                <w:sz w:val="19"/>
              </w:rPr>
              <w:t>An active problem currently impacting timeline, scope, or budget.</w:t>
            </w:r>
          </w:p>
        </w:tc>
        <w:tc>
          <w:tcPr>
            <w:tcW w:type="dxa" w:w="3456"/>
            <w:shd w:val="clear" w:color="auto" w:fill="F8F9FA"/>
          </w:tcPr>
          <w:p>
            <w:pPr>
              <w:spacing w:before="60" w:after="60"/>
            </w:pPr>
            <w:r>
              <w:rPr>
                <w:sz w:val="19"/>
              </w:rPr>
              <w:t>Resolve immediately via assigned owner and mitigation strategy.</w:t>
            </w:r>
          </w:p>
        </w:tc>
      </w:tr>
      <w:tr>
        <w:tc>
          <w:tcPr>
            <w:tcW w:type="dxa" w:w="1872"/>
            <w:shd w:val="clear" w:color="auto" w:fill="FFFFFF"/>
          </w:tcPr>
          <w:p>
            <w:pPr>
              <w:spacing w:before="60" w:after="60"/>
            </w:pPr>
            <w:r>
              <w:rPr>
                <w:sz w:val="19"/>
              </w:rPr>
              <w:t>Dependency</w:t>
            </w:r>
          </w:p>
        </w:tc>
        <w:tc>
          <w:tcPr>
            <w:tcW w:type="dxa" w:w="3888"/>
            <w:shd w:val="clear" w:color="auto" w:fill="FFFFFF"/>
          </w:tcPr>
          <w:p>
            <w:pPr>
              <w:spacing w:before="60" w:after="60"/>
            </w:pPr>
            <w:r>
              <w:rPr>
                <w:sz w:val="19"/>
              </w:rPr>
              <w:t>A reliance on an external team, system, third-party vendor, or deliverable.</w:t>
            </w:r>
          </w:p>
        </w:tc>
        <w:tc>
          <w:tcPr>
            <w:tcW w:type="dxa" w:w="3456"/>
            <w:shd w:val="clear" w:color="auto" w:fill="FFFFFF"/>
          </w:tcPr>
          <w:p>
            <w:pPr>
              <w:spacing w:before="60" w:after="60"/>
            </w:pPr>
            <w:r>
              <w:rPr>
                <w:sz w:val="19"/>
              </w:rPr>
              <w:t>Map to task schedules. Monitor checkpoint dates. Escalate delays immediately.</w:t>
            </w:r>
          </w:p>
        </w:tc>
      </w:tr>
    </w:tbl>
    <w:p>
      <w:pPr>
        <w:spacing w:after="120"/>
      </w:pPr>
    </w:p>
    <w:p>
      <w:pPr>
        <w:pStyle w:val="Heading2"/>
        <w:spacing w:before="360" w:after="120"/>
      </w:pPr>
      <w:r>
        <w:rPr>
          <w:color w:val="1E9ED5"/>
        </w:rPr>
        <w:t>6.2  Threat Exposure Scoring</w:t>
      </w:r>
    </w:p>
    <w:p>
      <w:pPr>
        <w:spacing w:before="0" w:after="120"/>
      </w:pPr>
      <w:r>
        <w:rPr>
          <w:sz w:val="21"/>
        </w:rPr>
        <w:t>For Risk-type items, threat exposure is calculated using the industry-standard 5×5 probability-impact matrix:</w:t>
      </w:r>
    </w:p>
    <w:p>
      <w:pPr>
        <w:spacing w:before="0" w:after="160"/>
      </w:pPr>
      <w:r>
        <w:rPr>
          <w:b/>
          <w:sz w:val="21"/>
        </w:rPr>
        <w:t xml:space="preserve">    Exposure Score  =  Probability (1–5)  ×  Impact (1–5)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Score Range</w:t>
            </w:r>
          </w:p>
        </w:tc>
        <w:tc>
          <w:tcPr>
            <w:tcW w:type="dxa" w:w="1728"/>
            <w:shd w:val="clear" w:color="auto" w:fill="0D1B2A"/>
          </w:tcPr>
          <w:p>
            <w:pPr>
              <w:jc w:val="center"/>
            </w:pPr>
            <w:r>
              <w:rPr>
                <w:b/>
                <w:color w:val="FFFFFF"/>
                <w:sz w:val="19"/>
              </w:rPr>
              <w:t>Rating</w:t>
            </w:r>
          </w:p>
        </w:tc>
        <w:tc>
          <w:tcPr>
            <w:tcW w:type="dxa" w:w="2160"/>
            <w:shd w:val="clear" w:color="auto" w:fill="0D1B2A"/>
          </w:tcPr>
          <w:p>
            <w:pPr>
              <w:jc w:val="center"/>
            </w:pPr>
            <w:r>
              <w:rPr>
                <w:b/>
                <w:color w:val="FFFFFF"/>
                <w:sz w:val="19"/>
              </w:rPr>
              <w:t>Colour Indicator</w:t>
            </w:r>
          </w:p>
        </w:tc>
        <w:tc>
          <w:tcPr>
            <w:tcW w:type="dxa" w:w="4896"/>
            <w:shd w:val="clear" w:color="auto" w:fill="0D1B2A"/>
          </w:tcPr>
          <w:p>
            <w:pPr>
              <w:jc w:val="center"/>
            </w:pPr>
            <w:r>
              <w:rPr>
                <w:b/>
                <w:color w:val="FFFFFF"/>
                <w:sz w:val="19"/>
              </w:rPr>
              <w:t>Management Protocol</w:t>
            </w:r>
          </w:p>
        </w:tc>
      </w:tr>
      <w:tr>
        <w:tc>
          <w:tcPr>
            <w:tcW w:type="dxa" w:w="1872"/>
            <w:shd w:val="clear" w:color="auto" w:fill="F8F9FA"/>
          </w:tcPr>
          <w:p>
            <w:pPr>
              <w:spacing w:before="60" w:after="60"/>
            </w:pPr>
            <w:r>
              <w:rPr>
                <w:sz w:val="19"/>
              </w:rPr>
              <w:t>15 – 25</w:t>
            </w:r>
          </w:p>
        </w:tc>
        <w:tc>
          <w:tcPr>
            <w:tcW w:type="dxa" w:w="1728"/>
            <w:shd w:val="clear" w:color="auto" w:fill="F8F9FA"/>
          </w:tcPr>
          <w:p>
            <w:pPr>
              <w:spacing w:before="60" w:after="60"/>
            </w:pPr>
            <w:r>
              <w:rPr>
                <w:sz w:val="19"/>
              </w:rPr>
              <w:t>Critical</w:t>
            </w:r>
          </w:p>
        </w:tc>
        <w:tc>
          <w:tcPr>
            <w:tcW w:type="dxa" w:w="2160"/>
            <w:shd w:val="clear" w:color="auto" w:fill="F8F9FA"/>
          </w:tcPr>
          <w:p>
            <w:pPr>
              <w:spacing w:before="60" w:after="60"/>
            </w:pPr>
            <w:r>
              <w:rPr>
                <w:sz w:val="19"/>
              </w:rPr>
              <w:t>Red (🔴)</w:t>
            </w:r>
          </w:p>
        </w:tc>
        <w:tc>
          <w:tcPr>
            <w:tcW w:type="dxa" w:w="4896"/>
            <w:shd w:val="clear" w:color="auto" w:fill="F8F9FA"/>
          </w:tcPr>
          <w:p>
            <w:pPr>
              <w:spacing w:before="60" w:after="60"/>
            </w:pPr>
            <w:r>
              <w:rPr>
                <w:sz w:val="19"/>
              </w:rPr>
              <w:t>Immediate mitigation plan required. Executive escalation mandatory.</w:t>
            </w:r>
          </w:p>
        </w:tc>
      </w:tr>
      <w:tr>
        <w:tc>
          <w:tcPr>
            <w:tcW w:type="dxa" w:w="1872"/>
            <w:shd w:val="clear" w:color="auto" w:fill="FFFFFF"/>
          </w:tcPr>
          <w:p>
            <w:pPr>
              <w:spacing w:before="60" w:after="60"/>
            </w:pPr>
            <w:r>
              <w:rPr>
                <w:sz w:val="19"/>
              </w:rPr>
              <w:t>8 – 12</w:t>
            </w:r>
          </w:p>
        </w:tc>
        <w:tc>
          <w:tcPr>
            <w:tcW w:type="dxa" w:w="1728"/>
            <w:shd w:val="clear" w:color="auto" w:fill="FFFFFF"/>
          </w:tcPr>
          <w:p>
            <w:pPr>
              <w:spacing w:before="60" w:after="60"/>
            </w:pPr>
            <w:r>
              <w:rPr>
                <w:sz w:val="19"/>
              </w:rPr>
              <w:t>Medium</w:t>
            </w:r>
          </w:p>
        </w:tc>
        <w:tc>
          <w:tcPr>
            <w:tcW w:type="dxa" w:w="2160"/>
            <w:shd w:val="clear" w:color="auto" w:fill="FFFFFF"/>
          </w:tcPr>
          <w:p>
            <w:pPr>
              <w:spacing w:before="60" w:after="60"/>
            </w:pPr>
            <w:r>
              <w:rPr>
                <w:sz w:val="19"/>
              </w:rPr>
              <w:t>Amber (🟡)</w:t>
            </w:r>
          </w:p>
        </w:tc>
        <w:tc>
          <w:tcPr>
            <w:tcW w:type="dxa" w:w="4896"/>
            <w:shd w:val="clear" w:color="auto" w:fill="FFFFFF"/>
          </w:tcPr>
          <w:p>
            <w:pPr>
              <w:spacing w:before="60" w:after="60"/>
            </w:pPr>
            <w:r>
              <w:rPr>
                <w:sz w:val="19"/>
              </w:rPr>
              <w:t>Weekly monitoring. Mitigation plan to be prepared within 5 business days.</w:t>
            </w:r>
          </w:p>
        </w:tc>
      </w:tr>
      <w:tr>
        <w:tc>
          <w:tcPr>
            <w:tcW w:type="dxa" w:w="1872"/>
            <w:shd w:val="clear" w:color="auto" w:fill="F8F9FA"/>
          </w:tcPr>
          <w:p>
            <w:pPr>
              <w:spacing w:before="60" w:after="60"/>
            </w:pPr>
            <w:r>
              <w:rPr>
                <w:sz w:val="19"/>
              </w:rPr>
              <w:t>1 – 6</w:t>
            </w:r>
          </w:p>
        </w:tc>
        <w:tc>
          <w:tcPr>
            <w:tcW w:type="dxa" w:w="1728"/>
            <w:shd w:val="clear" w:color="auto" w:fill="F8F9FA"/>
          </w:tcPr>
          <w:p>
            <w:pPr>
              <w:spacing w:before="60" w:after="60"/>
            </w:pPr>
            <w:r>
              <w:rPr>
                <w:sz w:val="19"/>
              </w:rPr>
              <w:t>Low</w:t>
            </w:r>
          </w:p>
        </w:tc>
        <w:tc>
          <w:tcPr>
            <w:tcW w:type="dxa" w:w="2160"/>
            <w:shd w:val="clear" w:color="auto" w:fill="F8F9FA"/>
          </w:tcPr>
          <w:p>
            <w:pPr>
              <w:spacing w:before="60" w:after="60"/>
            </w:pPr>
            <w:r>
              <w:rPr>
                <w:sz w:val="19"/>
              </w:rPr>
              <w:t>Green (🟢)</w:t>
            </w:r>
          </w:p>
        </w:tc>
        <w:tc>
          <w:tcPr>
            <w:tcW w:type="dxa" w:w="4896"/>
            <w:shd w:val="clear" w:color="auto" w:fill="F8F9FA"/>
          </w:tcPr>
          <w:p>
            <w:pPr>
              <w:spacing w:before="60" w:after="60"/>
            </w:pPr>
            <w:r>
              <w:rPr>
                <w:sz w:val="19"/>
              </w:rPr>
              <w:t>Logged and reviewed bi-weekly. No immediate action required.</w:t>
            </w:r>
          </w:p>
        </w:tc>
      </w:tr>
    </w:tbl>
    <w:p>
      <w:pPr>
        <w:spacing w:after="120"/>
      </w:pPr>
    </w:p>
    <w:p>
      <w:pPr>
        <w:pStyle w:val="Heading2"/>
        <w:spacing w:before="360" w:after="120"/>
      </w:pPr>
      <w:r>
        <w:rPr>
          <w:color w:val="1E9ED5"/>
        </w:rPr>
        <w:t>6.3  RAID Item Lifecycle</w:t>
      </w:r>
    </w:p>
    <w:p>
      <w:pPr>
        <w:spacing w:before="0" w:after="120"/>
      </w:pPr>
      <w:r>
        <w:rPr>
          <w:sz w:val="21"/>
        </w:rPr>
        <w:t>RAID items progress through the following status workflow:</w:t>
      </w:r>
    </w:p>
    <w:p>
      <w:pPr>
        <w:pStyle w:val="ListBullet"/>
        <w:spacing w:before="0" w:after="60"/>
        <w:ind w:left="360"/>
      </w:pPr>
      <w:r>
        <w:rPr>
          <w:sz w:val="21"/>
        </w:rPr>
        <w:t>Identified: Newly logged item awaiting triage and owner assignment.</w:t>
      </w:r>
    </w:p>
    <w:p>
      <w:pPr>
        <w:pStyle w:val="ListBullet"/>
        <w:spacing w:before="0" w:after="60"/>
        <w:ind w:left="360"/>
      </w:pPr>
      <w:r>
        <w:rPr>
          <w:sz w:val="21"/>
        </w:rPr>
        <w:t>Active: Triaged and assigned — mitigation in progress.</w:t>
      </w:r>
    </w:p>
    <w:p>
      <w:pPr>
        <w:pStyle w:val="ListBullet"/>
        <w:spacing w:before="0" w:after="60"/>
        <w:ind w:left="360"/>
      </w:pPr>
      <w:r>
        <w:rPr>
          <w:sz w:val="21"/>
        </w:rPr>
        <w:t>Mitigated: Actions taken; item is under monitoring to confirm effectiveness.</w:t>
      </w:r>
    </w:p>
    <w:p>
      <w:pPr>
        <w:pStyle w:val="ListBullet"/>
        <w:spacing w:before="0" w:after="60"/>
        <w:ind w:left="360"/>
      </w:pPr>
      <w:r>
        <w:rPr>
          <w:sz w:val="21"/>
        </w:rPr>
        <w:t>Closed: Fully resolved with no residual risk.</w:t>
      </w:r>
    </w:p>
    <w:p>
      <w:pPr>
        <w:pStyle w:val="ListBullet"/>
        <w:spacing w:before="0" w:after="60"/>
        <w:ind w:left="360"/>
      </w:pPr>
      <w:r>
        <w:rPr>
          <w:sz w:val="21"/>
        </w:rPr>
        <w:t>Realized: Risk event has occurred and become an active Issue.</w:t>
      </w:r>
    </w:p>
    <w:p/>
    <w:p>
      <w:pPr>
        <w:pStyle w:val="Heading2"/>
        <w:spacing w:before="360" w:after="120"/>
      </w:pPr>
      <w:r>
        <w:rPr>
          <w:color w:val="1E9ED5"/>
        </w:rPr>
        <w:t>6.4  Required Fields for Active RAID Items</w:t>
      </w:r>
    </w:p>
    <w:p>
      <w:pPr>
        <w:spacing w:before="0" w:after="120"/>
      </w:pPr>
      <w:r>
        <w:rPr>
          <w:sz w:val="21"/>
        </w:rPr>
        <w:t>To maintain governance standards, every Active RAID item must have all of the following:</w:t>
      </w:r>
    </w:p>
    <w:p>
      <w:pPr>
        <w:pStyle w:val="ListNumber"/>
        <w:spacing w:before="0" w:after="60"/>
      </w:pPr>
      <w:r>
        <w:rPr>
          <w:sz w:val="21"/>
        </w:rPr>
        <w:t>Owner — An active team member assigned from the Capacity Hub.</w:t>
      </w:r>
    </w:p>
    <w:p>
      <w:pPr>
        <w:pStyle w:val="ListNumber"/>
        <w:spacing w:before="0" w:after="60"/>
      </w:pPr>
      <w:r>
        <w:rPr>
          <w:sz w:val="21"/>
        </w:rPr>
        <w:t>Mitigation / Resolution Strategy — A detailed textual description of the action plan.</w:t>
      </w:r>
    </w:p>
    <w:p>
      <w:pPr>
        <w:pStyle w:val="ListNumber"/>
        <w:spacing w:before="0" w:after="60"/>
      </w:pPr>
      <w:r>
        <w:rPr>
          <w:sz w:val="21"/>
        </w:rPr>
        <w:t>Target Closure Date — The deadline by which the issue must be resolved or the assumption validated.</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RAID items with Exposure Score ≥ 15 automatically contribute to the Health Index degradation on the Executive Overview Dashboard. Each unmitigated Critical risk deducts a fixed 5% from the Health Index.</w:t>
            </w:r>
          </w:p>
        </w:tc>
      </w:tr>
    </w:tbl>
    <w:p/>
    <w:p>
      <w:r>
        <w:br w:type="page"/>
      </w:r>
    </w:p>
    <w:p>
      <w:pPr>
        <w:pStyle w:val="Heading1"/>
        <w:spacing w:before="360" w:after="120"/>
      </w:pPr>
      <w:r>
        <w:rPr>
          <w:color w:val="0D1B2A"/>
        </w:rPr>
        <w:t>7  Team Capacity Hub &amp; Role Management</w:t>
      </w:r>
    </w:p>
    <w:p>
      <w:pPr>
        <w:pBdr>
          <w:bottom w:val="single" w:sz="6" w:space="1" w:color="00C2A8"/>
        </w:pBdr>
        <w:spacing w:before="0" w:after="120"/>
      </w:pPr>
    </w:p>
    <w:p>
      <w:pPr>
        <w:spacing w:before="0" w:after="160"/>
      </w:pPr>
      <w:r>
        <w:rPr>
          <w:sz w:val="21"/>
        </w:rPr>
        <w:t>The Team Capacity Hub is the resource management control centre of ProjectPulse. It maintains team member profiles, capacity parameters, role assignments, utilisation statistics, and planned leave calendars. All scheduling and conflict detection in the Weekly Scheduler is derived from the capacity data managed here.</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7.1 — Team Capacity Hub: Member profiles, utilisation bars, and leave calendar integration</w:t>
      </w:r>
    </w:p>
    <w:p>
      <w:pPr>
        <w:pStyle w:val="Heading2"/>
        <w:spacing w:before="360" w:after="120"/>
      </w:pPr>
      <w:r>
        <w:rPr>
          <w:color w:val="1E9ED5"/>
        </w:rPr>
        <w:t>7.1  Adding and Managing Team Members</w:t>
      </w:r>
    </w:p>
    <w:p>
      <w:pPr>
        <w:spacing w:before="0" w:after="120"/>
      </w:pPr>
      <w:r>
        <w:rPr>
          <w:sz w:val="21"/>
        </w:rPr>
        <w:t>To add a new team member:</w:t>
      </w:r>
    </w:p>
    <w:p>
      <w:pPr>
        <w:pStyle w:val="ListNumber"/>
        <w:spacing w:before="0" w:after="60"/>
      </w:pPr>
      <w:r>
        <w:rPr>
          <w:sz w:val="21"/>
        </w:rPr>
        <w:t>Navigate to the Team view via the top navigation bar.</w:t>
      </w:r>
    </w:p>
    <w:p>
      <w:pPr>
        <w:pStyle w:val="ListNumber"/>
        <w:spacing w:before="0" w:after="60"/>
      </w:pPr>
      <w:r>
        <w:rPr>
          <w:sz w:val="21"/>
        </w:rPr>
        <w:t>Click '+ Add Member' in the top-right toolbar.</w:t>
      </w:r>
    </w:p>
    <w:p>
      <w:pPr>
        <w:pStyle w:val="ListNumber"/>
        <w:spacing w:before="0" w:after="60"/>
      </w:pPr>
      <w:r>
        <w:rPr>
          <w:sz w:val="21"/>
        </w:rPr>
        <w:t>Enter the member's Name, Role, and initial Status.</w:t>
      </w:r>
    </w:p>
    <w:p>
      <w:pPr>
        <w:pStyle w:val="ListNumber"/>
        <w:spacing w:before="0" w:after="60"/>
      </w:pPr>
      <w:r>
        <w:rPr>
          <w:sz w:val="21"/>
        </w:rPr>
        <w:t>Optionally configure Weekly Hour Cap (default: 40h) and Utilisation Rate (default: 100%).</w:t>
      </w:r>
    </w:p>
    <w:p>
      <w:pPr>
        <w:pStyle w:val="ListNumber"/>
        <w:spacing w:before="0" w:after="60"/>
      </w:pPr>
      <w:r>
        <w:rPr>
          <w:sz w:val="21"/>
        </w:rPr>
        <w:t>Save. The member immediately appears in the Scheduler's resource grid.</w:t>
      </w:r>
    </w:p>
    <w:p/>
    <w:p>
      <w:pPr>
        <w:pStyle w:val="Heading2"/>
        <w:spacing w:before="360" w:after="120"/>
      </w:pPr>
      <w:r>
        <w:rPr>
          <w:color w:val="1E9ED5"/>
        </w:rPr>
        <w:t>7.2  Capacity Parameters</w:t>
      </w:r>
    </w:p>
    <w:p>
      <w:pPr>
        <w:spacing w:before="0" w:after="120"/>
      </w:pPr>
      <w:r>
        <w:rPr>
          <w:sz w:val="21"/>
        </w:rPr>
        <w:t>Each team member has the following configurable capacity parameters: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Parameter</w:t>
            </w:r>
          </w:p>
        </w:tc>
        <w:tc>
          <w:tcPr>
            <w:tcW w:type="dxa" w:w="1728"/>
            <w:shd w:val="clear" w:color="auto" w:fill="0D1B2A"/>
          </w:tcPr>
          <w:p>
            <w:pPr>
              <w:jc w:val="center"/>
            </w:pPr>
            <w:r>
              <w:rPr>
                <w:b/>
                <w:color w:val="FFFFFF"/>
                <w:sz w:val="19"/>
              </w:rPr>
              <w:t>Default</w:t>
            </w:r>
          </w:p>
        </w:tc>
        <w:tc>
          <w:tcPr>
            <w:tcW w:type="dxa" w:w="489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Weekly Hour Cap</w:t>
            </w:r>
          </w:p>
        </w:tc>
        <w:tc>
          <w:tcPr>
            <w:tcW w:type="dxa" w:w="1728"/>
            <w:shd w:val="clear" w:color="auto" w:fill="F8F9FA"/>
          </w:tcPr>
          <w:p>
            <w:pPr>
              <w:spacing w:before="60" w:after="60"/>
            </w:pPr>
            <w:r>
              <w:rPr>
                <w:sz w:val="19"/>
              </w:rPr>
              <w:t>40h</w:t>
            </w:r>
          </w:p>
        </w:tc>
        <w:tc>
          <w:tcPr>
            <w:tcW w:type="dxa" w:w="4896"/>
            <w:shd w:val="clear" w:color="auto" w:fill="F8F9FA"/>
          </w:tcPr>
          <w:p>
            <w:pPr>
              <w:spacing w:before="60" w:after="60"/>
            </w:pPr>
            <w:r>
              <w:rPr>
                <w:sz w:val="19"/>
              </w:rPr>
              <w:t>Maximum standard hours the member works per week.</w:t>
            </w:r>
          </w:p>
        </w:tc>
      </w:tr>
      <w:tr>
        <w:tc>
          <w:tcPr>
            <w:tcW w:type="dxa" w:w="2592"/>
            <w:shd w:val="clear" w:color="auto" w:fill="FFFFFF"/>
          </w:tcPr>
          <w:p>
            <w:pPr>
              <w:spacing w:before="60" w:after="60"/>
            </w:pPr>
            <w:r>
              <w:rPr>
                <w:sz w:val="19"/>
              </w:rPr>
              <w:t>Utilisation Rate</w:t>
            </w:r>
          </w:p>
        </w:tc>
        <w:tc>
          <w:tcPr>
            <w:tcW w:type="dxa" w:w="1728"/>
            <w:shd w:val="clear" w:color="auto" w:fill="FFFFFF"/>
          </w:tcPr>
          <w:p>
            <w:pPr>
              <w:spacing w:before="60" w:after="60"/>
            </w:pPr>
            <w:r>
              <w:rPr>
                <w:sz w:val="19"/>
              </w:rPr>
              <w:t>100%</w:t>
            </w:r>
          </w:p>
        </w:tc>
        <w:tc>
          <w:tcPr>
            <w:tcW w:type="dxa" w:w="4896"/>
            <w:shd w:val="clear" w:color="auto" w:fill="FFFFFF"/>
          </w:tcPr>
          <w:p>
            <w:pPr>
              <w:spacing w:before="60" w:after="60"/>
            </w:pPr>
            <w:r>
              <w:rPr>
                <w:sz w:val="19"/>
              </w:rPr>
              <w:t>Percentage of standard time dedicated to project work. A member at 80% utilisation contributes 32 project hours per 40h week, reserving 8h for admin.</w:t>
            </w:r>
          </w:p>
        </w:tc>
      </w:tr>
      <w:tr>
        <w:tc>
          <w:tcPr>
            <w:tcW w:type="dxa" w:w="2592"/>
            <w:shd w:val="clear" w:color="auto" w:fill="F8F9FA"/>
          </w:tcPr>
          <w:p>
            <w:pPr>
              <w:spacing w:before="60" w:after="60"/>
            </w:pPr>
            <w:r>
              <w:rPr>
                <w:sz w:val="19"/>
              </w:rPr>
              <w:t>Status</w:t>
            </w:r>
          </w:p>
        </w:tc>
        <w:tc>
          <w:tcPr>
            <w:tcW w:type="dxa" w:w="1728"/>
            <w:shd w:val="clear" w:color="auto" w:fill="F8F9FA"/>
          </w:tcPr>
          <w:p>
            <w:pPr>
              <w:spacing w:before="60" w:after="60"/>
            </w:pPr>
            <w:r>
              <w:rPr>
                <w:sz w:val="19"/>
              </w:rPr>
              <w:t>Active</w:t>
            </w:r>
          </w:p>
        </w:tc>
        <w:tc>
          <w:tcPr>
            <w:tcW w:type="dxa" w:w="4896"/>
            <w:shd w:val="clear" w:color="auto" w:fill="F8F9FA"/>
          </w:tcPr>
          <w:p>
            <w:pPr>
              <w:spacing w:before="60" w:after="60"/>
            </w:pPr>
            <w:r>
              <w:rPr>
                <w:sz w:val="19"/>
              </w:rPr>
              <w:t>Active members appear in Scheduler and can be assigned tasks. On Leave, Serving Notice, and Departed members are excluded from capacity calculations.</w:t>
            </w:r>
          </w:p>
        </w:tc>
      </w:tr>
      <w:tr>
        <w:tc>
          <w:tcPr>
            <w:tcW w:type="dxa" w:w="2592"/>
            <w:shd w:val="clear" w:color="auto" w:fill="FFFFFF"/>
          </w:tcPr>
          <w:p>
            <w:pPr>
              <w:spacing w:before="60" w:after="60"/>
            </w:pPr>
            <w:r>
              <w:rPr>
                <w:sz w:val="19"/>
              </w:rPr>
              <w:t>Planned Leaves</w:t>
            </w:r>
          </w:p>
        </w:tc>
        <w:tc>
          <w:tcPr>
            <w:tcW w:type="dxa" w:w="1728"/>
            <w:shd w:val="clear" w:color="auto" w:fill="FFFFFF"/>
          </w:tcPr>
          <w:p>
            <w:pPr>
              <w:spacing w:before="60" w:after="60"/>
            </w:pPr>
            <w:r>
              <w:rPr>
                <w:sz w:val="19"/>
              </w:rPr>
              <w:t>None</w:t>
            </w:r>
          </w:p>
        </w:tc>
        <w:tc>
          <w:tcPr>
            <w:tcW w:type="dxa" w:w="4896"/>
            <w:shd w:val="clear" w:color="auto" w:fill="FFFFFF"/>
          </w:tcPr>
          <w:p>
            <w:pPr>
              <w:spacing w:before="60" w:after="60"/>
            </w:pPr>
            <w:r>
              <w:rPr>
                <w:sz w:val="19"/>
              </w:rPr>
              <w:t>Date ranges marked as leave. The Scheduler reduces that member's available hours to 0 for those weeks.</w:t>
            </w:r>
          </w:p>
        </w:tc>
      </w:tr>
    </w:tbl>
    <w:p>
      <w:pPr>
        <w:spacing w:after="120"/>
      </w:pPr>
    </w:p>
    <w:p>
      <w:pPr>
        <w:pStyle w:val="Heading2"/>
        <w:spacing w:before="360" w:after="120"/>
      </w:pPr>
      <w:r>
        <w:rPr>
          <w:color w:val="1E9ED5"/>
        </w:rPr>
        <w:t>7.3  Dynamic Workload Balancing</w:t>
      </w:r>
    </w:p>
    <w:p>
      <w:pPr>
        <w:spacing w:before="0" w:after="120"/>
      </w:pPr>
      <w:r>
        <w:rPr>
          <w:sz w:val="21"/>
        </w:rPr>
        <w:t>The Capacity Hub displays a real-time utilisation indicator for each member:</w:t>
      </w:r>
    </w:p>
    <w:p>
      <w:pPr>
        <w:pStyle w:val="ListBullet"/>
        <w:spacing w:before="0" w:after="60"/>
        <w:ind w:left="360"/>
      </w:pPr>
      <w:r>
        <w:rPr>
          <w:sz w:val="21"/>
        </w:rPr>
        <w:t>Under-Utilised (&lt; 70%): Blue indicator. The system suggests additional task assignments based on the member's role profile.</w:t>
      </w:r>
    </w:p>
    <w:p>
      <w:pPr>
        <w:pStyle w:val="ListBullet"/>
        <w:spacing w:before="0" w:after="60"/>
        <w:ind w:left="360"/>
      </w:pPr>
      <w:r>
        <w:rPr>
          <w:sz w:val="21"/>
        </w:rPr>
        <w:t>Balanced (70%–100%): Green indicator. Optimal resource loading.</w:t>
      </w:r>
    </w:p>
    <w:p>
      <w:pPr>
        <w:pStyle w:val="ListBullet"/>
        <w:spacing w:before="0" w:after="60"/>
        <w:ind w:left="360"/>
      </w:pPr>
      <w:r>
        <w:rPr>
          <w:sz w:val="21"/>
        </w:rPr>
        <w:t>Over-allocated (&gt; 100%): Red warning flag. The Weekly Scheduler Diagnostics will list this resource as a conflict and recommend reassignment or date extension.</w:t>
      </w:r>
    </w:p>
    <w:p/>
    <w:p>
      <w:pPr>
        <w:pStyle w:val="Heading2"/>
        <w:spacing w:before="360" w:after="120"/>
      </w:pPr>
      <w:r>
        <w:rPr>
          <w:color w:val="1E9ED5"/>
        </w:rPr>
        <w:t>7.4  Role-Based Assignment Logic</w:t>
      </w:r>
    </w:p>
    <w:p>
      <w:pPr>
        <w:spacing w:before="0" w:after="120"/>
      </w:pPr>
      <w:r>
        <w:rPr>
          <w:sz w:val="21"/>
        </w:rPr>
        <w:t>Roles restrict which tasks a member can be automatically reassigned to during conflict resolution. The Smart Reassignment heuristic (Scheduler → Copilot) only swaps resources that share the same Role.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Role</w:t>
            </w:r>
          </w:p>
        </w:tc>
        <w:tc>
          <w:tcPr>
            <w:tcW w:type="dxa" w:w="6048"/>
            <w:shd w:val="clear" w:color="auto" w:fill="0D1B2A"/>
          </w:tcPr>
          <w:p>
            <w:pPr>
              <w:jc w:val="center"/>
            </w:pPr>
            <w:r>
              <w:rPr>
                <w:b/>
                <w:color w:val="FFFFFF"/>
                <w:sz w:val="19"/>
              </w:rPr>
              <w:t>Typical Responsibilities</w:t>
            </w:r>
          </w:p>
        </w:tc>
      </w:tr>
      <w:tr>
        <w:tc>
          <w:tcPr>
            <w:tcW w:type="dxa" w:w="3168"/>
            <w:shd w:val="clear" w:color="auto" w:fill="F8F9FA"/>
          </w:tcPr>
          <w:p>
            <w:pPr>
              <w:spacing w:before="60" w:after="60"/>
            </w:pPr>
            <w:r>
              <w:rPr>
                <w:sz w:val="19"/>
              </w:rPr>
              <w:t>Engineering Manager</w:t>
            </w:r>
          </w:p>
        </w:tc>
        <w:tc>
          <w:tcPr>
            <w:tcW w:type="dxa" w:w="6048"/>
            <w:shd w:val="clear" w:color="auto" w:fill="F8F9FA"/>
          </w:tcPr>
          <w:p>
            <w:pPr>
              <w:spacing w:before="60" w:after="60"/>
            </w:pPr>
            <w:r>
              <w:rPr>
                <w:sz w:val="19"/>
              </w:rPr>
              <w:t>Project oversight, resource coordination, escalation management.</w:t>
            </w:r>
          </w:p>
        </w:tc>
      </w:tr>
      <w:tr>
        <w:tc>
          <w:tcPr>
            <w:tcW w:type="dxa" w:w="3168"/>
            <w:shd w:val="clear" w:color="auto" w:fill="FFFFFF"/>
          </w:tcPr>
          <w:p>
            <w:pPr>
              <w:spacing w:before="60" w:after="60"/>
            </w:pPr>
            <w:r>
              <w:rPr>
                <w:sz w:val="19"/>
              </w:rPr>
              <w:t>Lead Architect</w:t>
            </w:r>
          </w:p>
        </w:tc>
        <w:tc>
          <w:tcPr>
            <w:tcW w:type="dxa" w:w="6048"/>
            <w:shd w:val="clear" w:color="auto" w:fill="FFFFFF"/>
          </w:tcPr>
          <w:p>
            <w:pPr>
              <w:spacing w:before="60" w:after="60"/>
            </w:pPr>
            <w:r>
              <w:rPr>
                <w:sz w:val="19"/>
              </w:rPr>
              <w:t>System design, technical standards, code review ownership.</w:t>
            </w:r>
          </w:p>
        </w:tc>
      </w:tr>
      <w:tr>
        <w:tc>
          <w:tcPr>
            <w:tcW w:type="dxa" w:w="3168"/>
            <w:shd w:val="clear" w:color="auto" w:fill="F8F9FA"/>
          </w:tcPr>
          <w:p>
            <w:pPr>
              <w:spacing w:before="60" w:after="60"/>
            </w:pPr>
            <w:r>
              <w:rPr>
                <w:sz w:val="19"/>
              </w:rPr>
              <w:t>Lead Frontend</w:t>
            </w:r>
          </w:p>
        </w:tc>
        <w:tc>
          <w:tcPr>
            <w:tcW w:type="dxa" w:w="6048"/>
            <w:shd w:val="clear" w:color="auto" w:fill="F8F9FA"/>
          </w:tcPr>
          <w:p>
            <w:pPr>
              <w:spacing w:before="60" w:after="60"/>
            </w:pPr>
            <w:r>
              <w:rPr>
                <w:sz w:val="19"/>
              </w:rPr>
              <w:t>UI engineering, component library, performance optimisation.</w:t>
            </w:r>
          </w:p>
        </w:tc>
      </w:tr>
      <w:tr>
        <w:tc>
          <w:tcPr>
            <w:tcW w:type="dxa" w:w="3168"/>
            <w:shd w:val="clear" w:color="auto" w:fill="FFFFFF"/>
          </w:tcPr>
          <w:p>
            <w:pPr>
              <w:spacing w:before="60" w:after="60"/>
            </w:pPr>
            <w:r>
              <w:rPr>
                <w:sz w:val="19"/>
              </w:rPr>
              <w:t>Lead Design</w:t>
            </w:r>
          </w:p>
        </w:tc>
        <w:tc>
          <w:tcPr>
            <w:tcW w:type="dxa" w:w="6048"/>
            <w:shd w:val="clear" w:color="auto" w:fill="FFFFFF"/>
          </w:tcPr>
          <w:p>
            <w:pPr>
              <w:spacing w:before="60" w:after="60"/>
            </w:pPr>
            <w:r>
              <w:rPr>
                <w:sz w:val="19"/>
              </w:rPr>
              <w:t>UX research, design system, visual prototyping.</w:t>
            </w:r>
          </w:p>
        </w:tc>
      </w:tr>
      <w:tr>
        <w:tc>
          <w:tcPr>
            <w:tcW w:type="dxa" w:w="3168"/>
            <w:shd w:val="clear" w:color="auto" w:fill="F8F9FA"/>
          </w:tcPr>
          <w:p>
            <w:pPr>
              <w:spacing w:before="60" w:after="60"/>
            </w:pPr>
            <w:r>
              <w:rPr>
                <w:sz w:val="19"/>
              </w:rPr>
              <w:t>Developer</w:t>
            </w:r>
          </w:p>
        </w:tc>
        <w:tc>
          <w:tcPr>
            <w:tcW w:type="dxa" w:w="6048"/>
            <w:shd w:val="clear" w:color="auto" w:fill="F8F9FA"/>
          </w:tcPr>
          <w:p>
            <w:pPr>
              <w:spacing w:before="60" w:after="60"/>
            </w:pPr>
            <w:r>
              <w:rPr>
                <w:sz w:val="19"/>
              </w:rPr>
              <w:t>Feature implementation, unit testing, code review.</w:t>
            </w:r>
          </w:p>
        </w:tc>
      </w:tr>
      <w:tr>
        <w:tc>
          <w:tcPr>
            <w:tcW w:type="dxa" w:w="3168"/>
            <w:shd w:val="clear" w:color="auto" w:fill="FFFFFF"/>
          </w:tcPr>
          <w:p>
            <w:pPr>
              <w:spacing w:before="60" w:after="60"/>
            </w:pPr>
            <w:r>
              <w:rPr>
                <w:sz w:val="19"/>
              </w:rPr>
              <w:t>QA</w:t>
            </w:r>
          </w:p>
        </w:tc>
        <w:tc>
          <w:tcPr>
            <w:tcW w:type="dxa" w:w="6048"/>
            <w:shd w:val="clear" w:color="auto" w:fill="FFFFFF"/>
          </w:tcPr>
          <w:p>
            <w:pPr>
              <w:spacing w:before="60" w:after="60"/>
            </w:pPr>
            <w:r>
              <w:rPr>
                <w:sz w:val="19"/>
              </w:rPr>
              <w:t>Test planning, defect logging, regression validation.</w:t>
            </w:r>
          </w:p>
        </w:tc>
      </w:tr>
      <w:tr>
        <w:tc>
          <w:tcPr>
            <w:tcW w:type="dxa" w:w="3168"/>
            <w:shd w:val="clear" w:color="auto" w:fill="F8F9FA"/>
          </w:tcPr>
          <w:p>
            <w:pPr>
              <w:spacing w:before="60" w:after="60"/>
            </w:pPr>
            <w:r>
              <w:rPr>
                <w:sz w:val="19"/>
              </w:rPr>
              <w:t>DevOps</w:t>
            </w:r>
          </w:p>
        </w:tc>
        <w:tc>
          <w:tcPr>
            <w:tcW w:type="dxa" w:w="6048"/>
            <w:shd w:val="clear" w:color="auto" w:fill="F8F9FA"/>
          </w:tcPr>
          <w:p>
            <w:pPr>
              <w:spacing w:before="60" w:after="60"/>
            </w:pPr>
            <w:r>
              <w:rPr>
                <w:sz w:val="19"/>
              </w:rPr>
              <w:t>Infrastructure, CI/CD pipelines, environment management.</w:t>
            </w:r>
          </w:p>
        </w:tc>
      </w:tr>
      <w:tr>
        <w:tc>
          <w:tcPr>
            <w:tcW w:type="dxa" w:w="3168"/>
            <w:shd w:val="clear" w:color="auto" w:fill="FFFFFF"/>
          </w:tcPr>
          <w:p>
            <w:pPr>
              <w:spacing w:before="60" w:after="60"/>
            </w:pPr>
            <w:r>
              <w:rPr>
                <w:sz w:val="19"/>
              </w:rPr>
              <w:t>Analyst</w:t>
            </w:r>
          </w:p>
        </w:tc>
        <w:tc>
          <w:tcPr>
            <w:tcW w:type="dxa" w:w="6048"/>
            <w:shd w:val="clear" w:color="auto" w:fill="FFFFFF"/>
          </w:tcPr>
          <w:p>
            <w:pPr>
              <w:spacing w:before="60" w:after="60"/>
            </w:pPr>
            <w:r>
              <w:rPr>
                <w:sz w:val="19"/>
              </w:rPr>
              <w:t>Requirements gathering, reporting, stakeholder communication.</w:t>
            </w:r>
          </w:p>
        </w:tc>
      </w:tr>
    </w:tbl>
    <w:p>
      <w:pPr>
        <w:spacing w:after="120"/>
      </w:pPr>
    </w:p>
    <w:p>
      <w:r>
        <w:br w:type="page"/>
      </w:r>
    </w:p>
    <w:p>
      <w:pPr>
        <w:pStyle w:val="Heading1"/>
        <w:spacing w:before="360" w:after="120"/>
      </w:pPr>
      <w:r>
        <w:rPr>
          <w:color w:val="0D1B2A"/>
        </w:rPr>
        <w:t>8  Defect Tracker &amp; Bug Lifecycle</w:t>
      </w:r>
    </w:p>
    <w:p>
      <w:pPr>
        <w:pBdr>
          <w:bottom w:val="single" w:sz="6" w:space="1" w:color="00C2A8"/>
        </w:pBdr>
        <w:spacing w:before="0" w:after="120"/>
      </w:pPr>
    </w:p>
    <w:p>
      <w:pPr>
        <w:spacing w:before="0" w:after="160"/>
      </w:pPr>
      <w:r>
        <w:rPr>
          <w:sz w:val="21"/>
        </w:rPr>
        <w:t>The Defect Tracker enables QA teams and developers to log, triage, prioritise, assign, track, and close software defects through a formal lifecycle. Defect data is integrated into the Health Index calculation on the Executive Overview Dashboard and linked to specific tasks in the Delivery Matrix.</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8.1 — Defect Tracker: Summary cards, severity-coded defect table, and bug lifecycle diagram</w:t>
      </w:r>
    </w:p>
    <w:p>
      <w:pPr>
        <w:pStyle w:val="Heading2"/>
        <w:spacing w:before="360" w:after="120"/>
      </w:pPr>
      <w:r>
        <w:rPr>
          <w:color w:val="1E9ED5"/>
        </w:rPr>
        <w:t>8.1  Defect Severity Matrix</w:t>
      </w:r>
    </w:p>
    <w:p>
      <w:pPr>
        <w:spacing w:before="0" w:after="120"/>
      </w:pPr>
      <w:r>
        <w:rPr>
          <w:sz w:val="21"/>
        </w:rPr>
        <w:t>Every defect must be assigned a severity level at the time of logging. Severity determines SLA response times and health index impact: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Pr>
          <w:p>
            <w:pPr>
              <w:jc w:val="center"/>
            </w:pPr>
            <w:r>
              <w:rPr>
                <w:b/>
                <w:color w:val="FFFFFF"/>
                <w:sz w:val="19"/>
              </w:rPr>
              <w:t>Severity</w:t>
            </w:r>
          </w:p>
        </w:tc>
        <w:tc>
          <w:tcPr>
            <w:tcW w:type="dxa" w:w="864"/>
            <w:shd w:val="clear" w:color="auto" w:fill="0D1B2A"/>
          </w:tcPr>
          <w:p>
            <w:pPr>
              <w:jc w:val="center"/>
            </w:pPr>
            <w:r>
              <w:rPr>
                <w:b/>
                <w:color w:val="FFFFFF"/>
                <w:sz w:val="19"/>
              </w:rPr>
              <w:t>Code</w:t>
            </w:r>
          </w:p>
        </w:tc>
        <w:tc>
          <w:tcPr>
            <w:tcW w:type="dxa" w:w="3456"/>
            <w:shd w:val="clear" w:color="auto" w:fill="0D1B2A"/>
          </w:tcPr>
          <w:p>
            <w:pPr>
              <w:jc w:val="center"/>
            </w:pPr>
            <w:r>
              <w:rPr>
                <w:b/>
                <w:color w:val="FFFFFF"/>
                <w:sz w:val="19"/>
              </w:rPr>
              <w:t>Definition</w:t>
            </w:r>
          </w:p>
        </w:tc>
        <w:tc>
          <w:tcPr>
            <w:tcW w:type="dxa" w:w="2304"/>
            <w:shd w:val="clear" w:color="auto" w:fill="0D1B2A"/>
          </w:tcPr>
          <w:p>
            <w:pPr>
              <w:jc w:val="center"/>
            </w:pPr>
            <w:r>
              <w:rPr>
                <w:b/>
                <w:color w:val="FFFFFF"/>
                <w:sz w:val="19"/>
              </w:rPr>
              <w:t>Health Impact</w:t>
            </w:r>
          </w:p>
        </w:tc>
        <w:tc>
          <w:tcPr>
            <w:tcW w:type="dxa" w:w="2016"/>
            <w:shd w:val="clear" w:color="auto" w:fill="0D1B2A"/>
          </w:tcPr>
          <w:p>
            <w:pPr>
              <w:jc w:val="center"/>
            </w:pPr>
            <w:r>
              <w:rPr>
                <w:b/>
                <w:color w:val="FFFFFF"/>
                <w:sz w:val="19"/>
              </w:rPr>
              <w:t>SLA Target</w:t>
            </w:r>
          </w:p>
        </w:tc>
      </w:tr>
      <w:tr>
        <w:tc>
          <w:tcPr>
            <w:tcW w:type="dxa" w:w="1584"/>
            <w:shd w:val="clear" w:color="auto" w:fill="F8F9FA"/>
          </w:tcPr>
          <w:p>
            <w:pPr>
              <w:spacing w:before="60" w:after="60"/>
            </w:pPr>
            <w:r>
              <w:rPr>
                <w:sz w:val="19"/>
              </w:rPr>
              <w:t>Blocker</w:t>
            </w:r>
          </w:p>
        </w:tc>
        <w:tc>
          <w:tcPr>
            <w:tcW w:type="dxa" w:w="864"/>
            <w:shd w:val="clear" w:color="auto" w:fill="F8F9FA"/>
          </w:tcPr>
          <w:p>
            <w:pPr>
              <w:spacing w:before="60" w:after="60"/>
            </w:pPr>
            <w:r>
              <w:rPr>
                <w:sz w:val="19"/>
              </w:rPr>
              <w:t>S1</w:t>
            </w:r>
          </w:p>
        </w:tc>
        <w:tc>
          <w:tcPr>
            <w:tcW w:type="dxa" w:w="3456"/>
            <w:shd w:val="clear" w:color="auto" w:fill="F8F9FA"/>
          </w:tcPr>
          <w:p>
            <w:pPr>
              <w:spacing w:before="60" w:after="60"/>
            </w:pPr>
            <w:r>
              <w:rPr>
                <w:sz w:val="19"/>
              </w:rPr>
              <w:t>Critical function completely broken. No workaround exists. Application unusable.</w:t>
            </w:r>
          </w:p>
        </w:tc>
        <w:tc>
          <w:tcPr>
            <w:tcW w:type="dxa" w:w="2304"/>
            <w:shd w:val="clear" w:color="auto" w:fill="F8F9FA"/>
          </w:tcPr>
          <w:p>
            <w:pPr>
              <w:spacing w:before="60" w:after="60"/>
            </w:pPr>
            <w:r>
              <w:rPr>
                <w:sz w:val="19"/>
              </w:rPr>
              <w:t>−10% per active Blocker</w:t>
            </w:r>
          </w:p>
        </w:tc>
        <w:tc>
          <w:tcPr>
            <w:tcW w:type="dxa" w:w="2016"/>
            <w:shd w:val="clear" w:color="auto" w:fill="F8F9FA"/>
          </w:tcPr>
          <w:p>
            <w:pPr>
              <w:spacing w:before="60" w:after="60"/>
            </w:pPr>
            <w:r>
              <w:rPr>
                <w:sz w:val="19"/>
              </w:rPr>
              <w:t>24 hours</w:t>
            </w:r>
          </w:p>
        </w:tc>
      </w:tr>
      <w:tr>
        <w:tc>
          <w:tcPr>
            <w:tcW w:type="dxa" w:w="1584"/>
            <w:shd w:val="clear" w:color="auto" w:fill="FFFFFF"/>
          </w:tcPr>
          <w:p>
            <w:pPr>
              <w:spacing w:before="60" w:after="60"/>
            </w:pPr>
            <w:r>
              <w:rPr>
                <w:sz w:val="19"/>
              </w:rPr>
              <w:t>Critical</w:t>
            </w:r>
          </w:p>
        </w:tc>
        <w:tc>
          <w:tcPr>
            <w:tcW w:type="dxa" w:w="864"/>
            <w:shd w:val="clear" w:color="auto" w:fill="FFFFFF"/>
          </w:tcPr>
          <w:p>
            <w:pPr>
              <w:spacing w:before="60" w:after="60"/>
            </w:pPr>
            <w:r>
              <w:rPr>
                <w:sz w:val="19"/>
              </w:rPr>
              <w:t>S2</w:t>
            </w:r>
          </w:p>
        </w:tc>
        <w:tc>
          <w:tcPr>
            <w:tcW w:type="dxa" w:w="3456"/>
            <w:shd w:val="clear" w:color="auto" w:fill="FFFFFF"/>
          </w:tcPr>
          <w:p>
            <w:pPr>
              <w:spacing w:before="60" w:after="60"/>
            </w:pPr>
            <w:r>
              <w:rPr>
                <w:sz w:val="19"/>
              </w:rPr>
              <w:t>Major functionality impaired. Temporary workaround exists but is impractical.</w:t>
            </w:r>
          </w:p>
        </w:tc>
        <w:tc>
          <w:tcPr>
            <w:tcW w:type="dxa" w:w="2304"/>
            <w:shd w:val="clear" w:color="auto" w:fill="FFFFFF"/>
          </w:tcPr>
          <w:p>
            <w:pPr>
              <w:spacing w:before="60" w:after="60"/>
            </w:pPr>
            <w:r>
              <w:rPr>
                <w:sz w:val="19"/>
              </w:rPr>
              <w:t>−5% per active Critical</w:t>
            </w:r>
          </w:p>
        </w:tc>
        <w:tc>
          <w:tcPr>
            <w:tcW w:type="dxa" w:w="2016"/>
            <w:shd w:val="clear" w:color="auto" w:fill="FFFFFF"/>
          </w:tcPr>
          <w:p>
            <w:pPr>
              <w:spacing w:before="60" w:after="60"/>
            </w:pPr>
            <w:r>
              <w:rPr>
                <w:sz w:val="19"/>
              </w:rPr>
              <w:t>48 hours</w:t>
            </w:r>
          </w:p>
        </w:tc>
      </w:tr>
      <w:tr>
        <w:tc>
          <w:tcPr>
            <w:tcW w:type="dxa" w:w="1584"/>
            <w:shd w:val="clear" w:color="auto" w:fill="F8F9FA"/>
          </w:tcPr>
          <w:p>
            <w:pPr>
              <w:spacing w:before="60" w:after="60"/>
            </w:pPr>
            <w:r>
              <w:rPr>
                <w:sz w:val="19"/>
              </w:rPr>
              <w:t>Major</w:t>
            </w:r>
          </w:p>
        </w:tc>
        <w:tc>
          <w:tcPr>
            <w:tcW w:type="dxa" w:w="864"/>
            <w:shd w:val="clear" w:color="auto" w:fill="F8F9FA"/>
          </w:tcPr>
          <w:p>
            <w:pPr>
              <w:spacing w:before="60" w:after="60"/>
            </w:pPr>
            <w:r>
              <w:rPr>
                <w:sz w:val="19"/>
              </w:rPr>
              <w:t>S3</w:t>
            </w:r>
          </w:p>
        </w:tc>
        <w:tc>
          <w:tcPr>
            <w:tcW w:type="dxa" w:w="3456"/>
            <w:shd w:val="clear" w:color="auto" w:fill="F8F9FA"/>
          </w:tcPr>
          <w:p>
            <w:pPr>
              <w:spacing w:before="60" w:after="60"/>
            </w:pPr>
            <w:r>
              <w:rPr>
                <w:sz w:val="19"/>
              </w:rPr>
              <w:t>Significant issue. Clear and stable workaround available.</w:t>
            </w:r>
          </w:p>
        </w:tc>
        <w:tc>
          <w:tcPr>
            <w:tcW w:type="dxa" w:w="2304"/>
            <w:shd w:val="clear" w:color="auto" w:fill="F8F9FA"/>
          </w:tcPr>
          <w:p>
            <w:pPr>
              <w:spacing w:before="60" w:after="60"/>
            </w:pPr>
            <w:r>
              <w:rPr>
                <w:sz w:val="19"/>
              </w:rPr>
              <w:t>−2% per active Major</w:t>
            </w:r>
          </w:p>
        </w:tc>
        <w:tc>
          <w:tcPr>
            <w:tcW w:type="dxa" w:w="2016"/>
            <w:shd w:val="clear" w:color="auto" w:fill="F8F9FA"/>
          </w:tcPr>
          <w:p>
            <w:pPr>
              <w:spacing w:before="60" w:after="60"/>
            </w:pPr>
            <w:r>
              <w:rPr>
                <w:sz w:val="19"/>
              </w:rPr>
              <w:t>5 business days</w:t>
            </w:r>
          </w:p>
        </w:tc>
      </w:tr>
      <w:tr>
        <w:tc>
          <w:tcPr>
            <w:tcW w:type="dxa" w:w="1584"/>
            <w:shd w:val="clear" w:color="auto" w:fill="FFFFFF"/>
          </w:tcPr>
          <w:p>
            <w:pPr>
              <w:spacing w:before="60" w:after="60"/>
            </w:pPr>
            <w:r>
              <w:rPr>
                <w:sz w:val="19"/>
              </w:rPr>
              <w:t>Minor</w:t>
            </w:r>
          </w:p>
        </w:tc>
        <w:tc>
          <w:tcPr>
            <w:tcW w:type="dxa" w:w="864"/>
            <w:shd w:val="clear" w:color="auto" w:fill="FFFFFF"/>
          </w:tcPr>
          <w:p>
            <w:pPr>
              <w:spacing w:before="60" w:after="60"/>
            </w:pPr>
            <w:r>
              <w:rPr>
                <w:sz w:val="19"/>
              </w:rPr>
              <w:t>S4</w:t>
            </w:r>
          </w:p>
        </w:tc>
        <w:tc>
          <w:tcPr>
            <w:tcW w:type="dxa" w:w="3456"/>
            <w:shd w:val="clear" w:color="auto" w:fill="FFFFFF"/>
          </w:tcPr>
          <w:p>
            <w:pPr>
              <w:spacing w:before="60" w:after="60"/>
            </w:pPr>
            <w:r>
              <w:rPr>
                <w:sz w:val="19"/>
              </w:rPr>
              <w:t>Trivial cosmetic issue, spelling error, or minor UI inconsistency.</w:t>
            </w:r>
          </w:p>
        </w:tc>
        <w:tc>
          <w:tcPr>
            <w:tcW w:type="dxa" w:w="2304"/>
            <w:shd w:val="clear" w:color="auto" w:fill="FFFFFF"/>
          </w:tcPr>
          <w:p>
            <w:pPr>
              <w:spacing w:before="60" w:after="60"/>
            </w:pPr>
            <w:r>
              <w:rPr>
                <w:sz w:val="19"/>
              </w:rPr>
              <w:t>−0.5% per active Minor</w:t>
            </w:r>
          </w:p>
        </w:tc>
        <w:tc>
          <w:tcPr>
            <w:tcW w:type="dxa" w:w="2016"/>
            <w:shd w:val="clear" w:color="auto" w:fill="FFFFFF"/>
          </w:tcPr>
          <w:p>
            <w:pPr>
              <w:spacing w:before="60" w:after="60"/>
            </w:pPr>
            <w:r>
              <w:rPr>
                <w:sz w:val="19"/>
              </w:rPr>
              <w:t>10 business days</w:t>
            </w:r>
          </w:p>
        </w:tc>
      </w:tr>
    </w:tbl>
    <w:p>
      <w:pPr>
        <w:spacing w:after="120"/>
      </w:pPr>
    </w:p>
    <w:p>
      <w:pPr>
        <w:pStyle w:val="Heading2"/>
        <w:spacing w:before="360" w:after="120"/>
      </w:pPr>
      <w:r>
        <w:rPr>
          <w:color w:val="1E9ED5"/>
        </w:rPr>
        <w:t>8.2  Bug Lifecycle &amp; Status Workflow</w:t>
      </w:r>
    </w:p>
    <w:p>
      <w:pPr>
        <w:spacing w:before="0" w:after="120"/>
      </w:pPr>
      <w:r>
        <w:rPr>
          <w:sz w:val="21"/>
        </w:rPr>
        <w:t>Defects flow through the following mandatory status transitions. A defect cannot skip stages — the transition must be sequential:</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Status</w:t>
            </w:r>
          </w:p>
        </w:tc>
        <w:tc>
          <w:tcPr>
            <w:tcW w:type="dxa" w:w="5040"/>
            <w:shd w:val="clear" w:color="auto" w:fill="0D1B2A"/>
          </w:tcPr>
          <w:p>
            <w:pPr>
              <w:jc w:val="center"/>
            </w:pPr>
            <w:r>
              <w:rPr>
                <w:b/>
                <w:color w:val="FFFFFF"/>
                <w:sz w:val="19"/>
              </w:rPr>
              <w:t>Description</w:t>
            </w:r>
          </w:p>
        </w:tc>
        <w:tc>
          <w:tcPr>
            <w:tcW w:type="dxa" w:w="2304"/>
            <w:shd w:val="clear" w:color="auto" w:fill="0D1B2A"/>
          </w:tcPr>
          <w:p>
            <w:pPr>
              <w:jc w:val="center"/>
            </w:pPr>
            <w:r>
              <w:rPr>
                <w:b/>
                <w:color w:val="FFFFFF"/>
                <w:sz w:val="19"/>
              </w:rPr>
              <w:t>Responsible Party</w:t>
            </w:r>
          </w:p>
        </w:tc>
      </w:tr>
      <w:tr>
        <w:tc>
          <w:tcPr>
            <w:tcW w:type="dxa" w:w="1872"/>
            <w:shd w:val="clear" w:color="auto" w:fill="F8F9FA"/>
          </w:tcPr>
          <w:p>
            <w:pPr>
              <w:spacing w:before="60" w:after="60"/>
            </w:pPr>
            <w:r>
              <w:rPr>
                <w:sz w:val="19"/>
              </w:rPr>
              <w:t>New</w:t>
            </w:r>
          </w:p>
        </w:tc>
        <w:tc>
          <w:tcPr>
            <w:tcW w:type="dxa" w:w="5040"/>
            <w:shd w:val="clear" w:color="auto" w:fill="F8F9FA"/>
          </w:tcPr>
          <w:p>
            <w:pPr>
              <w:spacing w:before="60" w:after="60"/>
            </w:pPr>
            <w:r>
              <w:rPr>
                <w:sz w:val="19"/>
              </w:rPr>
              <w:t>Defect logged. Awaiting triage and owner assignment.</w:t>
            </w:r>
          </w:p>
        </w:tc>
        <w:tc>
          <w:tcPr>
            <w:tcW w:type="dxa" w:w="2304"/>
            <w:shd w:val="clear" w:color="auto" w:fill="F8F9FA"/>
          </w:tcPr>
          <w:p>
            <w:pPr>
              <w:spacing w:before="60" w:after="60"/>
            </w:pPr>
            <w:r>
              <w:rPr>
                <w:sz w:val="19"/>
              </w:rPr>
              <w:t>Reporter</w:t>
            </w:r>
          </w:p>
        </w:tc>
      </w:tr>
      <w:tr>
        <w:tc>
          <w:tcPr>
            <w:tcW w:type="dxa" w:w="1872"/>
            <w:shd w:val="clear" w:color="auto" w:fill="FFFFFF"/>
          </w:tcPr>
          <w:p>
            <w:pPr>
              <w:spacing w:before="60" w:after="60"/>
            </w:pPr>
            <w:r>
              <w:rPr>
                <w:sz w:val="19"/>
              </w:rPr>
              <w:t>Assigned</w:t>
            </w:r>
          </w:p>
        </w:tc>
        <w:tc>
          <w:tcPr>
            <w:tcW w:type="dxa" w:w="5040"/>
            <w:shd w:val="clear" w:color="auto" w:fill="FFFFFF"/>
          </w:tcPr>
          <w:p>
            <w:pPr>
              <w:spacing w:before="60" w:after="60"/>
            </w:pPr>
            <w:r>
              <w:rPr>
                <w:sz w:val="19"/>
              </w:rPr>
              <w:t>Owner allocated. Development investigation begun.</w:t>
            </w:r>
          </w:p>
        </w:tc>
        <w:tc>
          <w:tcPr>
            <w:tcW w:type="dxa" w:w="2304"/>
            <w:shd w:val="clear" w:color="auto" w:fill="FFFFFF"/>
          </w:tcPr>
          <w:p>
            <w:pPr>
              <w:spacing w:before="60" w:after="60"/>
            </w:pPr>
            <w:r>
              <w:rPr>
                <w:sz w:val="19"/>
              </w:rPr>
              <w:t>Engineering Manager</w:t>
            </w:r>
          </w:p>
        </w:tc>
      </w:tr>
      <w:tr>
        <w:tc>
          <w:tcPr>
            <w:tcW w:type="dxa" w:w="1872"/>
            <w:shd w:val="clear" w:color="auto" w:fill="F8F9FA"/>
          </w:tcPr>
          <w:p>
            <w:pPr>
              <w:spacing w:before="60" w:after="60"/>
            </w:pPr>
            <w:r>
              <w:rPr>
                <w:sz w:val="19"/>
              </w:rPr>
              <w:t>Fixed</w:t>
            </w:r>
          </w:p>
        </w:tc>
        <w:tc>
          <w:tcPr>
            <w:tcW w:type="dxa" w:w="5040"/>
            <w:shd w:val="clear" w:color="auto" w:fill="F8F9FA"/>
          </w:tcPr>
          <w:p>
            <w:pPr>
              <w:spacing w:before="60" w:after="60"/>
            </w:pPr>
            <w:r>
              <w:rPr>
                <w:sz w:val="19"/>
              </w:rPr>
              <w:t>Code fix applied by development. Awaiting QA validation.</w:t>
            </w:r>
          </w:p>
        </w:tc>
        <w:tc>
          <w:tcPr>
            <w:tcW w:type="dxa" w:w="2304"/>
            <w:shd w:val="clear" w:color="auto" w:fill="F8F9FA"/>
          </w:tcPr>
          <w:p>
            <w:pPr>
              <w:spacing w:before="60" w:after="60"/>
            </w:pPr>
            <w:r>
              <w:rPr>
                <w:sz w:val="19"/>
              </w:rPr>
              <w:t>Developer</w:t>
            </w:r>
          </w:p>
        </w:tc>
      </w:tr>
      <w:tr>
        <w:tc>
          <w:tcPr>
            <w:tcW w:type="dxa" w:w="1872"/>
            <w:shd w:val="clear" w:color="auto" w:fill="FFFFFF"/>
          </w:tcPr>
          <w:p>
            <w:pPr>
              <w:spacing w:before="60" w:after="60"/>
            </w:pPr>
            <w:r>
              <w:rPr>
                <w:sz w:val="19"/>
              </w:rPr>
              <w:t>Retest</w:t>
            </w:r>
          </w:p>
        </w:tc>
        <w:tc>
          <w:tcPr>
            <w:tcW w:type="dxa" w:w="5040"/>
            <w:shd w:val="clear" w:color="auto" w:fill="FFFFFF"/>
          </w:tcPr>
          <w:p>
            <w:pPr>
              <w:spacing w:before="60" w:after="60"/>
            </w:pPr>
            <w:r>
              <w:rPr>
                <w:sz w:val="19"/>
              </w:rPr>
              <w:t>Fix deployed to test environment. QA conducting verification testing.</w:t>
            </w:r>
          </w:p>
        </w:tc>
        <w:tc>
          <w:tcPr>
            <w:tcW w:type="dxa" w:w="2304"/>
            <w:shd w:val="clear" w:color="auto" w:fill="FFFFFF"/>
          </w:tcPr>
          <w:p>
            <w:pPr>
              <w:spacing w:before="60" w:after="60"/>
            </w:pPr>
            <w:r>
              <w:rPr>
                <w:sz w:val="19"/>
              </w:rPr>
              <w:t>QA Engineer</w:t>
            </w:r>
          </w:p>
        </w:tc>
      </w:tr>
      <w:tr>
        <w:tc>
          <w:tcPr>
            <w:tcW w:type="dxa" w:w="1872"/>
            <w:shd w:val="clear" w:color="auto" w:fill="F8F9FA"/>
          </w:tcPr>
          <w:p>
            <w:pPr>
              <w:spacing w:before="60" w:after="60"/>
            </w:pPr>
            <w:r>
              <w:rPr>
                <w:sz w:val="19"/>
              </w:rPr>
              <w:t>Closed</w:t>
            </w:r>
          </w:p>
        </w:tc>
        <w:tc>
          <w:tcPr>
            <w:tcW w:type="dxa" w:w="5040"/>
            <w:shd w:val="clear" w:color="auto" w:fill="F8F9FA"/>
          </w:tcPr>
          <w:p>
            <w:pPr>
              <w:spacing w:before="60" w:after="60"/>
            </w:pPr>
            <w:r>
              <w:rPr>
                <w:sz w:val="19"/>
              </w:rPr>
              <w:t>Fix verified by QA. Defect permanently closed.</w:t>
            </w:r>
          </w:p>
        </w:tc>
        <w:tc>
          <w:tcPr>
            <w:tcW w:type="dxa" w:w="2304"/>
            <w:shd w:val="clear" w:color="auto" w:fill="F8F9FA"/>
          </w:tcPr>
          <w:p>
            <w:pPr>
              <w:spacing w:before="60" w:after="60"/>
            </w:pPr>
            <w:r>
              <w:rPr>
                <w:sz w:val="19"/>
              </w:rPr>
              <w:t>QA Engineer</w:t>
            </w:r>
          </w:p>
        </w:tc>
      </w:tr>
      <w:tr>
        <w:tc>
          <w:tcPr>
            <w:tcW w:type="dxa" w:w="1872"/>
            <w:shd w:val="clear" w:color="auto" w:fill="FFFFFF"/>
          </w:tcPr>
          <w:p>
            <w:pPr>
              <w:spacing w:before="60" w:after="60"/>
            </w:pPr>
            <w:r>
              <w:rPr>
                <w:sz w:val="19"/>
              </w:rPr>
              <w:t>Rejected</w:t>
            </w:r>
          </w:p>
        </w:tc>
        <w:tc>
          <w:tcPr>
            <w:tcW w:type="dxa" w:w="5040"/>
            <w:shd w:val="clear" w:color="auto" w:fill="FFFFFF"/>
          </w:tcPr>
          <w:p>
            <w:pPr>
              <w:spacing w:before="60" w:after="60"/>
            </w:pPr>
            <w:r>
              <w:rPr>
                <w:sz w:val="19"/>
              </w:rPr>
              <w:t>Defect determined to be invalid (by design or not reproducible).</w:t>
            </w:r>
          </w:p>
        </w:tc>
        <w:tc>
          <w:tcPr>
            <w:tcW w:type="dxa" w:w="2304"/>
            <w:shd w:val="clear" w:color="auto" w:fill="FFFFFF"/>
          </w:tcPr>
          <w:p>
            <w:pPr>
              <w:spacing w:before="60" w:after="60"/>
            </w:pPr>
            <w:r>
              <w:rPr>
                <w:sz w:val="19"/>
              </w:rPr>
              <w:t>Engineering Manager</w:t>
            </w:r>
          </w:p>
        </w:tc>
      </w:tr>
      <w:tr>
        <w:tc>
          <w:tcPr>
            <w:tcW w:type="dxa" w:w="1872"/>
            <w:shd w:val="clear" w:color="auto" w:fill="F8F9FA"/>
          </w:tcPr>
          <w:p>
            <w:pPr>
              <w:spacing w:before="60" w:after="60"/>
            </w:pPr>
            <w:r>
              <w:rPr>
                <w:sz w:val="19"/>
              </w:rPr>
              <w:t>Deferred</w:t>
            </w:r>
          </w:p>
        </w:tc>
        <w:tc>
          <w:tcPr>
            <w:tcW w:type="dxa" w:w="5040"/>
            <w:shd w:val="clear" w:color="auto" w:fill="F8F9FA"/>
          </w:tcPr>
          <w:p>
            <w:pPr>
              <w:spacing w:before="60" w:after="60"/>
            </w:pPr>
            <w:r>
              <w:rPr>
                <w:sz w:val="19"/>
              </w:rPr>
              <w:t>Fix postponed to a future release cycle with stakeholder approval.</w:t>
            </w:r>
          </w:p>
        </w:tc>
        <w:tc>
          <w:tcPr>
            <w:tcW w:type="dxa" w:w="2304"/>
            <w:shd w:val="clear" w:color="auto" w:fill="F8F9FA"/>
          </w:tcPr>
          <w:p>
            <w:pPr>
              <w:spacing w:before="60" w:after="60"/>
            </w:pPr>
            <w:r>
              <w:rPr>
                <w:sz w:val="19"/>
              </w:rPr>
              <w:t>Project Manager</w:t>
            </w:r>
          </w:p>
        </w:tc>
      </w:tr>
    </w:tbl>
    <w:p>
      <w:pPr>
        <w:spacing w:after="120"/>
      </w:pPr>
    </w:p>
    <w:p>
      <w:pPr>
        <w:pStyle w:val="Heading2"/>
        <w:spacing w:before="360" w:after="120"/>
      </w:pPr>
      <w:r>
        <w:rPr>
          <w:color w:val="1E9ED5"/>
        </w:rPr>
        <w:t>8.3  Linking Defects to Tasks</w:t>
      </w:r>
    </w:p>
    <w:p>
      <w:pPr>
        <w:spacing w:before="0" w:after="120"/>
      </w:pPr>
      <w:r>
        <w:rPr>
          <w:sz w:val="21"/>
        </w:rPr>
        <w:t>Every defect must be linked to a specific entity to maintain traceability:</w:t>
      </w:r>
    </w:p>
    <w:p>
      <w:pPr>
        <w:pStyle w:val="ListBullet"/>
        <w:spacing w:before="0" w:after="60"/>
        <w:ind w:left="360"/>
      </w:pPr>
      <w:r>
        <w:rPr>
          <w:sz w:val="21"/>
        </w:rPr>
        <w:t>Link Type: Task, Subtask, or GUI Screen.</w:t>
      </w:r>
    </w:p>
    <w:p>
      <w:pPr>
        <w:pStyle w:val="ListBullet"/>
        <w:spacing w:before="0" w:after="60"/>
        <w:ind w:left="360"/>
      </w:pPr>
      <w:r>
        <w:rPr>
          <w:sz w:val="21"/>
        </w:rPr>
        <w:t>Linked ID: The specific entity ID (e.g., TASK-004, ST-005).</w:t>
      </w:r>
    </w:p>
    <w:p>
      <w:pPr>
        <w:pStyle w:val="ListBullet"/>
        <w:spacing w:before="0" w:after="60"/>
        <w:ind w:left="360"/>
      </w:pPr>
      <w:r>
        <w:rPr>
          <w:sz w:val="21"/>
        </w:rPr>
        <w:t>The Delivery Matrix displays a defect count badge on the linked task row for instant visibility.</w:t>
      </w:r>
    </w:p>
    <w:p>
      <w:pPr>
        <w:pStyle w:val="ListBullet"/>
        <w:spacing w:before="0" w:after="60"/>
        <w:ind w:left="360"/>
      </w:pPr>
      <w:r>
        <w:rPr>
          <w:sz w:val="21"/>
        </w:rPr>
        <w:t>The Task Detail flyout lists all linked defects with their severity and status.</w:t>
      </w:r>
    </w:p>
    <w:p/>
    <w:p>
      <w:pPr>
        <w:pStyle w:val="Heading2"/>
        <w:spacing w:before="360" w:after="120"/>
      </w:pPr>
      <w:r>
        <w:rPr>
          <w:color w:val="1E9ED5"/>
        </w:rPr>
        <w:t>8.4  Logging a New Defect — Step by Step</w:t>
      </w:r>
    </w:p>
    <w:p>
      <w:pPr>
        <w:pStyle w:val="ListNumber"/>
        <w:spacing w:before="0" w:after="60"/>
      </w:pPr>
      <w:r>
        <w:rPr>
          <w:sz w:val="21"/>
        </w:rPr>
        <w:t>Navigate to the Defects view via the top navigation bar.</w:t>
      </w:r>
    </w:p>
    <w:p>
      <w:pPr>
        <w:pStyle w:val="ListNumber"/>
        <w:spacing w:before="0" w:after="60"/>
      </w:pPr>
      <w:r>
        <w:rPr>
          <w:sz w:val="21"/>
        </w:rPr>
        <w:t>Click '+ Log Defect' in the top toolbar.</w:t>
      </w:r>
    </w:p>
    <w:p>
      <w:pPr>
        <w:pStyle w:val="ListNumber"/>
        <w:spacing w:before="0" w:after="60"/>
      </w:pPr>
      <w:r>
        <w:rPr>
          <w:sz w:val="21"/>
        </w:rPr>
        <w:t>Complete the defect form: Title, Type, Severity, Priority, Linked Task, Assignee, Reporter, Description, and Reproduction Steps.</w:t>
      </w:r>
    </w:p>
    <w:p>
      <w:pPr>
        <w:pStyle w:val="ListNumber"/>
        <w:spacing w:before="0" w:after="60"/>
      </w:pPr>
      <w:r>
        <w:rPr>
          <w:sz w:val="21"/>
        </w:rPr>
        <w:t>Click 'Save'. The defect is immediately added to the register with status 'New'.</w:t>
      </w:r>
    </w:p>
    <w:p>
      <w:pPr>
        <w:pStyle w:val="ListNumber"/>
        <w:spacing w:before="0" w:after="60"/>
      </w:pPr>
      <w:r>
        <w:rPr>
          <w:sz w:val="21"/>
        </w:rPr>
        <w:t>The linked task's health contribution is recalculated and the dashboard updates in real time.</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S1 Blocker defects trigger an immediate red alert banner on the Executive Overview Dashboard. Blockers that remain open beyond their 24-hour SLA are escalated to the Engineering Manager via in-app notification.</w:t>
            </w:r>
          </w:p>
        </w:tc>
      </w:tr>
    </w:tbl>
    <w:p/>
    <w:p>
      <w:r>
        <w:br w:type="page"/>
      </w:r>
    </w:p>
    <w:p>
      <w:pPr>
        <w:pStyle w:val="Heading1"/>
        <w:spacing w:before="360" w:after="120"/>
      </w:pPr>
      <w:r>
        <w:rPr>
          <w:color w:val="0D1B2A"/>
        </w:rPr>
        <w:t>9  Reports &amp; Stakeholder Board Packs</w:t>
      </w:r>
    </w:p>
    <w:p>
      <w:pPr>
        <w:pBdr>
          <w:bottom w:val="single" w:sz="6" w:space="1" w:color="00C2A8"/>
        </w:pBdr>
        <w:spacing w:before="0" w:after="120"/>
      </w:pPr>
    </w:p>
    <w:p>
      <w:pPr>
        <w:spacing w:before="0" w:after="160"/>
      </w:pPr>
      <w:r>
        <w:rPr>
          <w:sz w:val="21"/>
        </w:rPr>
        <w:t>ProjectPulse features a professional report generation engine that compiles real-time project data into presentation-ready board packs, structured Excel workbooks, and printable PDF status reports — all in one click.</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9.1 — Reports &amp; Board Packs: Report builder, export controls, and preview panel</w:t>
      </w:r>
    </w:p>
    <w:p>
      <w:pPr>
        <w:pStyle w:val="Heading2"/>
        <w:spacing w:before="360" w:after="120"/>
      </w:pPr>
      <w:r>
        <w:rPr>
          <w:color w:val="1E9ED5"/>
        </w:rPr>
        <w:t>9.1  Executive Board Pack</w:t>
      </w:r>
    </w:p>
    <w:p>
      <w:pPr>
        <w:spacing w:before="0" w:after="120"/>
      </w:pPr>
      <w:r>
        <w:rPr>
          <w:sz w:val="21"/>
        </w:rPr>
        <w:t>The Board Pack compiles a complete project narrative suitable for executive and steering committee review:</w:t>
      </w:r>
    </w:p>
    <w:p>
      <w:pPr>
        <w:pStyle w:val="ListBullet"/>
        <w:spacing w:before="0" w:after="60"/>
        <w:ind w:left="360"/>
      </w:pPr>
      <w:r>
        <w:rPr>
          <w:sz w:val="21"/>
        </w:rPr>
        <w:t>Project Summary Narrative: Auto-generated high-level status paragraph, summarising key achievements, blockers, and next steps.</w:t>
      </w:r>
    </w:p>
    <w:p>
      <w:pPr>
        <w:pStyle w:val="ListBullet"/>
        <w:spacing w:before="0" w:after="60"/>
        <w:ind w:left="360"/>
      </w:pPr>
      <w:r>
        <w:rPr>
          <w:sz w:val="21"/>
        </w:rPr>
        <w:t>Aggregated Health Trend Graph: A Bezier-curve sparkline chart showing the Health Index over the past 8 weeks.</w:t>
      </w:r>
    </w:p>
    <w:p>
      <w:pPr>
        <w:pStyle w:val="ListBullet"/>
        <w:spacing w:before="0" w:after="60"/>
        <w:ind w:left="360"/>
      </w:pPr>
      <w:r>
        <w:rPr>
          <w:sz w:val="21"/>
        </w:rPr>
        <w:t>Critical Path Highlights: Tasks on the critical path that are within 5 days of or past their due dates.</w:t>
      </w:r>
    </w:p>
    <w:p>
      <w:pPr>
        <w:pStyle w:val="ListBullet"/>
        <w:spacing w:before="0" w:after="60"/>
        <w:ind w:left="360"/>
      </w:pPr>
      <w:r>
        <w:rPr>
          <w:sz w:val="21"/>
        </w:rPr>
        <w:t>Top 5 Risks: RAID items ranked by Exposure Score (Probability × Impact), with their owners and mitigation summaries.</w:t>
      </w:r>
    </w:p>
    <w:p>
      <w:pPr>
        <w:pStyle w:val="ListBullet"/>
        <w:spacing w:before="0" w:after="60"/>
        <w:ind w:left="360"/>
      </w:pPr>
      <w:r>
        <w:rPr>
          <w:sz w:val="21"/>
        </w:rPr>
        <w:t>Team Velocity Trend: 4-week rolling average of completed story points.</w:t>
      </w:r>
    </w:p>
    <w:p/>
    <w:p>
      <w:pPr>
        <w:pStyle w:val="Heading2"/>
        <w:spacing w:before="360" w:after="120"/>
      </w:pPr>
      <w:r>
        <w:rPr>
          <w:color w:val="1E9ED5"/>
        </w:rPr>
        <w:t>9.2  Excel Workbook Export</w:t>
      </w:r>
    </w:p>
    <w:p>
      <w:pPr>
        <w:spacing w:before="0" w:after="120"/>
      </w:pPr>
      <w:r>
        <w:rPr>
          <w:sz w:val="21"/>
        </w:rPr>
        <w:t>The full project workbook is generated using the ExcelJS library in the browser. The export is a multi-sheet workbook with professional formatting:</w:t>
      </w:r>
    </w:p>
    <w:tbl>
      <w:tblPr>
        <w:tblStyle w:val="TableGrid"/>
        <w:tblW w:type="auto" w:w="0"/>
        <w:jc w:val="center"/>
        <w:tblLook w:firstColumn="1" w:firstRow="1" w:lastColumn="0" w:lastRow="0" w:noHBand="0" w:noVBand="1" w:val="04A0"/>
      </w:tblPr>
      <w:tblGrid>
        <w:gridCol w:w="4536"/>
        <w:gridCol w:w="4536"/>
      </w:tblGrid>
      <w:tr>
        <w:tc>
          <w:tcPr>
            <w:tcW w:type="dxa" w:w="2592"/>
            <w:shd w:val="clear" w:color="auto" w:fill="0D1B2A"/>
          </w:tcPr>
          <w:p>
            <w:pPr>
              <w:jc w:val="center"/>
            </w:pPr>
            <w:r>
              <w:rPr>
                <w:b/>
                <w:color w:val="FFFFFF"/>
                <w:sz w:val="19"/>
              </w:rPr>
              <w:t>Sheet</w:t>
            </w:r>
          </w:p>
        </w:tc>
        <w:tc>
          <w:tcPr>
            <w:tcW w:type="dxa" w:w="6624"/>
            <w:shd w:val="clear" w:color="auto" w:fill="0D1B2A"/>
          </w:tcPr>
          <w:p>
            <w:pPr>
              <w:jc w:val="center"/>
            </w:pPr>
            <w:r>
              <w:rPr>
                <w:b/>
                <w:color w:val="FFFFFF"/>
                <w:sz w:val="19"/>
              </w:rPr>
              <w:t>Contents</w:t>
            </w:r>
          </w:p>
        </w:tc>
      </w:tr>
      <w:tr>
        <w:tc>
          <w:tcPr>
            <w:tcW w:type="dxa" w:w="2592"/>
            <w:shd w:val="clear" w:color="auto" w:fill="F8F9FA"/>
          </w:tcPr>
          <w:p>
            <w:pPr>
              <w:spacing w:before="60" w:after="60"/>
            </w:pPr>
            <w:r>
              <w:rPr>
                <w:sz w:val="19"/>
              </w:rPr>
              <w:t>System State</w:t>
            </w:r>
          </w:p>
        </w:tc>
        <w:tc>
          <w:tcPr>
            <w:tcW w:type="dxa" w:w="6624"/>
            <w:shd w:val="clear" w:color="auto" w:fill="F8F9FA"/>
          </w:tcPr>
          <w:p>
            <w:pPr>
              <w:spacing w:before="60" w:after="60"/>
            </w:pPr>
            <w:r>
              <w:rPr>
                <w:sz w:val="19"/>
              </w:rPr>
              <w:t>Project metadata, settings, effort unit, last saved timestamp, and file sync path.</w:t>
            </w:r>
          </w:p>
        </w:tc>
      </w:tr>
      <w:tr>
        <w:tc>
          <w:tcPr>
            <w:tcW w:type="dxa" w:w="2592"/>
            <w:shd w:val="clear" w:color="auto" w:fill="FFFFFF"/>
          </w:tcPr>
          <w:p>
            <w:pPr>
              <w:spacing w:before="60" w:after="60"/>
            </w:pPr>
            <w:r>
              <w:rPr>
                <w:sz w:val="19"/>
              </w:rPr>
              <w:t>Tasks</w:t>
            </w:r>
          </w:p>
        </w:tc>
        <w:tc>
          <w:tcPr>
            <w:tcW w:type="dxa" w:w="6624"/>
            <w:shd w:val="clear" w:color="auto" w:fill="FFFFFF"/>
          </w:tcPr>
          <w:p>
            <w:pPr>
              <w:spacing w:before="60" w:after="60"/>
            </w:pPr>
            <w:r>
              <w:rPr>
                <w:sz w:val="19"/>
              </w:rPr>
              <w:t>Full task register with all fields, baseline dates, variance calculations, and slippage reasons.</w:t>
            </w:r>
          </w:p>
        </w:tc>
      </w:tr>
      <w:tr>
        <w:tc>
          <w:tcPr>
            <w:tcW w:type="dxa" w:w="2592"/>
            <w:shd w:val="clear" w:color="auto" w:fill="F8F9FA"/>
          </w:tcPr>
          <w:p>
            <w:pPr>
              <w:spacing w:before="60" w:after="60"/>
            </w:pPr>
            <w:r>
              <w:rPr>
                <w:sz w:val="19"/>
              </w:rPr>
              <w:t>Team</w:t>
            </w:r>
          </w:p>
        </w:tc>
        <w:tc>
          <w:tcPr>
            <w:tcW w:type="dxa" w:w="6624"/>
            <w:shd w:val="clear" w:color="auto" w:fill="F8F9FA"/>
          </w:tcPr>
          <w:p>
            <w:pPr>
              <w:spacing w:before="60" w:after="60"/>
            </w:pPr>
            <w:r>
              <w:rPr>
                <w:sz w:val="19"/>
              </w:rPr>
              <w:t>Member directory with roles, statuses, capacity parameters, and leave records.</w:t>
            </w:r>
          </w:p>
        </w:tc>
      </w:tr>
      <w:tr>
        <w:tc>
          <w:tcPr>
            <w:tcW w:type="dxa" w:w="2592"/>
            <w:shd w:val="clear" w:color="auto" w:fill="FFFFFF"/>
          </w:tcPr>
          <w:p>
            <w:pPr>
              <w:spacing w:before="60" w:after="60"/>
            </w:pPr>
            <w:r>
              <w:rPr>
                <w:sz w:val="19"/>
              </w:rPr>
              <w:t>RAID Register</w:t>
            </w:r>
          </w:p>
        </w:tc>
        <w:tc>
          <w:tcPr>
            <w:tcW w:type="dxa" w:w="6624"/>
            <w:shd w:val="clear" w:color="auto" w:fill="FFFFFF"/>
          </w:tcPr>
          <w:p>
            <w:pPr>
              <w:spacing w:before="60" w:after="60"/>
            </w:pPr>
            <w:r>
              <w:rPr>
                <w:sz w:val="19"/>
              </w:rPr>
              <w:t>All Risk, Assumption, Issue, and Dependency items with exposure scores and mitigation details.</w:t>
            </w:r>
          </w:p>
        </w:tc>
      </w:tr>
      <w:tr>
        <w:tc>
          <w:tcPr>
            <w:tcW w:type="dxa" w:w="2592"/>
            <w:shd w:val="clear" w:color="auto" w:fill="F8F9FA"/>
          </w:tcPr>
          <w:p>
            <w:pPr>
              <w:spacing w:before="60" w:after="60"/>
            </w:pPr>
            <w:r>
              <w:rPr>
                <w:sz w:val="19"/>
              </w:rPr>
              <w:t>Defects</w:t>
            </w:r>
          </w:p>
        </w:tc>
        <w:tc>
          <w:tcPr>
            <w:tcW w:type="dxa" w:w="6624"/>
            <w:shd w:val="clear" w:color="auto" w:fill="F8F9FA"/>
          </w:tcPr>
          <w:p>
            <w:pPr>
              <w:spacing w:before="60" w:after="60"/>
            </w:pPr>
            <w:r>
              <w:rPr>
                <w:sz w:val="19"/>
              </w:rPr>
              <w:t>Complete defect log with severity, priority, status, linked tasks, and reproduction steps.</w:t>
            </w:r>
          </w:p>
        </w:tc>
      </w:tr>
      <w:tr>
        <w:tc>
          <w:tcPr>
            <w:tcW w:type="dxa" w:w="2592"/>
            <w:shd w:val="clear" w:color="auto" w:fill="FFFFFF"/>
          </w:tcPr>
          <w:p>
            <w:pPr>
              <w:spacing w:before="60" w:after="60"/>
            </w:pPr>
            <w:r>
              <w:rPr>
                <w:sz w:val="19"/>
              </w:rPr>
              <w:t>Activity Log</w:t>
            </w:r>
          </w:p>
        </w:tc>
        <w:tc>
          <w:tcPr>
            <w:tcW w:type="dxa" w:w="6624"/>
            <w:shd w:val="clear" w:color="auto" w:fill="FFFFFF"/>
          </w:tcPr>
          <w:p>
            <w:pPr>
              <w:spacing w:before="60" w:after="60"/>
            </w:pPr>
            <w:r>
              <w:rPr>
                <w:sz w:val="19"/>
              </w:rPr>
              <w:t>Last 500 audit log entries with timestamps, users, actions, and diff payloads.</w:t>
            </w:r>
          </w:p>
        </w:tc>
      </w:tr>
      <w:tr>
        <w:tc>
          <w:tcPr>
            <w:tcW w:type="dxa" w:w="2592"/>
            <w:shd w:val="clear" w:color="auto" w:fill="F8F9FA"/>
          </w:tcPr>
          <w:p>
            <w:pPr>
              <w:spacing w:before="60" w:after="60"/>
            </w:pPr>
            <w:r>
              <w:rPr>
                <w:sz w:val="19"/>
              </w:rPr>
              <w:t>Baselines</w:t>
            </w:r>
          </w:p>
        </w:tc>
        <w:tc>
          <w:tcPr>
            <w:tcW w:type="dxa" w:w="6624"/>
            <w:shd w:val="clear" w:color="auto" w:fill="F8F9FA"/>
          </w:tcPr>
          <w:p>
            <w:pPr>
              <w:spacing w:before="60" w:after="60"/>
            </w:pPr>
            <w:r>
              <w:rPr>
                <w:sz w:val="19"/>
              </w:rPr>
              <w:t>All captured baseline snapshots with per-task variance calculations.</w:t>
            </w:r>
          </w:p>
        </w:tc>
      </w:tr>
      <w:tr>
        <w:tc>
          <w:tcPr>
            <w:tcW w:type="dxa" w:w="2592"/>
            <w:shd w:val="clear" w:color="auto" w:fill="FFFFFF"/>
          </w:tcPr>
          <w:p>
            <w:pPr>
              <w:spacing w:before="60" w:after="60"/>
            </w:pPr>
            <w:r>
              <w:rPr>
                <w:sz w:val="19"/>
              </w:rPr>
              <w:t>Releases</w:t>
            </w:r>
          </w:p>
        </w:tc>
        <w:tc>
          <w:tcPr>
            <w:tcW w:type="dxa" w:w="6624"/>
            <w:shd w:val="clear" w:color="auto" w:fill="FFFFFF"/>
          </w:tcPr>
          <w:p>
            <w:pPr>
              <w:spacing w:before="60" w:after="60"/>
            </w:pPr>
            <w:r>
              <w:rPr>
                <w:sz w:val="19"/>
              </w:rPr>
              <w:t>Release version registry with status and target dates.</w:t>
            </w:r>
          </w:p>
        </w:tc>
      </w:tr>
    </w:tbl>
    <w:p>
      <w:pPr>
        <w:spacing w:after="120"/>
      </w:pPr>
    </w:p>
    <w:p>
      <w:pPr>
        <w:pStyle w:val="Heading2"/>
        <w:spacing w:before="360" w:after="120"/>
      </w:pPr>
      <w:r>
        <w:rPr>
          <w:color w:val="1E9ED5"/>
        </w:rPr>
        <w:t>9.3  Excel Cell Colour Coding</w:t>
      </w:r>
    </w:p>
    <w:p>
      <w:pPr>
        <w:spacing w:before="0" w:after="120"/>
      </w:pPr>
      <w:r>
        <w:rPr>
          <w:sz w:val="21"/>
        </w:rPr>
        <w:t>Exported Excel cells are colour-coded for instant readability:</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val="clear" w:color="auto" w:fill="0D1B2A"/>
          </w:tcPr>
          <w:p>
            <w:pPr>
              <w:jc w:val="center"/>
            </w:pPr>
            <w:r>
              <w:rPr>
                <w:b/>
                <w:color w:val="FFFFFF"/>
                <w:sz w:val="19"/>
              </w:rPr>
              <w:t>Colour</w:t>
            </w:r>
          </w:p>
        </w:tc>
        <w:tc>
          <w:tcPr>
            <w:tcW w:type="dxa" w:w="2880"/>
            <w:shd w:val="clear" w:color="auto" w:fill="0D1B2A"/>
          </w:tcPr>
          <w:p>
            <w:pPr>
              <w:jc w:val="center"/>
            </w:pPr>
            <w:r>
              <w:rPr>
                <w:b/>
                <w:color w:val="FFFFFF"/>
                <w:sz w:val="19"/>
              </w:rPr>
              <w:t>Hex Code</w:t>
            </w:r>
          </w:p>
        </w:tc>
        <w:tc>
          <w:tcPr>
            <w:tcW w:type="dxa" w:w="4608"/>
            <w:shd w:val="clear" w:color="auto" w:fill="0D1B2A"/>
          </w:tcPr>
          <w:p>
            <w:pPr>
              <w:jc w:val="center"/>
            </w:pPr>
            <w:r>
              <w:rPr>
                <w:b/>
                <w:color w:val="FFFFFF"/>
                <w:sz w:val="19"/>
              </w:rPr>
              <w:t>Applied To</w:t>
            </w:r>
          </w:p>
        </w:tc>
      </w:tr>
      <w:tr>
        <w:tc>
          <w:tcPr>
            <w:tcW w:type="dxa" w:w="1728"/>
            <w:shd w:val="clear" w:color="auto" w:fill="F8F9FA"/>
          </w:tcPr>
          <w:p>
            <w:pPr>
              <w:spacing w:before="60" w:after="60"/>
            </w:pPr>
            <w:r>
              <w:rPr>
                <w:sz w:val="19"/>
              </w:rPr>
              <w:t>Green</w:t>
            </w:r>
          </w:p>
        </w:tc>
        <w:tc>
          <w:tcPr>
            <w:tcW w:type="dxa" w:w="2880"/>
            <w:shd w:val="clear" w:color="auto" w:fill="F8F9FA"/>
          </w:tcPr>
          <w:p>
            <w:pPr>
              <w:spacing w:before="60" w:after="60"/>
            </w:pPr>
            <w:r>
              <w:rPr>
                <w:sz w:val="19"/>
              </w:rPr>
              <w:t>#D1E7DD / #0F5132</w:t>
            </w:r>
          </w:p>
        </w:tc>
        <w:tc>
          <w:tcPr>
            <w:tcW w:type="dxa" w:w="4608"/>
            <w:shd w:val="clear" w:color="auto" w:fill="F8F9FA"/>
          </w:tcPr>
          <w:p>
            <w:pPr>
              <w:spacing w:before="60" w:after="60"/>
            </w:pPr>
            <w:r>
              <w:rPr>
                <w:sz w:val="19"/>
              </w:rPr>
              <w:t>Completed tasks, mitigated risks, closed defects, low RAID exposure.</w:t>
            </w:r>
          </w:p>
        </w:tc>
      </w:tr>
      <w:tr>
        <w:tc>
          <w:tcPr>
            <w:tcW w:type="dxa" w:w="1728"/>
            <w:shd w:val="clear" w:color="auto" w:fill="FFFFFF"/>
          </w:tcPr>
          <w:p>
            <w:pPr>
              <w:spacing w:before="60" w:after="60"/>
            </w:pPr>
            <w:r>
              <w:rPr>
                <w:sz w:val="19"/>
              </w:rPr>
              <w:t>Yellow</w:t>
            </w:r>
          </w:p>
        </w:tc>
        <w:tc>
          <w:tcPr>
            <w:tcW w:type="dxa" w:w="2880"/>
            <w:shd w:val="clear" w:color="auto" w:fill="FFFFFF"/>
          </w:tcPr>
          <w:p>
            <w:pPr>
              <w:spacing w:before="60" w:after="60"/>
            </w:pPr>
            <w:r>
              <w:rPr>
                <w:sz w:val="19"/>
              </w:rPr>
              <w:t>#FFF3CD / #664D03</w:t>
            </w:r>
          </w:p>
        </w:tc>
        <w:tc>
          <w:tcPr>
            <w:tcW w:type="dxa" w:w="4608"/>
            <w:shd w:val="clear" w:color="auto" w:fill="FFFFFF"/>
          </w:tcPr>
          <w:p>
            <w:pPr>
              <w:spacing w:before="60" w:after="60"/>
            </w:pPr>
            <w:r>
              <w:rPr>
                <w:sz w:val="19"/>
              </w:rPr>
              <w:t>In-progress tasks, medium risks, deferred defects.</w:t>
            </w:r>
          </w:p>
        </w:tc>
      </w:tr>
      <w:tr>
        <w:tc>
          <w:tcPr>
            <w:tcW w:type="dxa" w:w="1728"/>
            <w:shd w:val="clear" w:color="auto" w:fill="F8F9FA"/>
          </w:tcPr>
          <w:p>
            <w:pPr>
              <w:spacing w:before="60" w:after="60"/>
            </w:pPr>
            <w:r>
              <w:rPr>
                <w:sz w:val="19"/>
              </w:rPr>
              <w:t>Red</w:t>
            </w:r>
          </w:p>
        </w:tc>
        <w:tc>
          <w:tcPr>
            <w:tcW w:type="dxa" w:w="2880"/>
            <w:shd w:val="clear" w:color="auto" w:fill="F8F9FA"/>
          </w:tcPr>
          <w:p>
            <w:pPr>
              <w:spacing w:before="60" w:after="60"/>
            </w:pPr>
            <w:r>
              <w:rPr>
                <w:sz w:val="19"/>
              </w:rPr>
              <w:t>#F8D7DA / #842029</w:t>
            </w:r>
          </w:p>
        </w:tc>
        <w:tc>
          <w:tcPr>
            <w:tcW w:type="dxa" w:w="4608"/>
            <w:shd w:val="clear" w:color="auto" w:fill="F8F9FA"/>
          </w:tcPr>
          <w:p>
            <w:pPr>
              <w:spacing w:before="60" w:after="60"/>
            </w:pPr>
            <w:r>
              <w:rPr>
                <w:sz w:val="19"/>
              </w:rPr>
              <w:t>Blocked / overdue tasks, critical risks, S1/S2 defects.</w:t>
            </w:r>
          </w:p>
        </w:tc>
      </w:tr>
      <w:tr>
        <w:tc>
          <w:tcPr>
            <w:tcW w:type="dxa" w:w="1728"/>
            <w:shd w:val="clear" w:color="auto" w:fill="FFFFFF"/>
          </w:tcPr>
          <w:p>
            <w:pPr>
              <w:spacing w:before="60" w:after="60"/>
            </w:pPr>
            <w:r>
              <w:rPr>
                <w:sz w:val="19"/>
              </w:rPr>
              <w:t>Grey</w:t>
            </w:r>
          </w:p>
        </w:tc>
        <w:tc>
          <w:tcPr>
            <w:tcW w:type="dxa" w:w="2880"/>
            <w:shd w:val="clear" w:color="auto" w:fill="FFFFFF"/>
          </w:tcPr>
          <w:p>
            <w:pPr>
              <w:spacing w:before="60" w:after="60"/>
            </w:pPr>
            <w:r>
              <w:rPr>
                <w:sz w:val="19"/>
              </w:rPr>
              <w:t>#F8F9FA / #6C757D</w:t>
            </w:r>
          </w:p>
        </w:tc>
        <w:tc>
          <w:tcPr>
            <w:tcW w:type="dxa" w:w="4608"/>
            <w:shd w:val="clear" w:color="auto" w:fill="FFFFFF"/>
          </w:tcPr>
          <w:p>
            <w:pPr>
              <w:spacing w:before="60" w:after="60"/>
            </w:pPr>
            <w:r>
              <w:rPr>
                <w:sz w:val="19"/>
              </w:rPr>
              <w:t>Cancelled, Rejected, or On Hold items.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 TIP  </w:t>
            </w:r>
          </w:p>
          <w:p>
            <w:pPr>
              <w:spacing w:before="40" w:after="120"/>
              <w:ind w:left="144"/>
            </w:pPr>
            <w:r>
              <w:rPr>
                <w:sz w:val="20"/>
              </w:rPr>
              <w:t>Exported spreadsheets contain live Excel formulas (SUM, AVERAGE, IF, COUNTIF) rather than static values where applicable. This means the workbook remains interactive and can be extended with additional analysis by stakeholders.</w:t>
            </w:r>
          </w:p>
        </w:tc>
      </w:tr>
    </w:tbl>
    <w:p/>
    <w:p>
      <w:r>
        <w:br w:type="page"/>
      </w:r>
    </w:p>
    <w:p>
      <w:pPr>
        <w:pStyle w:val="Heading1"/>
        <w:spacing w:before="360" w:after="120"/>
      </w:pPr>
      <w:r>
        <w:rPr>
          <w:color w:val="0D1B2A"/>
        </w:rPr>
        <w:t>10  Audit Log &amp; Activity Streams</w:t>
      </w:r>
    </w:p>
    <w:p>
      <w:pPr>
        <w:pBdr>
          <w:bottom w:val="single" w:sz="6" w:space="1" w:color="00C2A8"/>
        </w:pBdr>
        <w:spacing w:before="0" w:after="120"/>
      </w:pPr>
    </w:p>
    <w:p>
      <w:pPr>
        <w:spacing w:before="0" w:after="160"/>
      </w:pPr>
      <w:r>
        <w:rPr>
          <w:sz w:val="21"/>
        </w:rPr>
        <w:t>ProjectPulse maintains an immutable, comprehensive audit trail of every state mutation — task CRUD operations, status transitions, defect lifecycle changes, RAID updates, and resource modifications. The Activity Log provides full accountability and change tracking capabilities.</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10.1 — Audit Log: Chronological activity stream with user identifiers and diff payloads</w:t>
      </w:r>
    </w:p>
    <w:p>
      <w:pPr>
        <w:pStyle w:val="Heading2"/>
        <w:spacing w:before="360" w:after="120"/>
      </w:pPr>
      <w:r>
        <w:rPr>
          <w:color w:val="1E9ED5"/>
        </w:rPr>
        <w:t>10.1  What Gets Logged</w:t>
      </w:r>
    </w:p>
    <w:p>
      <w:pPr>
        <w:spacing w:before="0" w:after="120"/>
      </w:pPr>
      <w:r>
        <w:rPr>
          <w:sz w:val="21"/>
        </w:rPr>
        <w:t>Every significant state change generates an immutable log entry: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Action Type</w:t>
            </w:r>
          </w:p>
        </w:tc>
        <w:tc>
          <w:tcPr>
            <w:tcW w:type="dxa" w:w="3600"/>
            <w:shd w:val="clear" w:color="auto" w:fill="0D1B2A"/>
          </w:tcPr>
          <w:p>
            <w:pPr>
              <w:jc w:val="center"/>
            </w:pPr>
            <w:r>
              <w:rPr>
                <w:b/>
                <w:color w:val="FFFFFF"/>
                <w:sz w:val="19"/>
              </w:rPr>
              <w:t>Trigger</w:t>
            </w:r>
          </w:p>
        </w:tc>
        <w:tc>
          <w:tcPr>
            <w:tcW w:type="dxa" w:w="3456"/>
            <w:shd w:val="clear" w:color="auto" w:fill="0D1B2A"/>
          </w:tcPr>
          <w:p>
            <w:pPr>
              <w:jc w:val="center"/>
            </w:pPr>
            <w:r>
              <w:rPr>
                <w:b/>
                <w:color w:val="FFFFFF"/>
                <w:sz w:val="19"/>
              </w:rPr>
              <w:t>Fields Captured</w:t>
            </w:r>
          </w:p>
        </w:tc>
      </w:tr>
      <w:tr>
        <w:tc>
          <w:tcPr>
            <w:tcW w:type="dxa" w:w="2160"/>
            <w:shd w:val="clear" w:color="auto" w:fill="F8F9FA"/>
          </w:tcPr>
          <w:p>
            <w:pPr>
              <w:spacing w:before="60" w:after="60"/>
            </w:pPr>
            <w:r>
              <w:rPr>
                <w:sz w:val="19"/>
              </w:rPr>
              <w:t>Created</w:t>
            </w:r>
          </w:p>
        </w:tc>
        <w:tc>
          <w:tcPr>
            <w:tcW w:type="dxa" w:w="3600"/>
            <w:shd w:val="clear" w:color="auto" w:fill="F8F9FA"/>
          </w:tcPr>
          <w:p>
            <w:pPr>
              <w:spacing w:before="60" w:after="60"/>
            </w:pPr>
            <w:r>
              <w:rPr>
                <w:sz w:val="19"/>
              </w:rPr>
              <w:t>New task, defect, RAID, or member added.</w:t>
            </w:r>
          </w:p>
        </w:tc>
        <w:tc>
          <w:tcPr>
            <w:tcW w:type="dxa" w:w="3456"/>
            <w:shd w:val="clear" w:color="auto" w:fill="F8F9FA"/>
          </w:tcPr>
          <w:p>
            <w:pPr>
              <w:spacing w:before="60" w:after="60"/>
            </w:pPr>
            <w:r>
              <w:rPr>
                <w:sz w:val="19"/>
              </w:rPr>
              <w:t>Entity ID, name, all initial field values, timestamp, user.</w:t>
            </w:r>
          </w:p>
        </w:tc>
      </w:tr>
      <w:tr>
        <w:tc>
          <w:tcPr>
            <w:tcW w:type="dxa" w:w="2160"/>
            <w:shd w:val="clear" w:color="auto" w:fill="FFFFFF"/>
          </w:tcPr>
          <w:p>
            <w:pPr>
              <w:spacing w:before="60" w:after="60"/>
            </w:pPr>
            <w:r>
              <w:rPr>
                <w:sz w:val="19"/>
              </w:rPr>
              <w:t>Updated</w:t>
            </w:r>
          </w:p>
        </w:tc>
        <w:tc>
          <w:tcPr>
            <w:tcW w:type="dxa" w:w="3600"/>
            <w:shd w:val="clear" w:color="auto" w:fill="FFFFFF"/>
          </w:tcPr>
          <w:p>
            <w:pPr>
              <w:spacing w:before="60" w:after="60"/>
            </w:pPr>
            <w:r>
              <w:rPr>
                <w:sz w:val="19"/>
              </w:rPr>
              <w:t>Any field value changed on an existing entity.</w:t>
            </w:r>
          </w:p>
        </w:tc>
        <w:tc>
          <w:tcPr>
            <w:tcW w:type="dxa" w:w="3456"/>
            <w:shd w:val="clear" w:color="auto" w:fill="FFFFFF"/>
          </w:tcPr>
          <w:p>
            <w:pPr>
              <w:spacing w:before="60" w:after="60"/>
            </w:pPr>
            <w:r>
              <w:rPr>
                <w:sz w:val="19"/>
              </w:rPr>
              <w:t>Entity ID, field name, old value, new value, timestamp, user.</w:t>
            </w:r>
          </w:p>
        </w:tc>
      </w:tr>
      <w:tr>
        <w:tc>
          <w:tcPr>
            <w:tcW w:type="dxa" w:w="2160"/>
            <w:shd w:val="clear" w:color="auto" w:fill="F8F9FA"/>
          </w:tcPr>
          <w:p>
            <w:pPr>
              <w:spacing w:before="60" w:after="60"/>
            </w:pPr>
            <w:r>
              <w:rPr>
                <w:sz w:val="19"/>
              </w:rPr>
              <w:t>Status Changed</w:t>
            </w:r>
          </w:p>
        </w:tc>
        <w:tc>
          <w:tcPr>
            <w:tcW w:type="dxa" w:w="3600"/>
            <w:shd w:val="clear" w:color="auto" w:fill="F8F9FA"/>
          </w:tcPr>
          <w:p>
            <w:pPr>
              <w:spacing w:before="60" w:after="60"/>
            </w:pPr>
            <w:r>
              <w:rPr>
                <w:sz w:val="19"/>
              </w:rPr>
              <w:t>Status field specifically transitions to a new value.</w:t>
            </w:r>
          </w:p>
        </w:tc>
        <w:tc>
          <w:tcPr>
            <w:tcW w:type="dxa" w:w="3456"/>
            <w:shd w:val="clear" w:color="auto" w:fill="F8F9FA"/>
          </w:tcPr>
          <w:p>
            <w:pPr>
              <w:spacing w:before="60" w:after="60"/>
            </w:pPr>
            <w:r>
              <w:rPr>
                <w:sz w:val="19"/>
              </w:rPr>
              <w:t>Entity ID, old status, new status, mandatory comment (for restricted transitions), timestamp, user.</w:t>
            </w:r>
          </w:p>
        </w:tc>
      </w:tr>
      <w:tr>
        <w:tc>
          <w:tcPr>
            <w:tcW w:type="dxa" w:w="2160"/>
            <w:shd w:val="clear" w:color="auto" w:fill="FFFFFF"/>
          </w:tcPr>
          <w:p>
            <w:pPr>
              <w:spacing w:before="60" w:after="60"/>
            </w:pPr>
            <w:r>
              <w:rPr>
                <w:sz w:val="19"/>
              </w:rPr>
              <w:t>Deleted</w:t>
            </w:r>
          </w:p>
        </w:tc>
        <w:tc>
          <w:tcPr>
            <w:tcW w:type="dxa" w:w="3600"/>
            <w:shd w:val="clear" w:color="auto" w:fill="FFFFFF"/>
          </w:tcPr>
          <w:p>
            <w:pPr>
              <w:spacing w:before="60" w:after="60"/>
            </w:pPr>
            <w:r>
              <w:rPr>
                <w:sz w:val="19"/>
              </w:rPr>
              <w:t>Task, defect, or RAID item permanently removed.</w:t>
            </w:r>
          </w:p>
        </w:tc>
        <w:tc>
          <w:tcPr>
            <w:tcW w:type="dxa" w:w="3456"/>
            <w:shd w:val="clear" w:color="auto" w:fill="FFFFFF"/>
          </w:tcPr>
          <w:p>
            <w:pPr>
              <w:spacing w:before="60" w:after="60"/>
            </w:pPr>
            <w:r>
              <w:rPr>
                <w:sz w:val="19"/>
              </w:rPr>
              <w:t>Entity ID, entity name, full field snapshot at time of deletion.</w:t>
            </w:r>
          </w:p>
        </w:tc>
      </w:tr>
    </w:tbl>
    <w:p>
      <w:pPr>
        <w:spacing w:after="120"/>
      </w:pPr>
    </w:p>
    <w:p>
      <w:pPr>
        <w:pStyle w:val="Heading2"/>
        <w:spacing w:before="360" w:after="120"/>
      </w:pPr>
      <w:r>
        <w:rPr>
          <w:color w:val="1E9ED5"/>
        </w:rPr>
        <w:t>10.2  Log Entry Structure</w:t>
      </w:r>
    </w:p>
    <w:p>
      <w:pPr>
        <w:spacing w:before="0" w:after="120"/>
      </w:pPr>
      <w:r>
        <w:rPr>
          <w:sz w:val="21"/>
        </w:rPr>
        <w:t>Each log entry contains the following structured fields:</w:t>
      </w:r>
    </w:p>
    <w:p>
      <w:pPr>
        <w:pStyle w:val="ListBullet"/>
        <w:spacing w:before="0" w:after="60"/>
        <w:ind w:left="360"/>
      </w:pPr>
      <w:r>
        <w:rPr>
          <w:sz w:val="21"/>
        </w:rPr>
        <w:t>ts: ISO 8601 timestamp recorded to the millisecond.</w:t>
      </w:r>
    </w:p>
    <w:p>
      <w:pPr>
        <w:pStyle w:val="ListBullet"/>
        <w:spacing w:before="0" w:after="60"/>
        <w:ind w:left="360"/>
      </w:pPr>
      <w:r>
        <w:rPr>
          <w:sz w:val="21"/>
        </w:rPr>
        <w:t>user: Name of the active team member who performed the action.</w:t>
      </w:r>
    </w:p>
    <w:p>
      <w:pPr>
        <w:pStyle w:val="ListBullet"/>
        <w:spacing w:before="0" w:after="60"/>
        <w:ind w:left="360"/>
      </w:pPr>
      <w:r>
        <w:rPr>
          <w:sz w:val="21"/>
        </w:rPr>
        <w:t>action: Category of change — Created, Updated, Status Changed, or Deleted.</w:t>
      </w:r>
    </w:p>
    <w:p>
      <w:pPr>
        <w:pStyle w:val="ListBullet"/>
        <w:spacing w:before="0" w:after="60"/>
        <w:ind w:left="360"/>
      </w:pPr>
      <w:r>
        <w:rPr>
          <w:sz w:val="21"/>
        </w:rPr>
        <w:t>taskId / taskName: Reference to the primary entity affected.</w:t>
      </w:r>
    </w:p>
    <w:p>
      <w:pPr>
        <w:pStyle w:val="ListBullet"/>
        <w:spacing w:before="0" w:after="60"/>
        <w:ind w:left="360"/>
      </w:pPr>
      <w:r>
        <w:rPr>
          <w:sz w:val="21"/>
        </w:rPr>
        <w:t>field: The specific field that changed (e.g., 'status', 'dueDate', 'subtask.status').</w:t>
      </w:r>
    </w:p>
    <w:p>
      <w:pPr>
        <w:pStyle w:val="ListBullet"/>
        <w:spacing w:before="0" w:after="60"/>
        <w:ind w:left="360"/>
      </w:pPr>
      <w:r>
        <w:rPr>
          <w:sz w:val="21"/>
        </w:rPr>
        <w:t>oldVal / newVal: Structured diff payload capturing before and after values.</w:t>
      </w:r>
    </w:p>
    <w:p>
      <w:pPr>
        <w:pStyle w:val="ListBullet"/>
        <w:spacing w:before="0" w:after="60"/>
        <w:ind w:left="360"/>
      </w:pPr>
      <w:r>
        <w:rPr>
          <w:sz w:val="21"/>
        </w:rPr>
        <w:t>subtaskId: Optional — references a specific subtask if the change was at subtask level.</w:t>
      </w:r>
    </w:p>
    <w:p>
      <w:pPr>
        <w:pStyle w:val="ListBullet"/>
        <w:spacing w:before="0" w:after="60"/>
        <w:ind w:left="360"/>
      </w:pPr>
      <w:r>
        <w:rPr>
          <w:sz w:val="21"/>
        </w:rPr>
        <w:t>actCompletionDate: Optional — retrospective actual completion date for activity date resolution.</w:t>
      </w:r>
    </w:p>
    <w:p/>
    <w:p>
      <w:pPr>
        <w:pStyle w:val="Heading2"/>
        <w:spacing w:before="360" w:after="120"/>
      </w:pPr>
      <w:r>
        <w:rPr>
          <w:color w:val="1E9ED5"/>
        </w:rPr>
        <w:t>10.3  Retrospective Activity Date Resolution</w:t>
      </w:r>
    </w:p>
    <w:p>
      <w:pPr>
        <w:spacing w:before="0" w:after="160"/>
      </w:pPr>
      <w:r>
        <w:rPr>
          <w:sz w:val="21"/>
        </w:rPr>
        <w:t>A key capability introduced in the June 2026 release is retrospective completion date resolution. Log entries may record an actCompletionDate that differs from the log insertion timestamp (ts). When this field is present, all dashboard widgets — including the 30-Day Activity Timeline, Weekly Velocity charts, Member Heatmaps, and Status Reports — use the actCompletionDate as the activity date rather than the log timestamp. This allows teams to accurately record when work was actually done, even if it was logged retrospectively days later.</w:t>
      </w:r>
    </w:p>
    <w:p>
      <w:pPr>
        <w:pStyle w:val="Heading2"/>
        <w:spacing w:before="360" w:after="120"/>
      </w:pPr>
      <w:r>
        <w:rPr>
          <w:color w:val="1E9ED5"/>
        </w:rPr>
        <w:t>10.4  State Reconstruction</w:t>
      </w:r>
    </w:p>
    <w:p>
      <w:pPr>
        <w:spacing w:before="0" w:after="120"/>
      </w:pPr>
      <w:r>
        <w:rPr>
          <w:sz w:val="21"/>
        </w:rPr>
        <w:t>The Activity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sz w:val="21"/>
        </w:rPr>
        <w:t>Identify the target entity and the historical timestamp when the incorrect change occurred.</w:t>
      </w:r>
    </w:p>
    <w:p>
      <w:pPr>
        <w:pStyle w:val="ListNumber"/>
        <w:spacing w:before="0" w:after="60"/>
      </w:pPr>
      <w:r>
        <w:rPr>
          <w:sz w:val="21"/>
        </w:rPr>
        <w:t>Locate the corresponding log entry containing the before/after details.</w:t>
      </w:r>
    </w:p>
    <w:p>
      <w:pPr>
        <w:pStyle w:val="ListNumber"/>
        <w:spacing w:before="0" w:after="60"/>
      </w:pPr>
      <w:r>
        <w:rPr>
          <w:sz w:val="21"/>
        </w:rPr>
        <w:t>Review the 'Old Value' in the diff details to find the original state of the field.</w:t>
      </w:r>
    </w:p>
    <w:p>
      <w:pPr>
        <w:pStyle w:val="ListNumber"/>
        <w:spacing w:before="0" w:after="60"/>
      </w:pPr>
      <w:r>
        <w:rPr>
          <w:sz w:val="21"/>
        </w:rPr>
        <w:t>Manually edit the target entity using the inline editing tables or flyout edit views to restore the previous value.</w:t>
      </w:r>
    </w:p>
    <w:p>
      <w:pPr>
        <w:spacing w:before="0" w:after="120"/>
      </w:pPr>
      <w:r>
        <w:rPr>
          <w:sz w:val="21"/>
        </w:rPr>
        <w:t>For project-wide rollbacks, managers can use baseline snapshots (Settings -&gt; Schedule Baselines) or restore database backups (Settings -&gt; Data Recovery / Backups) to revert to previous saved states.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The Activity Log is auto-pruned to the last 500 entries to prevent unbounded localStorage growth. Export the log to Excel before reaching this limit if you need a permanent audit record beyond 500 entries.</w:t>
            </w:r>
          </w:p>
        </w:tc>
      </w:tr>
    </w:tbl>
    <w:p/>
    <w:p>
      <w:r>
        <w:br w:type="page"/>
      </w:r>
    </w:p>
    <w:p>
      <w:pPr>
        <w:pStyle w:val="Heading1"/>
        <w:spacing w:before="360" w:after="120"/>
      </w:pPr>
      <w:r>
        <w:rPr>
          <w:color w:val="0D1B2A"/>
        </w:rPr>
        <w:t>11  Schedule Baselines &amp; Snapshot History</w:t>
      </w:r>
    </w:p>
    <w:p>
      <w:pPr>
        <w:pBdr>
          <w:bottom w:val="single" w:sz="6" w:space="1" w:color="00C2A8"/>
        </w:pBdr>
        <w:spacing w:before="0" w:after="120"/>
      </w:pPr>
    </w:p>
    <w:p>
      <w:pPr>
        <w:spacing w:before="0" w:after="160"/>
      </w:pPr>
      <w:r>
        <w:rPr>
          <w:sz w:val="21"/>
        </w:rPr>
        <w:t>Schedule Baselines capture a static, approved snapshot of the project plan at a specific milestone — such as project kickoff, a phase gate, or after a major re-scope. Baselines serve as the immutable reference point for calculating schedule variance, analysing slippage, and restoring the plan if assumptions change.</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11.1 — Schedule Baselines &amp; Snapshot History panel in Project Settings</w:t>
      </w:r>
    </w:p>
    <w:p>
      <w:pPr>
        <w:pStyle w:val="Heading2"/>
        <w:spacing w:before="360" w:after="120"/>
      </w:pPr>
      <w:r>
        <w:rPr>
          <w:color w:val="1E9ED5"/>
        </w:rPr>
        <w:t>11.1  Three Date Sets Explained</w:t>
      </w:r>
    </w:p>
    <w:p>
      <w:pPr>
        <w:spacing w:before="0" w:after="120"/>
      </w:pPr>
      <w:r>
        <w:rPr>
          <w:sz w:val="21"/>
        </w:rPr>
        <w:t>ProjectPulse tracks three parallel sets of dates for every task:</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Date Set</w:t>
            </w:r>
          </w:p>
        </w:tc>
        <w:tc>
          <w:tcPr>
            <w:tcW w:type="dxa" w:w="3600"/>
            <w:shd w:val="clear" w:color="auto" w:fill="0D1B2A"/>
          </w:tcPr>
          <w:p>
            <w:pPr>
              <w:jc w:val="center"/>
            </w:pPr>
            <w:r>
              <w:rPr>
                <w:b/>
                <w:color w:val="FFFFFF"/>
                <w:sz w:val="19"/>
              </w:rPr>
              <w:t>Fields</w:t>
            </w:r>
          </w:p>
        </w:tc>
        <w:tc>
          <w:tcPr>
            <w:tcW w:type="dxa" w:w="3456"/>
            <w:shd w:val="clear" w:color="auto" w:fill="0D1B2A"/>
          </w:tcPr>
          <w:p>
            <w:pPr>
              <w:jc w:val="center"/>
            </w:pPr>
            <w:r>
              <w:rPr>
                <w:b/>
                <w:color w:val="FFFFFF"/>
                <w:sz w:val="19"/>
              </w:rPr>
              <w:t>Purpose</w:t>
            </w:r>
          </w:p>
        </w:tc>
      </w:tr>
      <w:tr>
        <w:tc>
          <w:tcPr>
            <w:tcW w:type="dxa" w:w="2160"/>
            <w:shd w:val="clear" w:color="auto" w:fill="F8F9FA"/>
          </w:tcPr>
          <w:p>
            <w:pPr>
              <w:spacing w:before="60" w:after="60"/>
            </w:pPr>
            <w:r>
              <w:rPr>
                <w:sz w:val="19"/>
              </w:rPr>
              <w:t>Planned Dates</w:t>
            </w:r>
          </w:p>
        </w:tc>
        <w:tc>
          <w:tcPr>
            <w:tcW w:type="dxa" w:w="3600"/>
            <w:shd w:val="clear" w:color="auto" w:fill="F8F9FA"/>
          </w:tcPr>
          <w:p>
            <w:pPr>
              <w:spacing w:before="60" w:after="60"/>
            </w:pPr>
            <w:r>
              <w:rPr>
                <w:sz w:val="19"/>
              </w:rPr>
              <w:t>startDate, dueDate, estEffort</w:t>
            </w:r>
          </w:p>
        </w:tc>
        <w:tc>
          <w:tcPr>
            <w:tcW w:type="dxa" w:w="3456"/>
            <w:shd w:val="clear" w:color="auto" w:fill="F8F9FA"/>
          </w:tcPr>
          <w:p>
            <w:pPr>
              <w:spacing w:before="60" w:after="60"/>
            </w:pPr>
            <w:r>
              <w:rPr>
                <w:sz w:val="19"/>
              </w:rPr>
              <w:t>The current working target dates that resources are actively working towards. These evolve during execution.</w:t>
            </w:r>
          </w:p>
        </w:tc>
      </w:tr>
      <w:tr>
        <w:tc>
          <w:tcPr>
            <w:tcW w:type="dxa" w:w="2160"/>
            <w:shd w:val="clear" w:color="auto" w:fill="FFFFFF"/>
          </w:tcPr>
          <w:p>
            <w:pPr>
              <w:spacing w:before="60" w:after="60"/>
            </w:pPr>
            <w:r>
              <w:rPr>
                <w:sz w:val="19"/>
              </w:rPr>
              <w:t>Baseline Dates</w:t>
            </w:r>
          </w:p>
        </w:tc>
        <w:tc>
          <w:tcPr>
            <w:tcW w:type="dxa" w:w="3600"/>
            <w:shd w:val="clear" w:color="auto" w:fill="FFFFFF"/>
          </w:tcPr>
          <w:p>
            <w:pPr>
              <w:spacing w:before="60" w:after="60"/>
            </w:pPr>
            <w:r>
              <w:rPr>
                <w:sz w:val="19"/>
              </w:rPr>
              <w:t>baselineStartDate, baselineDueDate, baselineEffort</w:t>
            </w:r>
          </w:p>
        </w:tc>
        <w:tc>
          <w:tcPr>
            <w:tcW w:type="dxa" w:w="3456"/>
            <w:shd w:val="clear" w:color="auto" w:fill="FFFFFF"/>
          </w:tcPr>
          <w:p>
            <w:pPr>
              <w:spacing w:before="60" w:after="60"/>
            </w:pPr>
            <w:r>
              <w:rPr>
                <w:sz w:val="19"/>
              </w:rPr>
              <w:t>The frozen reference dates captured at a specific baseline snapshot point. Used to calculate variance. Immutable after capture.</w:t>
            </w:r>
          </w:p>
        </w:tc>
      </w:tr>
      <w:tr>
        <w:tc>
          <w:tcPr>
            <w:tcW w:type="dxa" w:w="2160"/>
            <w:shd w:val="clear" w:color="auto" w:fill="F8F9FA"/>
          </w:tcPr>
          <w:p>
            <w:pPr>
              <w:spacing w:before="60" w:after="60"/>
            </w:pPr>
            <w:r>
              <w:rPr>
                <w:sz w:val="19"/>
              </w:rPr>
              <w:t>Actual Dates</w:t>
            </w:r>
          </w:p>
        </w:tc>
        <w:tc>
          <w:tcPr>
            <w:tcW w:type="dxa" w:w="3600"/>
            <w:shd w:val="clear" w:color="auto" w:fill="F8F9FA"/>
          </w:tcPr>
          <w:p>
            <w:pPr>
              <w:spacing w:before="60" w:after="60"/>
            </w:pPr>
            <w:r>
              <w:rPr>
                <w:sz w:val="19"/>
              </w:rPr>
              <w:t>actCompletionDate, actEffort</w:t>
            </w:r>
          </w:p>
        </w:tc>
        <w:tc>
          <w:tcPr>
            <w:tcW w:type="dxa" w:w="3456"/>
            <w:shd w:val="clear" w:color="auto" w:fill="F8F9FA"/>
          </w:tcPr>
          <w:p>
            <w:pPr>
              <w:spacing w:before="60" w:after="60"/>
            </w:pPr>
            <w:r>
              <w:rPr>
                <w:sz w:val="19"/>
              </w:rPr>
              <w:t>The real dates and effort recorded when tasks are completed. Used for EVM, velocity, and activity reporting.</w:t>
            </w:r>
          </w:p>
        </w:tc>
      </w:tr>
    </w:tbl>
    <w:p>
      <w:pPr>
        <w:spacing w:after="120"/>
      </w:pPr>
    </w:p>
    <w:p>
      <w:pPr>
        <w:pStyle w:val="Heading2"/>
        <w:spacing w:before="360" w:after="120"/>
      </w:pPr>
      <w:r>
        <w:rPr>
          <w:color w:val="1E9ED5"/>
        </w:rPr>
        <w:t>11.2  Capturing a Baseline Snapshot</w:t>
      </w:r>
    </w:p>
    <w:p>
      <w:pPr>
        <w:pStyle w:val="ListNumber"/>
        <w:spacing w:before="0" w:after="60"/>
      </w:pPr>
      <w:r>
        <w:rPr>
          <w:sz w:val="21"/>
        </w:rPr>
        <w:t>Open Project Settings by clicking the ⚙ gear icon in the top navigation bar.</w:t>
      </w:r>
    </w:p>
    <w:p>
      <w:pPr>
        <w:pStyle w:val="ListNumber"/>
        <w:spacing w:before="0" w:after="60"/>
      </w:pPr>
      <w:r>
        <w:rPr>
          <w:sz w:val="21"/>
        </w:rPr>
        <w:t>Select 'Schedule Baselines' from the left sidebar within Settings.</w:t>
      </w:r>
    </w:p>
    <w:p>
      <w:pPr>
        <w:pStyle w:val="ListNumber"/>
        <w:spacing w:before="0" w:after="60"/>
      </w:pPr>
      <w:r>
        <w:rPr>
          <w:sz w:val="21"/>
        </w:rPr>
        <w:t>Enter a Baseline Name (e.g., 'Initial Kickoff Plan', 'Sprint 3 Reforecast') and a Description.</w:t>
      </w:r>
    </w:p>
    <w:p>
      <w:pPr>
        <w:pStyle w:val="ListNumber"/>
        <w:spacing w:before="0" w:after="60"/>
      </w:pPr>
      <w:r>
        <w:rPr>
          <w:sz w:val="21"/>
        </w:rPr>
        <w:t>Click 'Capture Snapshot'.</w:t>
      </w:r>
    </w:p>
    <w:p/>
    <w:p>
      <w:pPr>
        <w:spacing w:before="0" w:after="80"/>
      </w:pPr>
      <w:r>
        <w:rPr>
          <w:b/>
          <w:sz w:val="21"/>
        </w:rPr>
        <w:t>What happens when a snapshot is captured:</w:t>
      </w:r>
    </w:p>
    <w:p>
      <w:pPr>
        <w:pStyle w:val="ListBullet"/>
        <w:spacing w:before="0" w:after="60"/>
        <w:ind w:left="360"/>
      </w:pPr>
      <w:r>
        <w:rPr>
          <w:sz w:val="21"/>
        </w:rPr>
        <w:t>All active tasks' baseline fields are overwritten with their current planned values.</w:t>
      </w:r>
    </w:p>
    <w:p>
      <w:pPr>
        <w:pStyle w:val="ListBullet"/>
        <w:spacing w:before="0" w:after="60"/>
        <w:ind w:left="360"/>
      </w:pPr>
      <w:r>
        <w:rPr>
          <w:sz w:val="21"/>
        </w:rPr>
        <w:t>A snapshot record is generated for every task and appended to the P.baselines array.</w:t>
      </w:r>
    </w:p>
    <w:p>
      <w:pPr>
        <w:pStyle w:val="ListBullet"/>
        <w:spacing w:before="0" w:after="60"/>
        <w:ind w:left="360"/>
      </w:pPr>
      <w:r>
        <w:rPr>
          <w:sz w:val="21"/>
        </w:rPr>
        <w:t>The snapshot is timestamped and named for future reference.</w:t>
      </w:r>
    </w:p>
    <w:p/>
    <w:p>
      <w:pPr>
        <w:pStyle w:val="Heading2"/>
        <w:spacing w:before="360" w:after="120"/>
      </w:pPr>
      <w:r>
        <w:rPr>
          <w:color w:val="1E9ED5"/>
        </w:rPr>
        <w:t>11.3  Variance &amp; Slippage Analysis</w:t>
      </w:r>
    </w:p>
    <w:p>
      <w:pPr>
        <w:spacing w:before="0" w:after="120"/>
      </w:pPr>
      <w:r>
        <w:rPr>
          <w:sz w:val="21"/>
        </w:rPr>
        <w:t>Once a baseline is captured, variance is automatically calculated and displayed:</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Metric</w:t>
            </w:r>
          </w:p>
        </w:tc>
        <w:tc>
          <w:tcPr>
            <w:tcW w:type="dxa" w:w="3168"/>
            <w:shd w:val="clear" w:color="auto" w:fill="0D1B2A"/>
          </w:tcPr>
          <w:p>
            <w:pPr>
              <w:jc w:val="center"/>
            </w:pPr>
            <w:r>
              <w:rPr>
                <w:b/>
                <w:color w:val="FFFFFF"/>
                <w:sz w:val="19"/>
              </w:rPr>
              <w:t>Formula</w:t>
            </w:r>
          </w:p>
        </w:tc>
        <w:tc>
          <w:tcPr>
            <w:tcW w:type="dxa" w:w="3456"/>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Variance Days</w:t>
            </w:r>
          </w:p>
        </w:tc>
        <w:tc>
          <w:tcPr>
            <w:tcW w:type="dxa" w:w="3168"/>
            <w:shd w:val="clear" w:color="auto" w:fill="F8F9FA"/>
          </w:tcPr>
          <w:p>
            <w:pPr>
              <w:spacing w:before="60" w:after="60"/>
            </w:pPr>
            <w:r>
              <w:rPr>
                <w:sz w:val="19"/>
              </w:rPr>
              <w:t>Planned/Actual Date − Baseline Date</w:t>
            </w:r>
          </w:p>
        </w:tc>
        <w:tc>
          <w:tcPr>
            <w:tcW w:type="dxa" w:w="3456"/>
            <w:shd w:val="clear" w:color="auto" w:fill="F8F9FA"/>
          </w:tcPr>
          <w:p>
            <w:pPr>
              <w:spacing w:before="60" w:after="60"/>
            </w:pPr>
            <w:r>
              <w:rPr>
                <w:sz w:val="19"/>
              </w:rPr>
              <w:t>+5d = 5 days behind schedule. −3d = 3 days ahead of schedule.</w:t>
            </w:r>
          </w:p>
        </w:tc>
      </w:tr>
      <w:tr>
        <w:tc>
          <w:tcPr>
            <w:tcW w:type="dxa" w:w="2592"/>
            <w:shd w:val="clear" w:color="auto" w:fill="FFFFFF"/>
          </w:tcPr>
          <w:p>
            <w:pPr>
              <w:spacing w:before="60" w:after="60"/>
            </w:pPr>
            <w:r>
              <w:rPr>
                <w:sz w:val="19"/>
              </w:rPr>
              <w:t>Effort Variance</w:t>
            </w:r>
          </w:p>
        </w:tc>
        <w:tc>
          <w:tcPr>
            <w:tcW w:type="dxa" w:w="3168"/>
            <w:shd w:val="clear" w:color="auto" w:fill="FFFFFF"/>
          </w:tcPr>
          <w:p>
            <w:pPr>
              <w:spacing w:before="60" w:after="60"/>
            </w:pPr>
            <w:r>
              <w:rPr>
                <w:sz w:val="19"/>
              </w:rPr>
              <w:t>estEffort − baselineEffort</w:t>
            </w:r>
          </w:p>
        </w:tc>
        <w:tc>
          <w:tcPr>
            <w:tcW w:type="dxa" w:w="3456"/>
            <w:shd w:val="clear" w:color="auto" w:fill="FFFFFF"/>
          </w:tcPr>
          <w:p>
            <w:pPr>
              <w:spacing w:before="60" w:after="60"/>
            </w:pPr>
            <w:r>
              <w:rPr>
                <w:sz w:val="19"/>
              </w:rPr>
              <w:t>Positive = scope increase. Negative = scope reduction.</w:t>
            </w:r>
          </w:p>
        </w:tc>
      </w:tr>
      <w:tr>
        <w:tc>
          <w:tcPr>
            <w:tcW w:type="dxa" w:w="2592"/>
            <w:shd w:val="clear" w:color="auto" w:fill="F8F9FA"/>
          </w:tcPr>
          <w:p>
            <w:pPr>
              <w:spacing w:before="60" w:after="60"/>
            </w:pPr>
            <w:r>
              <w:rPr>
                <w:sz w:val="19"/>
              </w:rPr>
              <w:t>Slippage Reason</w:t>
            </w:r>
          </w:p>
        </w:tc>
        <w:tc>
          <w:tcPr>
            <w:tcW w:type="dxa" w:w="3168"/>
            <w:shd w:val="clear" w:color="auto" w:fill="F8F9FA"/>
          </w:tcPr>
          <w:p>
            <w:pPr>
              <w:spacing w:before="60" w:after="60"/>
            </w:pPr>
            <w:r>
              <w:rPr>
                <w:sz w:val="19"/>
              </w:rPr>
              <w:t>Free-text field on the task flyout</w:t>
            </w:r>
          </w:p>
        </w:tc>
        <w:tc>
          <w:tcPr>
            <w:tcW w:type="dxa" w:w="3456"/>
            <w:shd w:val="clear" w:color="auto" w:fill="F8F9FA"/>
          </w:tcPr>
          <w:p>
            <w:pPr>
              <w:spacing w:before="60" w:after="60"/>
            </w:pPr>
            <w:r>
              <w:rPr>
                <w:sz w:val="19"/>
              </w:rPr>
              <w:t>Documented justification for schedule slippage. Captured in subsequent baseline snapshots and exported to Excel.</w:t>
            </w:r>
          </w:p>
        </w:tc>
      </w:tr>
    </w:tbl>
    <w:p>
      <w:pPr>
        <w:spacing w:after="120"/>
      </w:pPr>
    </w:p>
    <w:p>
      <w:pPr>
        <w:pStyle w:val="Heading2"/>
        <w:spacing w:before="360" w:after="120"/>
      </w:pPr>
      <w:r>
        <w:rPr>
          <w:color w:val="1E9ED5"/>
        </w:rPr>
        <w:t>11.4  Restoring a Baseline</w:t>
      </w:r>
    </w:p>
    <w:p>
      <w:pPr>
        <w:spacing w:before="0" w:after="120"/>
      </w:pPr>
      <w:r>
        <w:rPr>
          <w:sz w:val="21"/>
        </w:rPr>
        <w:t>From the Schedule Baselines panel, select any historical snapshot and click 'Restore'. This action:</w:t>
      </w:r>
    </w:p>
    <w:p>
      <w:pPr>
        <w:pStyle w:val="ListBullet"/>
        <w:spacing w:before="0" w:after="60"/>
        <w:ind w:left="360"/>
      </w:pPr>
      <w:r>
        <w:rPr>
          <w:sz w:val="21"/>
        </w:rPr>
        <w:t>Overwrites all current planned dates (startDate, dueDate, estEffort) with the snapshot's recorded values.</w:t>
      </w:r>
    </w:p>
    <w:p>
      <w:pPr>
        <w:pStyle w:val="ListBullet"/>
        <w:spacing w:before="0" w:after="60"/>
        <w:ind w:left="360"/>
      </w:pPr>
      <w:r>
        <w:rPr>
          <w:sz w:val="21"/>
        </w:rPr>
        <w:t>Resets baseline dates to match the restored snapshot.</w:t>
      </w:r>
    </w:p>
    <w:p>
      <w:pPr>
        <w:pStyle w:val="ListBullet"/>
        <w:spacing w:before="0" w:after="60"/>
        <w:ind w:left="360"/>
      </w:pPr>
      <w:r>
        <w:rPr>
          <w:sz w:val="21"/>
        </w:rPr>
        <w:t>Triggers a full recalculation of dashboard metrics, EVM figures, and schedule variance.</w:t>
      </w:r>
    </w:p>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 CAUTION  </w:t>
            </w:r>
          </w:p>
          <w:p>
            <w:pPr>
              <w:spacing w:before="40" w:after="120"/>
              <w:ind w:left="144"/>
            </w:pPr>
            <w:r>
              <w:rPr>
                <w:sz w:val="20"/>
              </w:rPr>
              <w:t>Restoring a baseline is irreversible without another snapshot to return to. Always capture a 'Current State' baseline snapshot before restoring a historical one, so you can return to your pre-restore position if needed.</w:t>
            </w:r>
          </w:p>
        </w:tc>
      </w:tr>
    </w:tbl>
    <w:p/>
    <w:p>
      <w:r>
        <w:br w:type="page"/>
      </w:r>
    </w:p>
    <w:p>
      <w:pPr>
        <w:pStyle w:val="Heading1"/>
        <w:spacing w:before="360" w:after="120"/>
      </w:pPr>
      <w:r>
        <w:rPr>
          <w:color w:val="0D1B2A"/>
        </w:rPr>
        <w:t>12  System Configuration Reference</w:t>
      </w:r>
    </w:p>
    <w:p>
      <w:pPr>
        <w:pBdr>
          <w:bottom w:val="single" w:sz="6" w:space="1" w:color="00C2A8"/>
        </w:pBdr>
        <w:spacing w:before="0" w:after="120"/>
      </w:pPr>
    </w:p>
    <w:p>
      <w:pPr>
        <w:spacing w:before="0" w:after="160"/>
      </w:pPr>
      <w:r>
        <w:rPr>
          <w:sz w:val="21"/>
        </w:rPr>
        <w:t>The Administration panel (⚙ Settings) centralises all system-wide configuration options. Changes take effect immediately across all views without requiring a page reload.</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10_configuration_settings.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12.1 — System Configuration: General Settings, Dropdown Manager, and Custom Fields panel</w:t>
      </w:r>
    </w:p>
    <w:p>
      <w:pPr>
        <w:pStyle w:val="Heading2"/>
        <w:spacing w:before="360" w:after="120"/>
      </w:pPr>
      <w:r>
        <w:rPr>
          <w:color w:val="1E9ED5"/>
        </w:rPr>
        <w:t>12.1  General Settings</w:t>
      </w:r>
    </w:p>
    <w:p>
      <w:pPr>
        <w:spacing w:before="0" w:after="120"/>
      </w:pPr>
      <w:r>
        <w:rPr>
          <w:sz w:val="21"/>
        </w:rPr>
        <w:t>Core application behaviour is controlled by these settings:</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Setting</w:t>
            </w:r>
          </w:p>
        </w:tc>
        <w:tc>
          <w:tcPr>
            <w:tcW w:type="dxa" w:w="2880"/>
            <w:shd w:val="clear" w:color="auto" w:fill="0D1B2A"/>
          </w:tcPr>
          <w:p>
            <w:pPr>
              <w:jc w:val="center"/>
            </w:pPr>
            <w:r>
              <w:rPr>
                <w:b/>
                <w:color w:val="FFFFFF"/>
                <w:sz w:val="19"/>
              </w:rPr>
              <w:t>Options</w:t>
            </w:r>
          </w:p>
        </w:tc>
        <w:tc>
          <w:tcPr>
            <w:tcW w:type="dxa" w:w="4032"/>
            <w:shd w:val="clear" w:color="auto" w:fill="0D1B2A"/>
          </w:tcPr>
          <w:p>
            <w:pPr>
              <w:jc w:val="center"/>
            </w:pPr>
            <w:r>
              <w:rPr>
                <w:b/>
                <w:color w:val="FFFFFF"/>
                <w:sz w:val="19"/>
              </w:rPr>
              <w:t>Effect</w:t>
            </w:r>
          </w:p>
        </w:tc>
      </w:tr>
      <w:tr>
        <w:tc>
          <w:tcPr>
            <w:tcW w:type="dxa" w:w="2304"/>
            <w:shd w:val="clear" w:color="auto" w:fill="F8F9FA"/>
          </w:tcPr>
          <w:p>
            <w:pPr>
              <w:spacing w:before="60" w:after="60"/>
            </w:pPr>
            <w:r>
              <w:rPr>
                <w:sz w:val="19"/>
              </w:rPr>
              <w:t>Effort Unit</w:t>
            </w:r>
          </w:p>
        </w:tc>
        <w:tc>
          <w:tcPr>
            <w:tcW w:type="dxa" w:w="2880"/>
            <w:shd w:val="clear" w:color="auto" w:fill="F8F9FA"/>
          </w:tcPr>
          <w:p>
            <w:pPr>
              <w:spacing w:before="60" w:after="60"/>
            </w:pPr>
            <w:r>
              <w:rPr>
                <w:sz w:val="19"/>
              </w:rPr>
              <w:t>hrs / days / months</w:t>
            </w:r>
          </w:p>
        </w:tc>
        <w:tc>
          <w:tcPr>
            <w:tcW w:type="dxa" w:w="4032"/>
            <w:shd w:val="clear" w:color="auto" w:fill="F8F9FA"/>
          </w:tcPr>
          <w:p>
            <w:pPr>
              <w:spacing w:before="60" w:after="60"/>
            </w:pPr>
            <w:r>
              <w:rPr>
                <w:sz w:val="19"/>
              </w:rPr>
              <w:t>Globally switches the unit label and rescales all effort values across the application.</w:t>
            </w:r>
          </w:p>
        </w:tc>
      </w:tr>
      <w:tr>
        <w:tc>
          <w:tcPr>
            <w:tcW w:type="dxa" w:w="2304"/>
            <w:shd w:val="clear" w:color="auto" w:fill="FFFFFF"/>
          </w:tcPr>
          <w:p>
            <w:pPr>
              <w:spacing w:before="60" w:after="60"/>
            </w:pPr>
            <w:r>
              <w:rPr>
                <w:sz w:val="19"/>
              </w:rPr>
              <w:t>Hours per Day</w:t>
            </w:r>
          </w:p>
        </w:tc>
        <w:tc>
          <w:tcPr>
            <w:tcW w:type="dxa" w:w="2880"/>
            <w:shd w:val="clear" w:color="auto" w:fill="FFFFFF"/>
          </w:tcPr>
          <w:p>
            <w:pPr>
              <w:spacing w:before="60" w:after="60"/>
            </w:pPr>
            <w:r>
              <w:rPr>
                <w:sz w:val="19"/>
              </w:rPr>
              <w:t>1–24 (default: 8)</w:t>
            </w:r>
          </w:p>
        </w:tc>
        <w:tc>
          <w:tcPr>
            <w:tcW w:type="dxa" w:w="4032"/>
            <w:shd w:val="clear" w:color="auto" w:fill="FFFFFF"/>
          </w:tcPr>
          <w:p>
            <w:pPr>
              <w:spacing w:before="60" w:after="60"/>
            </w:pPr>
            <w:r>
              <w:rPr>
                <w:sz w:val="19"/>
              </w:rPr>
              <w:t>Used to convert between hours and days when switching effort units.</w:t>
            </w:r>
          </w:p>
        </w:tc>
      </w:tr>
      <w:tr>
        <w:tc>
          <w:tcPr>
            <w:tcW w:type="dxa" w:w="2304"/>
            <w:shd w:val="clear" w:color="auto" w:fill="F8F9FA"/>
          </w:tcPr>
          <w:p>
            <w:pPr>
              <w:spacing w:before="60" w:after="60"/>
            </w:pPr>
            <w:r>
              <w:rPr>
                <w:sz w:val="19"/>
              </w:rPr>
              <w:t>Days per Week</w:t>
            </w:r>
          </w:p>
        </w:tc>
        <w:tc>
          <w:tcPr>
            <w:tcW w:type="dxa" w:w="2880"/>
            <w:shd w:val="clear" w:color="auto" w:fill="F8F9FA"/>
          </w:tcPr>
          <w:p>
            <w:pPr>
              <w:spacing w:before="60" w:after="60"/>
            </w:pPr>
            <w:r>
              <w:rPr>
                <w:sz w:val="19"/>
              </w:rPr>
              <w:t>1–7 (default: 5)</w:t>
            </w:r>
          </w:p>
        </w:tc>
        <w:tc>
          <w:tcPr>
            <w:tcW w:type="dxa" w:w="4032"/>
            <w:shd w:val="clear" w:color="auto" w:fill="F8F9FA"/>
          </w:tcPr>
          <w:p>
            <w:pPr>
              <w:spacing w:before="60" w:after="60"/>
            </w:pPr>
            <w:r>
              <w:rPr>
                <w:sz w:val="19"/>
              </w:rPr>
              <w:t>Defines the working week length for capacity calculations.</w:t>
            </w:r>
          </w:p>
        </w:tc>
      </w:tr>
      <w:tr>
        <w:tc>
          <w:tcPr>
            <w:tcW w:type="dxa" w:w="2304"/>
            <w:shd w:val="clear" w:color="auto" w:fill="FFFFFF"/>
          </w:tcPr>
          <w:p>
            <w:pPr>
              <w:spacing w:before="60" w:after="60"/>
            </w:pPr>
            <w:r>
              <w:rPr>
                <w:sz w:val="19"/>
              </w:rPr>
              <w:t>Working Days</w:t>
            </w:r>
          </w:p>
        </w:tc>
        <w:tc>
          <w:tcPr>
            <w:tcW w:type="dxa" w:w="2880"/>
            <w:shd w:val="clear" w:color="auto" w:fill="FFFFFF"/>
          </w:tcPr>
          <w:p>
            <w:pPr>
              <w:spacing w:before="60" w:after="60"/>
            </w:pPr>
            <w:r>
              <w:rPr>
                <w:sz w:val="19"/>
              </w:rPr>
              <w:t>Mon–Sun toggles</w:t>
            </w:r>
          </w:p>
        </w:tc>
        <w:tc>
          <w:tcPr>
            <w:tcW w:type="dxa" w:w="4032"/>
            <w:shd w:val="clear" w:color="auto" w:fill="FFFFFF"/>
          </w:tcPr>
          <w:p>
            <w:pPr>
              <w:spacing w:before="60" w:after="60"/>
            </w:pPr>
            <w:r>
              <w:rPr>
                <w:sz w:val="19"/>
              </w:rPr>
              <w:t>Specifies which days of the week are working days. Affects capacity calculations and date math.</w:t>
            </w:r>
          </w:p>
        </w:tc>
      </w:tr>
      <w:tr>
        <w:tc>
          <w:tcPr>
            <w:tcW w:type="dxa" w:w="2304"/>
            <w:shd w:val="clear" w:color="auto" w:fill="F8F9FA"/>
          </w:tcPr>
          <w:p>
            <w:pPr>
              <w:spacing w:before="60" w:after="60"/>
            </w:pPr>
            <w:r>
              <w:rPr>
                <w:sz w:val="19"/>
              </w:rPr>
              <w:t>Auto-Save</w:t>
            </w:r>
          </w:p>
        </w:tc>
        <w:tc>
          <w:tcPr>
            <w:tcW w:type="dxa" w:w="2880"/>
            <w:shd w:val="clear" w:color="auto" w:fill="F8F9FA"/>
          </w:tcPr>
          <w:p>
            <w:pPr>
              <w:spacing w:before="60" w:after="60"/>
            </w:pPr>
            <w:r>
              <w:rPr>
                <w:sz w:val="19"/>
              </w:rPr>
              <w:t>On / Off</w:t>
            </w:r>
          </w:p>
        </w:tc>
        <w:tc>
          <w:tcPr>
            <w:tcW w:type="dxa" w:w="4032"/>
            <w:shd w:val="clear" w:color="auto" w:fill="F8F9FA"/>
          </w:tcPr>
          <w:p>
            <w:pPr>
              <w:spacing w:before="60" w:after="60"/>
            </w:pPr>
            <w:r>
              <w:rPr>
                <w:sz w:val="19"/>
              </w:rPr>
              <w:t>Enables 10-second idle debounced auto-save to localStorage.</w:t>
            </w:r>
          </w:p>
        </w:tc>
      </w:tr>
    </w:tbl>
    <w:p>
      <w:pPr>
        <w:spacing w:after="120"/>
      </w:pPr>
    </w:p>
    <w:p>
      <w:pPr>
        <w:pStyle w:val="Heading2"/>
        <w:spacing w:before="360" w:after="120"/>
      </w:pPr>
      <w:r>
        <w:rPr>
          <w:color w:val="1E9ED5"/>
        </w:rPr>
        <w:t>12.2  Dropdown Configuration Manager</w:t>
      </w:r>
    </w:p>
    <w:p>
      <w:pPr>
        <w:spacing w:before="0" w:after="120"/>
      </w:pPr>
      <w:r>
        <w:rPr>
          <w:sz w:val="21"/>
        </w:rPr>
        <w:t>All categorical dropdowns (Status, Priority, Category, Module, Role, etc.) are fully configurable. To modify a dropdown:</w:t>
      </w:r>
    </w:p>
    <w:p>
      <w:pPr>
        <w:pStyle w:val="ListNumber"/>
        <w:spacing w:before="0" w:after="60"/>
      </w:pPr>
      <w:r>
        <w:rPr>
          <w:sz w:val="21"/>
        </w:rPr>
        <w:t>Open Settings → 'Dropdown Manager'.</w:t>
      </w:r>
    </w:p>
    <w:p>
      <w:pPr>
        <w:pStyle w:val="ListNumber"/>
        <w:spacing w:before="0" w:after="60"/>
      </w:pPr>
      <w:r>
        <w:rPr>
          <w:sz w:val="21"/>
        </w:rPr>
        <w:t>Select the dropdown category to modify (e.g., 'Module').</w:t>
      </w:r>
    </w:p>
    <w:p>
      <w:pPr>
        <w:pStyle w:val="ListNumber"/>
        <w:spacing w:before="0" w:after="60"/>
      </w:pPr>
      <w:r>
        <w:rPr>
          <w:sz w:val="21"/>
        </w:rPr>
        <w:t>Add new options, edit existing labels, or reorder items via drag-and-drop.</w:t>
      </w:r>
    </w:p>
    <w:p>
      <w:pPr>
        <w:pStyle w:val="ListNumber"/>
        <w:spacing w:before="0" w:after="60"/>
      </w:pPr>
      <w:r>
        <w:rPr>
          <w:sz w:val="21"/>
        </w:rPr>
        <w:t>Click 'Save'. New options appear immediately in all views.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  WARNING  </w:t>
            </w:r>
          </w:p>
          <w:p>
            <w:pPr>
              <w:spacing w:before="40" w:after="120"/>
              <w:ind w:left="144"/>
            </w:pPr>
            <w:r>
              <w:rPr>
                <w:sz w:val="20"/>
              </w:rPr>
              <w:t>Removing a dropdown option that is currently assigned to active tasks will not delete those tasks or their data — the old value is preserved on existing records. However, it will no longer appear as a selectable option for new assignments.</w:t>
            </w:r>
          </w:p>
        </w:tc>
      </w:tr>
    </w:tbl>
    <w:p/>
    <w:p>
      <w:pPr>
        <w:pStyle w:val="Heading2"/>
        <w:spacing w:before="360" w:after="120"/>
      </w:pPr>
      <w:r>
        <w:rPr>
          <w:color w:val="1E9ED5"/>
        </w:rPr>
        <w:t>12.3  Custom Fields</w:t>
      </w:r>
    </w:p>
    <w:p>
      <w:pPr>
        <w:spacing w:before="0" w:after="120"/>
      </w:pPr>
      <w:r>
        <w:rPr>
          <w:sz w:val="21"/>
        </w:rPr>
        <w:t>Custom Fields allow teams to extend the Task and Defect schemas with project-specific attributes:</w:t>
      </w:r>
    </w:p>
    <w:p>
      <w:pPr>
        <w:pStyle w:val="ListBullet"/>
        <w:spacing w:before="0" w:after="60"/>
        <w:ind w:left="360"/>
      </w:pPr>
      <w:r>
        <w:rPr>
          <w:sz w:val="21"/>
        </w:rPr>
        <w:t>Supported Types: Text, Number, Date, Dropdown, Checkbox.</w:t>
      </w:r>
    </w:p>
    <w:p>
      <w:pPr>
        <w:pStyle w:val="ListBullet"/>
        <w:spacing w:before="0" w:after="60"/>
        <w:ind w:left="360"/>
      </w:pPr>
      <w:r>
        <w:rPr>
          <w:sz w:val="21"/>
        </w:rPr>
        <w:t>Scope: Custom fields can be defined independently for Tasks and for Defects.</w:t>
      </w:r>
    </w:p>
    <w:p>
      <w:pPr>
        <w:pStyle w:val="ListBullet"/>
        <w:spacing w:before="0" w:after="60"/>
        <w:ind w:left="360"/>
      </w:pPr>
      <w:r>
        <w:rPr>
          <w:sz w:val="21"/>
        </w:rPr>
        <w:t>Visibility: Custom fields appear as additional columns in the Delivery Matrix and Defect Tracker, and are included in Excel exports.</w:t>
      </w:r>
    </w:p>
    <w:p>
      <w:pPr>
        <w:pStyle w:val="ListBullet"/>
        <w:spacing w:before="0" w:after="60"/>
        <w:ind w:left="360"/>
      </w:pPr>
      <w:r>
        <w:rPr>
          <w:sz w:val="21"/>
        </w:rPr>
        <w:t>Persistence: Custom field values are stored alongside standard fields in localStorage and in the Excel workbook.</w:t>
      </w:r>
    </w:p>
    <w:p/>
    <w:p>
      <w:pPr>
        <w:pStyle w:val="Heading2"/>
        <w:spacing w:before="360" w:after="120"/>
      </w:pPr>
      <w:r>
        <w:rPr>
          <w:color w:val="1E9ED5"/>
        </w:rPr>
        <w:t>12.4  Complexity Factor Multipliers</w:t>
      </w:r>
    </w:p>
    <w:p>
      <w:pPr>
        <w:spacing w:before="0" w:after="120"/>
      </w:pPr>
      <w:r>
        <w:rPr>
          <w:sz w:val="21"/>
        </w:rPr>
        <w:t>The default complexity multipliers (Easy: 0.5×, Medium: 1.0×, Complex: 1.5×) can be adjusted in Settings → 'Complexity Factors'. Changing these values recalculates all velocity and EVM metrics immediately.</w:t>
      </w:r>
    </w:p>
    <w:p>
      <w:pPr>
        <w:pStyle w:val="Heading2"/>
        <w:spacing w:before="360" w:after="120"/>
      </w:pPr>
      <w:r>
        <w:rPr>
          <w:color w:val="1E9ED5"/>
        </w:rPr>
        <w:t>12.5  Theme &amp; Visual Configuration</w:t>
      </w:r>
    </w:p>
    <w:p>
      <w:pPr>
        <w:spacing w:before="0" w:after="120"/>
      </w:pPr>
      <w:r>
        <w:rPr>
          <w:sz w:val="21"/>
        </w:rPr>
        <w:t>ProjectPulse ships with 20 curated visual themes:</w:t>
      </w:r>
    </w:p>
    <w:p>
      <w:pPr>
        <w:pStyle w:val="ListBullet"/>
        <w:spacing w:before="0" w:after="60"/>
        <w:ind w:left="360"/>
      </w:pPr>
      <w:r>
        <w:rPr>
          <w:sz w:val="21"/>
        </w:rPr>
        <w:t>Dark Themes: Nexus, Obsidian, Fintech, Codename, Workflow, Bento.</w:t>
      </w:r>
    </w:p>
    <w:p>
      <w:pPr>
        <w:pStyle w:val="ListBullet"/>
        <w:spacing w:before="0" w:after="60"/>
        <w:ind w:left="360"/>
      </w:pPr>
      <w:r>
        <w:rPr>
          <w:sz w:val="21"/>
        </w:rPr>
        <w:t>Light Themes: Emerald, Terracotta, Cloud, and 12 additional curated palettes.</w:t>
      </w:r>
    </w:p>
    <w:p>
      <w:pPr>
        <w:pStyle w:val="ListBullet"/>
        <w:spacing w:before="0" w:after="60"/>
        <w:ind w:left="360"/>
      </w:pPr>
      <w:r>
        <w:rPr>
          <w:sz w:val="21"/>
        </w:rPr>
        <w:t>Dark/Light Mode Override: Force dark or light mode regardless of the selected theme.</w:t>
      </w:r>
    </w:p>
    <w:p>
      <w:pPr>
        <w:pStyle w:val="ListBullet"/>
        <w:spacing w:before="0" w:after="60"/>
        <w:ind w:left="360"/>
      </w:pPr>
      <w:r>
        <w:rPr>
          <w:sz w:val="21"/>
        </w:rPr>
        <w:t>Theme selection is persisted per session and stored to the Excel workbook on export.</w:t>
      </w:r>
    </w:p>
    <w:p/>
    <w:p>
      <w:r>
        <w:br w:type="page"/>
      </w:r>
    </w:p>
    <w:p>
      <w:pPr>
        <w:pStyle w:val="Heading1"/>
        <w:spacing w:before="360" w:after="120"/>
      </w:pPr>
      <w:r>
        <w:rPr>
          <w:color w:val="0D1B2A"/>
        </w:rPr>
        <w:t>Appendix A — Keyboard Shortcuts</w:t>
      </w:r>
    </w:p>
    <w:p>
      <w:pPr>
        <w:pBdr>
          <w:bottom w:val="single" w:sz="6" w:space="1" w:color="00C2A8"/>
        </w:pBdr>
        <w:spacing w:before="0" w:after="120"/>
      </w:pPr>
    </w:p>
    <w:p>
      <w:pPr>
        <w:spacing w:before="0" w:after="160"/>
      </w:pPr>
      <w:r>
        <w:rPr>
          <w:sz w:val="21"/>
        </w:rPr>
        <w:t>The following keyboard shortcuts are available globally across all views: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Shortcut</w:t>
            </w:r>
          </w:p>
        </w:tc>
        <w:tc>
          <w:tcPr>
            <w:tcW w:type="dxa" w:w="4320"/>
            <w:shd w:val="clear" w:color="auto" w:fill="0D1B2A"/>
          </w:tcPr>
          <w:p>
            <w:pPr>
              <w:jc w:val="center"/>
            </w:pPr>
            <w:r>
              <w:rPr>
                <w:b/>
                <w:color w:val="FFFFFF"/>
                <w:sz w:val="19"/>
              </w:rPr>
              <w:t>Action</w:t>
            </w:r>
          </w:p>
        </w:tc>
        <w:tc>
          <w:tcPr>
            <w:tcW w:type="dxa" w:w="2736"/>
            <w:shd w:val="clear" w:color="auto" w:fill="0D1B2A"/>
          </w:tcPr>
          <w:p>
            <w:pPr>
              <w:jc w:val="center"/>
            </w:pPr>
            <w:r>
              <w:rPr>
                <w:b/>
                <w:color w:val="FFFFFF"/>
                <w:sz w:val="19"/>
              </w:rPr>
              <w:t>Scope</w:t>
            </w:r>
          </w:p>
        </w:tc>
      </w:tr>
      <w:tr>
        <w:tc>
          <w:tcPr>
            <w:tcW w:type="dxa" w:w="2160"/>
            <w:shd w:val="clear" w:color="auto" w:fill="F8F9FA"/>
          </w:tcPr>
          <w:p>
            <w:pPr>
              <w:spacing w:before="60" w:after="60"/>
            </w:pPr>
            <w:r>
              <w:rPr>
                <w:sz w:val="19"/>
              </w:rPr>
              <w:t>Ctrl + S</w:t>
            </w:r>
          </w:p>
        </w:tc>
        <w:tc>
          <w:tcPr>
            <w:tcW w:type="dxa" w:w="4320"/>
            <w:shd w:val="clear" w:color="auto" w:fill="F8F9FA"/>
          </w:tcPr>
          <w:p>
            <w:pPr>
              <w:spacing w:before="60" w:after="60"/>
            </w:pPr>
            <w:r>
              <w:rPr>
                <w:sz w:val="19"/>
              </w:rPr>
              <w:t>Force immediate save to localStorage and linked file.</w:t>
            </w:r>
          </w:p>
        </w:tc>
        <w:tc>
          <w:tcPr>
            <w:tcW w:type="dxa" w:w="2736"/>
            <w:shd w:val="clear" w:color="auto" w:fill="F8F9FA"/>
          </w:tcPr>
          <w:p>
            <w:pPr>
              <w:spacing w:before="60" w:after="60"/>
            </w:pPr>
            <w:r>
              <w:rPr>
                <w:sz w:val="19"/>
              </w:rPr>
              <w:t>Global</w:t>
            </w:r>
          </w:p>
        </w:tc>
      </w:tr>
      <w:tr>
        <w:tc>
          <w:tcPr>
            <w:tcW w:type="dxa" w:w="2160"/>
            <w:shd w:val="clear" w:color="auto" w:fill="FFFFFF"/>
          </w:tcPr>
          <w:p>
            <w:pPr>
              <w:spacing w:before="60" w:after="60"/>
            </w:pPr>
            <w:r>
              <w:rPr>
                <w:sz w:val="19"/>
              </w:rPr>
              <w:t>Ctrl + Z</w:t>
            </w:r>
          </w:p>
        </w:tc>
        <w:tc>
          <w:tcPr>
            <w:tcW w:type="dxa" w:w="4320"/>
            <w:shd w:val="clear" w:color="auto" w:fill="FFFFFF"/>
          </w:tcPr>
          <w:p>
            <w:pPr>
              <w:spacing w:before="60" w:after="60"/>
            </w:pPr>
            <w:r>
              <w:rPr>
                <w:sz w:val="19"/>
              </w:rPr>
              <w:t>Undo last inline edit.</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F</w:t>
            </w:r>
          </w:p>
        </w:tc>
        <w:tc>
          <w:tcPr>
            <w:tcW w:type="dxa" w:w="4320"/>
            <w:shd w:val="clear" w:color="auto" w:fill="F8F9FA"/>
          </w:tcPr>
          <w:p>
            <w:pPr>
              <w:spacing w:before="60" w:after="60"/>
            </w:pPr>
            <w:r>
              <w:rPr>
                <w:sz w:val="19"/>
              </w:rPr>
              <w:t>Focus the search / filter bar.</w:t>
            </w:r>
          </w:p>
        </w:tc>
        <w:tc>
          <w:tcPr>
            <w:tcW w:type="dxa" w:w="2736"/>
            <w:shd w:val="clear" w:color="auto" w:fill="F8F9FA"/>
          </w:tcPr>
          <w:p>
            <w:pPr>
              <w:spacing w:before="60" w:after="60"/>
            </w:pPr>
            <w:r>
              <w:rPr>
                <w:sz w:val="19"/>
              </w:rPr>
              <w:t>Delivery Matrix, Defects</w:t>
            </w:r>
          </w:p>
        </w:tc>
      </w:tr>
      <w:tr>
        <w:tc>
          <w:tcPr>
            <w:tcW w:type="dxa" w:w="2160"/>
            <w:shd w:val="clear" w:color="auto" w:fill="FFFFFF"/>
          </w:tcPr>
          <w:p>
            <w:pPr>
              <w:spacing w:before="60" w:after="60"/>
            </w:pPr>
            <w:r>
              <w:rPr>
                <w:sz w:val="19"/>
              </w:rPr>
              <w:t>Escape</w:t>
            </w:r>
          </w:p>
        </w:tc>
        <w:tc>
          <w:tcPr>
            <w:tcW w:type="dxa" w:w="4320"/>
            <w:shd w:val="clear" w:color="auto" w:fill="FFFFFF"/>
          </w:tcPr>
          <w:p>
            <w:pPr>
              <w:spacing w:before="60" w:after="60"/>
            </w:pPr>
            <w:r>
              <w:rPr>
                <w:sz w:val="19"/>
              </w:rPr>
              <w:t>Close open modal, flyout, or dropdown.</w:t>
            </w:r>
          </w:p>
        </w:tc>
        <w:tc>
          <w:tcPr>
            <w:tcW w:type="dxa" w:w="2736"/>
            <w:shd w:val="clear" w:color="auto" w:fill="FFFFFF"/>
          </w:tcPr>
          <w:p>
            <w:pPr>
              <w:spacing w:before="60" w:after="60"/>
            </w:pPr>
            <w:r>
              <w:rPr>
                <w:sz w:val="19"/>
              </w:rPr>
              <w:t>Global</w:t>
            </w:r>
          </w:p>
        </w:tc>
      </w:tr>
      <w:tr>
        <w:tc>
          <w:tcPr>
            <w:tcW w:type="dxa" w:w="2160"/>
            <w:shd w:val="clear" w:color="auto" w:fill="F8F9FA"/>
          </w:tcPr>
          <w:p>
            <w:pPr>
              <w:spacing w:before="60" w:after="60"/>
            </w:pPr>
            <w:r>
              <w:rPr>
                <w:sz w:val="19"/>
              </w:rPr>
              <w:t>Enter</w:t>
            </w:r>
          </w:p>
        </w:tc>
        <w:tc>
          <w:tcPr>
            <w:tcW w:type="dxa" w:w="4320"/>
            <w:shd w:val="clear" w:color="auto" w:fill="F8F9FA"/>
          </w:tcPr>
          <w:p>
            <w:pPr>
              <w:spacing w:before="60" w:after="60"/>
            </w:pPr>
            <w:r>
              <w:rPr>
                <w:sz w:val="19"/>
              </w:rPr>
              <w:t>Confirm inline cell edit.</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Tab</w:t>
            </w:r>
          </w:p>
        </w:tc>
        <w:tc>
          <w:tcPr>
            <w:tcW w:type="dxa" w:w="4320"/>
            <w:shd w:val="clear" w:color="auto" w:fill="FFFFFF"/>
          </w:tcPr>
          <w:p>
            <w:pPr>
              <w:spacing w:before="60" w:after="60"/>
            </w:pPr>
            <w:r>
              <w:rPr>
                <w:sz w:val="19"/>
              </w:rPr>
              <w:t>Move to next editable cell.</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Shift + Tab</w:t>
            </w:r>
          </w:p>
        </w:tc>
        <w:tc>
          <w:tcPr>
            <w:tcW w:type="dxa" w:w="4320"/>
            <w:shd w:val="clear" w:color="auto" w:fill="F8F9FA"/>
          </w:tcPr>
          <w:p>
            <w:pPr>
              <w:spacing w:before="60" w:after="60"/>
            </w:pPr>
            <w:r>
              <w:rPr>
                <w:sz w:val="19"/>
              </w:rPr>
              <w:t>Move to previous editable cell.</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Arrow Keys</w:t>
            </w:r>
          </w:p>
        </w:tc>
        <w:tc>
          <w:tcPr>
            <w:tcW w:type="dxa" w:w="4320"/>
            <w:shd w:val="clear" w:color="auto" w:fill="FFFFFF"/>
          </w:tcPr>
          <w:p>
            <w:pPr>
              <w:spacing w:before="60" w:after="60"/>
            </w:pPr>
            <w:r>
              <w:rPr>
                <w:sz w:val="19"/>
              </w:rPr>
              <w:t>Navigate between cells in grid.</w:t>
            </w:r>
          </w:p>
        </w:tc>
        <w:tc>
          <w:tcPr>
            <w:tcW w:type="dxa" w:w="2736"/>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Click</w:t>
            </w:r>
          </w:p>
        </w:tc>
        <w:tc>
          <w:tcPr>
            <w:tcW w:type="dxa" w:w="4320"/>
            <w:shd w:val="clear" w:color="auto" w:fill="F8F9FA"/>
          </w:tcPr>
          <w:p>
            <w:pPr>
              <w:spacing w:before="60" w:after="60"/>
            </w:pPr>
            <w:r>
              <w:rPr>
                <w:sz w:val="19"/>
              </w:rPr>
              <w:t>Multi-select tasks for bulk operations.</w:t>
            </w:r>
          </w:p>
        </w:tc>
        <w:tc>
          <w:tcPr>
            <w:tcW w:type="dxa" w:w="2736"/>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Space</w:t>
            </w:r>
          </w:p>
        </w:tc>
        <w:tc>
          <w:tcPr>
            <w:tcW w:type="dxa" w:w="4320"/>
            <w:shd w:val="clear" w:color="auto" w:fill="FFFFFF"/>
          </w:tcPr>
          <w:p>
            <w:pPr>
              <w:spacing w:before="60" w:after="60"/>
            </w:pPr>
            <w:r>
              <w:rPr>
                <w:sz w:val="19"/>
              </w:rPr>
              <w:t>Toggle expand/collapse on selected parent task.</w:t>
            </w:r>
          </w:p>
        </w:tc>
        <w:tc>
          <w:tcPr>
            <w:tcW w:type="dxa" w:w="2736"/>
            <w:shd w:val="clear" w:color="auto" w:fill="FFFFFF"/>
          </w:tcPr>
          <w:p>
            <w:pPr>
              <w:spacing w:before="60" w:after="60"/>
            </w:pPr>
            <w:r>
              <w:rPr>
                <w:sz w:val="19"/>
              </w:rPr>
              <w:t>Delivery Matrix</w:t>
            </w:r>
          </w:p>
        </w:tc>
      </w:tr>
    </w:tbl>
    <w:p>
      <w:pPr>
        <w:spacing w:after="120"/>
      </w:pPr>
    </w:p>
    <w:p>
      <w:pPr>
        <w:pStyle w:val="Heading1"/>
        <w:spacing w:before="360" w:after="120"/>
      </w:pPr>
      <w:r>
        <w:rPr>
          <w:color w:val="0D1B2A"/>
        </w:rPr>
        <w:t>Appendix B — Data Schema Reference</w:t>
      </w:r>
    </w:p>
    <w:p>
      <w:pPr>
        <w:pBdr>
          <w:bottom w:val="single" w:sz="6" w:space="1" w:color="00C2A8"/>
        </w:pBdr>
        <w:spacing w:before="0" w:after="120"/>
      </w:pPr>
    </w:p>
    <w:p>
      <w:pPr>
        <w:spacing w:before="0" w:after="160"/>
      </w:pPr>
      <w:r>
        <w:rPr>
          <w:sz w:val="21"/>
        </w:rPr>
        <w:t>The following tables document the full field-level schema for the primary data entities managed by ProjectPulse. All data is persisted in localStorage (pp-data key) and exported to the Excel workbook on save.</w:t>
      </w:r>
    </w:p>
    <w:p>
      <w:pPr>
        <w:pStyle w:val="Heading2"/>
        <w:spacing w:before="360" w:after="120"/>
      </w:pPr>
      <w:r>
        <w:rPr>
          <w:color w:val="1E9ED5"/>
        </w:rPr>
        <w:t>B.1  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728"/>
            <w:shd w:val="clear" w:color="auto" w:fill="0D1B2A"/>
          </w:tcPr>
          <w:p>
            <w:pPr>
              <w:jc w:val="center"/>
            </w:pPr>
            <w:r>
              <w:rPr>
                <w:b/>
                <w:color w:val="FFFFFF"/>
                <w:sz w:val="19"/>
              </w:rPr>
              <w:t>Type</w:t>
            </w:r>
          </w:p>
        </w:tc>
        <w:tc>
          <w:tcPr>
            <w:tcW w:type="dxa" w:w="489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Unique identifier (e.g., TASK-001). Auto-generated.</w:t>
            </w:r>
          </w:p>
        </w:tc>
      </w:tr>
      <w:tr>
        <w:tc>
          <w:tcPr>
            <w:tcW w:type="dxa" w:w="2592"/>
            <w:shd w:val="clear" w:color="auto" w:fill="FFFFFF"/>
          </w:tcPr>
          <w:p>
            <w:pPr>
              <w:spacing w:before="60" w:after="60"/>
            </w:pPr>
            <w:r>
              <w:rPr>
                <w:sz w:val="19"/>
              </w:rPr>
              <w:t>name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Task title. Required.</w:t>
            </w:r>
          </w:p>
        </w:tc>
      </w:tr>
      <w:tr>
        <w:tc>
          <w:tcPr>
            <w:tcW w:type="dxa" w:w="2592"/>
            <w:shd w:val="clear" w:color="auto" w:fill="F8F9FA"/>
          </w:tcPr>
          <w:p>
            <w:pPr>
              <w:spacing w:before="60" w:after="60"/>
            </w:pPr>
            <w:r>
              <w:rPr>
                <w:sz w:val="19"/>
              </w:rPr>
              <w:t>status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Current status. Must match valid transition from VALID_TRANSITIONS.</w:t>
            </w:r>
          </w:p>
        </w:tc>
      </w:tr>
      <w:tr>
        <w:tc>
          <w:tcPr>
            <w:tcW w:type="dxa" w:w="2592"/>
            <w:shd w:val="clear" w:color="auto" w:fill="FFFFFF"/>
          </w:tcPr>
          <w:p>
            <w:pPr>
              <w:spacing w:before="60" w:after="60"/>
            </w:pPr>
            <w:r>
              <w:rPr>
                <w:sz w:val="19"/>
              </w:rPr>
              <w:t>priority</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Critical / High / Medium / Low.</w:t>
            </w:r>
          </w:p>
        </w:tc>
      </w:tr>
      <w:tr>
        <w:tc>
          <w:tcPr>
            <w:tcW w:type="dxa" w:w="2592"/>
            <w:shd w:val="clear" w:color="auto" w:fill="F8F9FA"/>
          </w:tcPr>
          <w:p>
            <w:pPr>
              <w:spacing w:before="60" w:after="60"/>
            </w:pPr>
            <w:r>
              <w:rPr>
                <w:sz w:val="19"/>
              </w:rPr>
              <w:t>category</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Classification from configured Category dropdown.</w:t>
            </w:r>
          </w:p>
        </w:tc>
      </w:tr>
      <w:tr>
        <w:tc>
          <w:tcPr>
            <w:tcW w:type="dxa" w:w="2592"/>
            <w:shd w:val="clear" w:color="auto" w:fill="FFFFFF"/>
          </w:tcPr>
          <w:p>
            <w:pPr>
              <w:spacing w:before="60" w:after="60"/>
            </w:pPr>
            <w:r>
              <w:rPr>
                <w:sz w:val="19"/>
              </w:rPr>
              <w:t>module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Associated module name from Module dropdown.</w:t>
            </w:r>
          </w:p>
        </w:tc>
      </w:tr>
      <w:tr>
        <w:tc>
          <w:tcPr>
            <w:tcW w:type="dxa" w:w="2592"/>
            <w:shd w:val="clear" w:color="auto" w:fill="F8F9FA"/>
          </w:tcPr>
          <w:p>
            <w:pPr>
              <w:spacing w:before="60" w:after="60"/>
            </w:pPr>
            <w:r>
              <w:rPr>
                <w:sz w:val="19"/>
              </w:rPr>
              <w:t>moduleType</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Server / GUI / Interface.</w:t>
            </w:r>
          </w:p>
        </w:tc>
      </w:tr>
      <w:tr>
        <w:tc>
          <w:tcPr>
            <w:tcW w:type="dxa" w:w="2592"/>
            <w:shd w:val="clear" w:color="auto" w:fill="FFFFFF"/>
          </w:tcPr>
          <w:p>
            <w:pPr>
              <w:spacing w:before="60" w:after="60"/>
            </w:pPr>
            <w:r>
              <w:rPr>
                <w:sz w:val="19"/>
              </w:rPr>
              <w:t>assignee</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Assigned member name.</w:t>
            </w:r>
          </w:p>
        </w:tc>
      </w:tr>
      <w:tr>
        <w:tc>
          <w:tcPr>
            <w:tcW w:type="dxa" w:w="2592"/>
            <w:shd w:val="clear" w:color="auto" w:fill="F8F9FA"/>
          </w:tcPr>
          <w:p>
            <w:pPr>
              <w:spacing w:before="60" w:after="60"/>
            </w:pPr>
            <w:r>
              <w:rPr>
                <w:sz w:val="19"/>
              </w:rPr>
              <w:t>release</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Target release version (e.g., v1.0.0).</w:t>
            </w:r>
          </w:p>
        </w:tc>
      </w:tr>
      <w:tr>
        <w:tc>
          <w:tcPr>
            <w:tcW w:type="dxa" w:w="2592"/>
            <w:shd w:val="clear" w:color="auto" w:fill="FFFFFF"/>
          </w:tcPr>
          <w:p>
            <w:pPr>
              <w:spacing w:before="60" w:after="60"/>
            </w:pPr>
            <w:r>
              <w:rPr>
                <w:sz w:val="19"/>
              </w:rPr>
              <w:t>startDate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Current planned start date.</w:t>
            </w:r>
          </w:p>
        </w:tc>
      </w:tr>
      <w:tr>
        <w:tc>
          <w:tcPr>
            <w:tcW w:type="dxa" w:w="2592"/>
            <w:shd w:val="clear" w:color="auto" w:fill="F8F9FA"/>
          </w:tcPr>
          <w:p>
            <w:pPr>
              <w:spacing w:before="60" w:after="60"/>
            </w:pPr>
            <w:r>
              <w:rPr>
                <w:sz w:val="19"/>
              </w:rPr>
              <w:t>dueDate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Current planned due date.</w:t>
            </w:r>
          </w:p>
        </w:tc>
      </w:tr>
      <w:tr>
        <w:tc>
          <w:tcPr>
            <w:tcW w:type="dxa" w:w="2592"/>
            <w:shd w:val="clear" w:color="auto" w:fill="FFFFFF"/>
          </w:tcPr>
          <w:p>
            <w:pPr>
              <w:spacing w:before="60" w:after="60"/>
            </w:pPr>
            <w:r>
              <w:rPr>
                <w:sz w:val="19"/>
              </w:rPr>
              <w:t>actCompletionDate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Actual completion date (null if incomplete).</w:t>
            </w:r>
          </w:p>
        </w:tc>
      </w:tr>
      <w:tr>
        <w:tc>
          <w:tcPr>
            <w:tcW w:type="dxa" w:w="2592"/>
            <w:shd w:val="clear" w:color="auto" w:fill="F8F9FA"/>
          </w:tcPr>
          <w:p>
            <w:pPr>
              <w:spacing w:before="60" w:after="60"/>
            </w:pPr>
            <w:r>
              <w:rPr>
                <w:sz w:val="19"/>
              </w:rPr>
              <w:t>baselineStartDate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Frozen baseline start date.</w:t>
            </w:r>
          </w:p>
        </w:tc>
      </w:tr>
      <w:tr>
        <w:tc>
          <w:tcPr>
            <w:tcW w:type="dxa" w:w="2592"/>
            <w:shd w:val="clear" w:color="auto" w:fill="FFFFFF"/>
          </w:tcPr>
          <w:p>
            <w:pPr>
              <w:spacing w:before="60" w:after="60"/>
            </w:pPr>
            <w:r>
              <w:rPr>
                <w:sz w:val="19"/>
              </w:rPr>
              <w:t>baselineDueDate</w:t>
            </w:r>
          </w:p>
        </w:tc>
        <w:tc>
          <w:tcPr>
            <w:tcW w:type="dxa" w:w="1728"/>
            <w:shd w:val="clear" w:color="auto" w:fill="FFFFFF"/>
          </w:tcPr>
          <w:p>
            <w:pPr>
              <w:spacing w:before="60" w:after="60"/>
            </w:pPr>
            <w:r>
              <w:rPr>
                <w:sz w:val="19"/>
              </w:rPr>
              <w:t>YYYY-MM-DD</w:t>
            </w:r>
          </w:p>
        </w:tc>
        <w:tc>
          <w:tcPr>
            <w:tcW w:type="dxa" w:w="4896"/>
            <w:shd w:val="clear" w:color="auto" w:fill="FFFFFF"/>
          </w:tcPr>
          <w:p>
            <w:pPr>
              <w:spacing w:before="60" w:after="60"/>
            </w:pPr>
            <w:r>
              <w:rPr>
                <w:sz w:val="19"/>
              </w:rPr>
              <w:t>Frozen baseline due date.</w:t>
            </w:r>
          </w:p>
        </w:tc>
      </w:tr>
      <w:tr>
        <w:tc>
          <w:tcPr>
            <w:tcW w:type="dxa" w:w="2592"/>
            <w:shd w:val="clear" w:color="auto" w:fill="F8F9FA"/>
          </w:tcPr>
          <w:p>
            <w:pPr>
              <w:spacing w:before="60" w:after="60"/>
            </w:pPr>
            <w:r>
              <w:rPr>
                <w:sz w:val="19"/>
              </w:rPr>
              <w:t>forecastDueDate</w:t>
            </w:r>
          </w:p>
        </w:tc>
        <w:tc>
          <w:tcPr>
            <w:tcW w:type="dxa" w:w="1728"/>
            <w:shd w:val="clear" w:color="auto" w:fill="F8F9FA"/>
          </w:tcPr>
          <w:p>
            <w:pPr>
              <w:spacing w:before="60" w:after="60"/>
            </w:pPr>
            <w:r>
              <w:rPr>
                <w:sz w:val="19"/>
              </w:rPr>
              <w:t>YYYY-MM-DD</w:t>
            </w:r>
          </w:p>
        </w:tc>
        <w:tc>
          <w:tcPr>
            <w:tcW w:type="dxa" w:w="4896"/>
            <w:shd w:val="clear" w:color="auto" w:fill="F8F9FA"/>
          </w:tcPr>
          <w:p>
            <w:pPr>
              <w:spacing w:before="60" w:after="60"/>
            </w:pPr>
            <w:r>
              <w:rPr>
                <w:sz w:val="19"/>
              </w:rPr>
              <w:t>System-calculated forecast due date based on velocity.</w:t>
            </w:r>
          </w:p>
        </w:tc>
      </w:tr>
      <w:tr>
        <w:tc>
          <w:tcPr>
            <w:tcW w:type="dxa" w:w="2592"/>
            <w:shd w:val="clear" w:color="auto" w:fill="FFFFFF"/>
          </w:tcPr>
          <w:p>
            <w:pPr>
              <w:spacing w:before="60" w:after="60"/>
            </w:pPr>
            <w:r>
              <w:rPr>
                <w:sz w:val="19"/>
              </w:rPr>
              <w:t>slippageReason</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Free-text explanation if task slips beyond baseline.</w:t>
            </w:r>
          </w:p>
        </w:tc>
      </w:tr>
      <w:tr>
        <w:tc>
          <w:tcPr>
            <w:tcW w:type="dxa" w:w="2592"/>
            <w:shd w:val="clear" w:color="auto" w:fill="F8F9FA"/>
          </w:tcPr>
          <w:p>
            <w:pPr>
              <w:spacing w:before="60" w:after="60"/>
            </w:pPr>
            <w:r>
              <w:rPr>
                <w:sz w:val="19"/>
              </w:rPr>
              <w:t>complexity</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Easy / Medium / Complex.</w:t>
            </w:r>
          </w:p>
        </w:tc>
      </w:tr>
      <w:tr>
        <w:tc>
          <w:tcPr>
            <w:tcW w:type="dxa" w:w="2592"/>
            <w:shd w:val="clear" w:color="auto" w:fill="FFFFFF"/>
          </w:tcPr>
          <w:p>
            <w:pPr>
              <w:spacing w:before="60" w:after="60"/>
            </w:pPr>
            <w:r>
              <w:rPr>
                <w:sz w:val="19"/>
              </w:rPr>
              <w:t>progress</w:t>
            </w:r>
          </w:p>
        </w:tc>
        <w:tc>
          <w:tcPr>
            <w:tcW w:type="dxa" w:w="1728"/>
            <w:shd w:val="clear" w:color="auto" w:fill="FFFFFF"/>
          </w:tcPr>
          <w:p>
            <w:pPr>
              <w:spacing w:before="60" w:after="60"/>
            </w:pPr>
            <w:r>
              <w:rPr>
                <w:sz w:val="19"/>
              </w:rPr>
              <w:t>number</w:t>
            </w:r>
          </w:p>
        </w:tc>
        <w:tc>
          <w:tcPr>
            <w:tcW w:type="dxa" w:w="4896"/>
            <w:shd w:val="clear" w:color="auto" w:fill="FFFFFF"/>
          </w:tcPr>
          <w:p>
            <w:pPr>
              <w:spacing w:before="60" w:after="60"/>
            </w:pPr>
            <w:r>
              <w:rPr>
                <w:sz w:val="19"/>
              </w:rPr>
              <w:t>0–100 percentage completion.</w:t>
            </w:r>
          </w:p>
        </w:tc>
      </w:tr>
      <w:tr>
        <w:tc>
          <w:tcPr>
            <w:tcW w:type="dxa" w:w="2592"/>
            <w:shd w:val="clear" w:color="auto" w:fill="F8F9FA"/>
          </w:tcPr>
          <w:p>
            <w:pPr>
              <w:spacing w:before="60" w:after="60"/>
            </w:pPr>
            <w:r>
              <w:rPr>
                <w:sz w:val="19"/>
              </w:rPr>
              <w:t>estEffort</w:t>
            </w:r>
          </w:p>
        </w:tc>
        <w:tc>
          <w:tcPr>
            <w:tcW w:type="dxa" w:w="1728"/>
            <w:shd w:val="clear" w:color="auto" w:fill="F8F9FA"/>
          </w:tcPr>
          <w:p>
            <w:pPr>
              <w:spacing w:before="60" w:after="60"/>
            </w:pPr>
            <w:r>
              <w:rPr>
                <w:sz w:val="19"/>
              </w:rPr>
              <w:t>number</w:t>
            </w:r>
          </w:p>
        </w:tc>
        <w:tc>
          <w:tcPr>
            <w:tcW w:type="dxa" w:w="4896"/>
            <w:shd w:val="clear" w:color="auto" w:fill="F8F9FA"/>
          </w:tcPr>
          <w:p>
            <w:pPr>
              <w:spacing w:before="60" w:after="60"/>
            </w:pPr>
            <w:r>
              <w:rPr>
                <w:sz w:val="19"/>
              </w:rPr>
              <w:t>Estimated effort in active effortUnit.</w:t>
            </w:r>
          </w:p>
        </w:tc>
      </w:tr>
      <w:tr>
        <w:tc>
          <w:tcPr>
            <w:tcW w:type="dxa" w:w="2592"/>
            <w:shd w:val="clear" w:color="auto" w:fill="FFFFFF"/>
          </w:tcPr>
          <w:p>
            <w:pPr>
              <w:spacing w:before="60" w:after="60"/>
            </w:pPr>
            <w:r>
              <w:rPr>
                <w:sz w:val="19"/>
              </w:rPr>
              <w:t>actEffort</w:t>
            </w:r>
          </w:p>
        </w:tc>
        <w:tc>
          <w:tcPr>
            <w:tcW w:type="dxa" w:w="1728"/>
            <w:shd w:val="clear" w:color="auto" w:fill="FFFFFF"/>
          </w:tcPr>
          <w:p>
            <w:pPr>
              <w:spacing w:before="60" w:after="60"/>
            </w:pPr>
            <w:r>
              <w:rPr>
                <w:sz w:val="19"/>
              </w:rPr>
              <w:t>number</w:t>
            </w:r>
          </w:p>
        </w:tc>
        <w:tc>
          <w:tcPr>
            <w:tcW w:type="dxa" w:w="4896"/>
            <w:shd w:val="clear" w:color="auto" w:fill="FFFFFF"/>
          </w:tcPr>
          <w:p>
            <w:pPr>
              <w:spacing w:before="60" w:after="60"/>
            </w:pPr>
            <w:r>
              <w:rPr>
                <w:sz w:val="19"/>
              </w:rPr>
              <w:t>Actual logged effort in active effortUnit.</w:t>
            </w:r>
          </w:p>
        </w:tc>
      </w:tr>
      <w:tr>
        <w:tc>
          <w:tcPr>
            <w:tcW w:type="dxa" w:w="2592"/>
            <w:shd w:val="clear" w:color="auto" w:fill="F8F9FA"/>
          </w:tcPr>
          <w:p>
            <w:pPr>
              <w:spacing w:before="60" w:after="60"/>
            </w:pPr>
            <w:r>
              <w:rPr>
                <w:sz w:val="19"/>
              </w:rPr>
              <w:t>baselineEffort</w:t>
            </w:r>
          </w:p>
        </w:tc>
        <w:tc>
          <w:tcPr>
            <w:tcW w:type="dxa" w:w="1728"/>
            <w:shd w:val="clear" w:color="auto" w:fill="F8F9FA"/>
          </w:tcPr>
          <w:p>
            <w:pPr>
              <w:spacing w:before="60" w:after="60"/>
            </w:pPr>
            <w:r>
              <w:rPr>
                <w:sz w:val="19"/>
              </w:rPr>
              <w:t>number</w:t>
            </w:r>
          </w:p>
        </w:tc>
        <w:tc>
          <w:tcPr>
            <w:tcW w:type="dxa" w:w="4896"/>
            <w:shd w:val="clear" w:color="auto" w:fill="F8F9FA"/>
          </w:tcPr>
          <w:p>
            <w:pPr>
              <w:spacing w:before="60" w:after="60"/>
            </w:pPr>
            <w:r>
              <w:rPr>
                <w:sz w:val="19"/>
              </w:rPr>
              <w:t>Baseline effort in active effortUnit.</w:t>
            </w:r>
          </w:p>
        </w:tc>
      </w:tr>
      <w:tr>
        <w:tc>
          <w:tcPr>
            <w:tcW w:type="dxa" w:w="2592"/>
            <w:shd w:val="clear" w:color="auto" w:fill="FFFFFF"/>
          </w:tcPr>
          <w:p>
            <w:pPr>
              <w:spacing w:before="60" w:after="60"/>
            </w:pPr>
            <w:r>
              <w:rPr>
                <w:sz w:val="19"/>
              </w:rPr>
              <w:t>dependsOn</w:t>
            </w:r>
          </w:p>
        </w:tc>
        <w:tc>
          <w:tcPr>
            <w:tcW w:type="dxa" w:w="1728"/>
            <w:shd w:val="clear" w:color="auto" w:fill="FFFFFF"/>
          </w:tcPr>
          <w:p>
            <w:pPr>
              <w:spacing w:before="60" w:after="60"/>
            </w:pPr>
            <w:r>
              <w:rPr>
                <w:sz w:val="19"/>
              </w:rPr>
              <w:t>string[]</w:t>
            </w:r>
          </w:p>
        </w:tc>
        <w:tc>
          <w:tcPr>
            <w:tcW w:type="dxa" w:w="4896"/>
            <w:shd w:val="clear" w:color="auto" w:fill="FFFFFF"/>
          </w:tcPr>
          <w:p>
            <w:pPr>
              <w:spacing w:before="60" w:after="60"/>
            </w:pPr>
            <w:r>
              <w:rPr>
                <w:sz w:val="19"/>
              </w:rPr>
              <w:t>Array of prerequisite Task IDs.</w:t>
            </w:r>
          </w:p>
        </w:tc>
      </w:tr>
      <w:tr>
        <w:tc>
          <w:tcPr>
            <w:tcW w:type="dxa" w:w="2592"/>
            <w:shd w:val="clear" w:color="auto" w:fill="F8F9FA"/>
          </w:tcPr>
          <w:p>
            <w:pPr>
              <w:spacing w:before="60" w:after="60"/>
            </w:pPr>
            <w:r>
              <w:rPr>
                <w:sz w:val="19"/>
              </w:rPr>
              <w:t>notes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Multi-line task description and notes.</w:t>
            </w:r>
          </w:p>
        </w:tc>
      </w:tr>
      <w:tr>
        <w:tc>
          <w:tcPr>
            <w:tcW w:type="dxa" w:w="2592"/>
            <w:shd w:val="clear" w:color="auto" w:fill="FFFFFF"/>
          </w:tcPr>
          <w:p>
            <w:pPr>
              <w:spacing w:before="60" w:after="60"/>
            </w:pPr>
            <w:r>
              <w:rPr>
                <w:sz w:val="19"/>
              </w:rPr>
              <w:t>subtasks</w:t>
            </w:r>
          </w:p>
        </w:tc>
        <w:tc>
          <w:tcPr>
            <w:tcW w:type="dxa" w:w="1728"/>
            <w:shd w:val="clear" w:color="auto" w:fill="FFFFFF"/>
          </w:tcPr>
          <w:p>
            <w:pPr>
              <w:spacing w:before="60" w:after="60"/>
            </w:pPr>
            <w:r>
              <w:rPr>
                <w:sz w:val="19"/>
              </w:rPr>
              <w:t>Subtask[]</w:t>
            </w:r>
          </w:p>
        </w:tc>
        <w:tc>
          <w:tcPr>
            <w:tcW w:type="dxa" w:w="4896"/>
            <w:shd w:val="clear" w:color="auto" w:fill="FFFFFF"/>
          </w:tcPr>
          <w:p>
            <w:pPr>
              <w:spacing w:before="60" w:after="60"/>
            </w:pPr>
            <w:r>
              <w:rPr>
                <w:sz w:val="19"/>
              </w:rPr>
              <w:t>Array of child step/screen items.</w:t>
            </w:r>
          </w:p>
        </w:tc>
      </w:tr>
      <w:tr>
        <w:tc>
          <w:tcPr>
            <w:tcW w:type="dxa" w:w="2592"/>
            <w:shd w:val="clear" w:color="auto" w:fill="F8F9FA"/>
          </w:tcPr>
          <w:p>
            <w:pPr>
              <w:spacing w:before="60" w:after="60"/>
            </w:pPr>
            <w:r>
              <w:rPr>
                <w:sz w:val="19"/>
              </w:rPr>
              <w:t>guiScreens</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Linked GUI screen names.</w:t>
            </w:r>
          </w:p>
        </w:tc>
      </w:tr>
      <w:tr>
        <w:tc>
          <w:tcPr>
            <w:tcW w:type="dxa" w:w="2592"/>
            <w:shd w:val="clear" w:color="auto" w:fill="FFFFFF"/>
          </w:tcPr>
          <w:p>
            <w:pPr>
              <w:spacing w:before="60" w:after="60"/>
            </w:pPr>
            <w:r>
              <w:rPr>
                <w:sz w:val="19"/>
              </w:rPr>
              <w:t>updatedAt</w:t>
            </w:r>
          </w:p>
        </w:tc>
        <w:tc>
          <w:tcPr>
            <w:tcW w:type="dxa" w:w="1728"/>
            <w:shd w:val="clear" w:color="auto" w:fill="FFFFFF"/>
          </w:tcPr>
          <w:p>
            <w:pPr>
              <w:spacing w:before="60" w:after="60"/>
            </w:pPr>
            <w:r>
              <w:rPr>
                <w:sz w:val="19"/>
              </w:rPr>
              <w:t>ISO 8601</w:t>
            </w:r>
          </w:p>
        </w:tc>
        <w:tc>
          <w:tcPr>
            <w:tcW w:type="dxa" w:w="4896"/>
            <w:shd w:val="clear" w:color="auto" w:fill="FFFFFF"/>
          </w:tcPr>
          <w:p>
            <w:pPr>
              <w:spacing w:before="60" w:after="60"/>
            </w:pPr>
            <w:r>
              <w:rPr>
                <w:sz w:val="19"/>
              </w:rPr>
              <w:t>Timestamp of last modification.</w:t>
            </w:r>
          </w:p>
        </w:tc>
      </w:tr>
      <w:tr>
        <w:tc>
          <w:tcPr>
            <w:tcW w:type="dxa" w:w="2592"/>
            <w:shd w:val="clear" w:color="auto" w:fill="F8F9FA"/>
          </w:tcPr>
          <w:p>
            <w:pPr>
              <w:spacing w:before="60" w:after="60"/>
            </w:pPr>
            <w:r>
              <w:rPr>
                <w:sz w:val="19"/>
              </w:rPr>
              <w:t>parentId</w:t>
            </w:r>
          </w:p>
        </w:tc>
        <w:tc>
          <w:tcPr>
            <w:tcW w:type="dxa" w:w="1728"/>
            <w:shd w:val="clear" w:color="auto" w:fill="F8F9FA"/>
          </w:tcPr>
          <w:p>
            <w:pPr>
              <w:spacing w:before="60" w:after="60"/>
            </w:pPr>
            <w:r>
              <w:rPr>
                <w:sz w:val="19"/>
              </w:rPr>
              <w:t>string</w:t>
            </w:r>
          </w:p>
        </w:tc>
        <w:tc>
          <w:tcPr>
            <w:tcW w:type="dxa" w:w="4896"/>
            <w:shd w:val="clear" w:color="auto" w:fill="F8F9FA"/>
          </w:tcPr>
          <w:p>
            <w:pPr>
              <w:spacing w:before="60" w:after="60"/>
            </w:pPr>
            <w:r>
              <w:rPr>
                <w:sz w:val="19"/>
              </w:rPr>
              <w:t>Parent task ID for sub-rows (empty string for root tasks).</w:t>
            </w:r>
          </w:p>
        </w:tc>
      </w:tr>
    </w:tbl>
    <w:p>
      <w:pPr>
        <w:spacing w:after="120"/>
      </w:pPr>
    </w:p>
    <w:p>
      <w:pPr>
        <w:pStyle w:val="Heading2"/>
        <w:spacing w:before="360" w:after="120"/>
      </w:pPr>
      <w:r>
        <w:rPr>
          <w:color w:val="1E9ED5"/>
        </w:rPr>
        <w:t>B.2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Field</w:t>
            </w:r>
          </w:p>
        </w:tc>
        <w:tc>
          <w:tcPr>
            <w:tcW w:type="dxa" w:w="1440"/>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(e.g., DEF-001). Auto-generated.</w:t>
            </w:r>
          </w:p>
        </w:tc>
      </w:tr>
      <w:tr>
        <w:tc>
          <w:tcPr>
            <w:tcW w:type="dxa" w:w="2160"/>
            <w:shd w:val="clear" w:color="auto" w:fill="FFFFFF"/>
          </w:tcPr>
          <w:p>
            <w:pPr>
              <w:spacing w:before="60" w:after="60"/>
            </w:pPr>
            <w:r>
              <w:rPr>
                <w:sz w:val="19"/>
              </w:rPr>
              <w:t>title</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Defect title. Required.</w:t>
            </w:r>
          </w:p>
        </w:tc>
      </w:tr>
      <w:tr>
        <w:tc>
          <w:tcPr>
            <w:tcW w:type="dxa" w:w="2160"/>
            <w:shd w:val="clear" w:color="auto" w:fill="F8F9FA"/>
          </w:tcPr>
          <w:p>
            <w:pPr>
              <w:spacing w:before="60" w:after="60"/>
            </w:pPr>
            <w:r>
              <w:rPr>
                <w:sz w:val="19"/>
              </w:rPr>
              <w:t>type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Functional Bug / UI/UX Issue / Performance / Security / Data Issue / Suggestion.</w:t>
            </w:r>
          </w:p>
        </w:tc>
      </w:tr>
      <w:tr>
        <w:tc>
          <w:tcPr>
            <w:tcW w:type="dxa" w:w="2160"/>
            <w:shd w:val="clear" w:color="auto" w:fill="FFFFFF"/>
          </w:tcPr>
          <w:p>
            <w:pPr>
              <w:spacing w:before="60" w:after="60"/>
            </w:pPr>
            <w:r>
              <w:rPr>
                <w:sz w:val="19"/>
              </w:rPr>
              <w:t>severity</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S1 Blocker / S2 High / S3 Medium / S4 Low.</w:t>
            </w:r>
          </w:p>
        </w:tc>
      </w:tr>
      <w:tr>
        <w:tc>
          <w:tcPr>
            <w:tcW w:type="dxa" w:w="2160"/>
            <w:shd w:val="clear" w:color="auto" w:fill="F8F9FA"/>
          </w:tcPr>
          <w:p>
            <w:pPr>
              <w:spacing w:before="60" w:after="60"/>
            </w:pPr>
            <w:r>
              <w:rPr>
                <w:sz w:val="19"/>
              </w:rPr>
              <w:t>priority</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Critical / High / Medium / Low.</w:t>
            </w:r>
          </w:p>
        </w:tc>
      </w:tr>
      <w:tr>
        <w:tc>
          <w:tcPr>
            <w:tcW w:type="dxa" w:w="2160"/>
            <w:shd w:val="clear" w:color="auto" w:fill="FFFFFF"/>
          </w:tcPr>
          <w:p>
            <w:pPr>
              <w:spacing w:before="60" w:after="60"/>
            </w:pPr>
            <w:r>
              <w:rPr>
                <w:sz w:val="19"/>
              </w:rPr>
              <w:t>status</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New / Assigned / Fixed / Retest / Closed / Rejected / Deferred.</w:t>
            </w:r>
          </w:p>
        </w:tc>
      </w:tr>
      <w:tr>
        <w:tc>
          <w:tcPr>
            <w:tcW w:type="dxa" w:w="2160"/>
            <w:shd w:val="clear" w:color="auto" w:fill="F8F9FA"/>
          </w:tcPr>
          <w:p>
            <w:pPr>
              <w:spacing w:before="60" w:after="60"/>
            </w:pPr>
            <w:r>
              <w:rPr>
                <w:sz w:val="19"/>
              </w:rPr>
              <w:t>linkedType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task / subtask / screen — type of linked entity.</w:t>
            </w:r>
          </w:p>
        </w:tc>
      </w:tr>
      <w:tr>
        <w:tc>
          <w:tcPr>
            <w:tcW w:type="dxa" w:w="2160"/>
            <w:shd w:val="clear" w:color="auto" w:fill="FFFFFF"/>
          </w:tcPr>
          <w:p>
            <w:pPr>
              <w:spacing w:before="60" w:after="60"/>
            </w:pPr>
            <w:r>
              <w:rPr>
                <w:sz w:val="19"/>
              </w:rPr>
              <w:t>linkedId</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ID of the linked task, subtask, or screen.</w:t>
            </w:r>
          </w:p>
        </w:tc>
      </w:tr>
      <w:tr>
        <w:tc>
          <w:tcPr>
            <w:tcW w:type="dxa" w:w="2160"/>
            <w:shd w:val="clear" w:color="auto" w:fill="F8F9FA"/>
          </w:tcPr>
          <w:p>
            <w:pPr>
              <w:spacing w:before="60" w:after="60"/>
            </w:pPr>
            <w:r>
              <w:rPr>
                <w:sz w:val="19"/>
              </w:rPr>
              <w:t>assignee</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Developer assigned to fix.</w:t>
            </w:r>
          </w:p>
        </w:tc>
      </w:tr>
      <w:tr>
        <w:tc>
          <w:tcPr>
            <w:tcW w:type="dxa" w:w="2160"/>
            <w:shd w:val="clear" w:color="auto" w:fill="FFFFFF"/>
          </w:tcPr>
          <w:p>
            <w:pPr>
              <w:spacing w:before="60" w:after="60"/>
            </w:pPr>
            <w:r>
              <w:rPr>
                <w:sz w:val="19"/>
              </w:rPr>
              <w:t>reporter</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Person who logged the defect.</w:t>
            </w:r>
          </w:p>
        </w:tc>
      </w:tr>
      <w:tr>
        <w:tc>
          <w:tcPr>
            <w:tcW w:type="dxa" w:w="2160"/>
            <w:shd w:val="clear" w:color="auto" w:fill="F8F9FA"/>
          </w:tcPr>
          <w:p>
            <w:pPr>
              <w:spacing w:before="60" w:after="60"/>
            </w:pPr>
            <w:r>
              <w:rPr>
                <w:sz w:val="19"/>
              </w:rPr>
              <w:t>desc</w:t>
            </w:r>
          </w:p>
        </w:tc>
        <w:tc>
          <w:tcPr>
            <w:tcW w:type="dxa" w:w="1440"/>
            <w:shd w:val="clear" w:color="auto" w:fill="F8F9FA"/>
          </w:tcPr>
          <w:p>
            <w:pPr>
              <w:spacing w:before="60" w:after="60"/>
            </w:pPr>
            <w:r>
              <w:rPr>
                <w:sz w:val="19"/>
              </w:rPr>
              <w:t>string</w:t>
            </w:r>
          </w:p>
        </w:tc>
        <w:tc>
          <w:tcPr>
            <w:tcW w:type="dxa" w:w="5616"/>
            <w:shd w:val="clear" w:color="auto" w:fill="F8F9FA"/>
          </w:tcPr>
          <w:p>
            <w:pPr>
              <w:spacing w:before="60" w:after="60"/>
            </w:pPr>
            <w:r>
              <w:rPr>
                <w:sz w:val="19"/>
              </w:rPr>
              <w:t>Full defect description.</w:t>
            </w:r>
          </w:p>
        </w:tc>
      </w:tr>
      <w:tr>
        <w:tc>
          <w:tcPr>
            <w:tcW w:type="dxa" w:w="2160"/>
            <w:shd w:val="clear" w:color="auto" w:fill="FFFFFF"/>
          </w:tcPr>
          <w:p>
            <w:pPr>
              <w:spacing w:before="60" w:after="60"/>
            </w:pPr>
            <w:r>
              <w:rPr>
                <w:sz w:val="19"/>
              </w:rPr>
              <w:t>steps</w:t>
            </w:r>
          </w:p>
        </w:tc>
        <w:tc>
          <w:tcPr>
            <w:tcW w:type="dxa" w:w="1440"/>
            <w:shd w:val="clear" w:color="auto" w:fill="FFFFFF"/>
          </w:tcPr>
          <w:p>
            <w:pPr>
              <w:spacing w:before="60" w:after="60"/>
            </w:pPr>
            <w:r>
              <w:rPr>
                <w:sz w:val="19"/>
              </w:rPr>
              <w:t>string</w:t>
            </w:r>
          </w:p>
        </w:tc>
        <w:tc>
          <w:tcPr>
            <w:tcW w:type="dxa" w:w="5616"/>
            <w:shd w:val="clear" w:color="auto" w:fill="FFFFFF"/>
          </w:tcPr>
          <w:p>
            <w:pPr>
              <w:spacing w:before="60" w:after="60"/>
            </w:pPr>
            <w:r>
              <w:rPr>
                <w:sz w:val="19"/>
              </w:rPr>
              <w:t>Step-by-step reproduction instructions.</w:t>
            </w:r>
          </w:p>
        </w:tc>
      </w:tr>
    </w:tbl>
    <w:p>
      <w:pPr>
        <w:spacing w:after="120"/>
      </w:pP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