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Category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93c47d" w:val="clear"/>
          <w:rtl w:val="0"/>
        </w:rPr>
        <w:t xml:space="preserve">1. Bank of india:</w:t>
      </w:r>
      <w:r w:rsidDel="00000000" w:rsidR="00000000" w:rsidRPr="00000000">
        <w:rPr>
          <w:sz w:val="28"/>
          <w:szCs w:val="28"/>
          <w:rtl w:val="0"/>
        </w:rPr>
        <w:t xml:space="preserve"> 2018, 2.8k, 0.71, look handsome in 7y, had set back in covid ,but recovering well and mostly beating index ( not as previous corno but atleast beating )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041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78400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749800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197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38761d" w:val="clear"/>
          <w:rtl w:val="0"/>
        </w:rPr>
        <w:t xml:space="preserve">2. Edelweiss: 6.8k</w:t>
      </w:r>
      <w:r w:rsidDel="00000000" w:rsidR="00000000" w:rsidRPr="00000000">
        <w:rPr>
          <w:sz w:val="28"/>
          <w:szCs w:val="28"/>
          <w:rtl w:val="0"/>
        </w:rPr>
        <w:t xml:space="preserve">, 2019, 0.66 , consider this looks good, -35.87, also git at corono recovering just touching and beating 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092700"/>
            <wp:effectExtent b="0" l="0" r="0" t="0"/>
            <wp:docPr id="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45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041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1054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080000"/>
            <wp:effectExtent b="0" l="0" r="0" t="0"/>
            <wp:docPr id="5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38761d" w:val="clear"/>
          <w:rtl w:val="0"/>
        </w:rPr>
        <w:t xml:space="preserve">3. Invesco:</w:t>
      </w:r>
      <w:r w:rsidDel="00000000" w:rsidR="00000000" w:rsidRPr="00000000">
        <w:rPr>
          <w:sz w:val="28"/>
          <w:szCs w:val="28"/>
          <w:rtl w:val="0"/>
        </w:rPr>
        <w:t xml:space="preserve"> 14.5k , 0.63, 2018 7y handome, 5y handomlyy survied cornoa, -36.75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384800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91100"/>
            <wp:effectExtent b="0" l="0" r="0" t="0"/>
            <wp:docPr id="5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53000"/>
            <wp:effectExtent b="0" l="0" r="0" t="0"/>
            <wp:docPr id="4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14350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1689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4. Mahindra Manulife:</w:t>
      </w:r>
      <w:r w:rsidDel="00000000" w:rsidR="00000000" w:rsidRPr="00000000">
        <w:rPr>
          <w:sz w:val="28"/>
          <w:szCs w:val="28"/>
          <w:rtl w:val="0"/>
        </w:rPr>
        <w:t xml:space="preserve"> 3y old, 5k, 0.92 , not sur ehow it came int his category but in last 3 year which is his all time , good perform not below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40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8006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6aa84f" w:val="clear"/>
          <w:rtl w:val="0"/>
        </w:rPr>
        <w:t xml:space="preserve">5. Nippon India</w:t>
      </w:r>
      <w:r w:rsidDel="00000000" w:rsidR="00000000" w:rsidRPr="00000000">
        <w:rPr>
          <w:sz w:val="28"/>
          <w:szCs w:val="28"/>
          <w:rtl w:val="0"/>
        </w:rPr>
        <w:t xml:space="preserve">:  </w:t>
      </w:r>
      <w:r w:rsidDel="00000000" w:rsidR="00000000" w:rsidRPr="00000000">
        <w:rPr>
          <w:sz w:val="28"/>
          <w:szCs w:val="28"/>
          <w:highlight w:val="red"/>
          <w:rtl w:val="0"/>
        </w:rPr>
        <w:t xml:space="preserve">79k </w:t>
      </w:r>
      <w:r w:rsidDel="00000000" w:rsidR="00000000" w:rsidRPr="00000000">
        <w:rPr>
          <w:sz w:val="28"/>
          <w:szCs w:val="28"/>
          <w:rtl w:val="0"/>
        </w:rPr>
        <w:t xml:space="preserve">2013, 0.69 , survived cornoa handomely, last 2-3y seem started touching index. not sure about future right now looked good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8768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321300"/>
            <wp:effectExtent b="0" l="0" r="0" t="0"/>
            <wp:docPr id="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0927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3848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78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05460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some fund are working, great, like got hit in corana but recover quickly. 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Final: 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  <w:shd w:fill="d9ead3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d9ead3" w:val="clear"/>
          <w:rtl w:val="0"/>
        </w:rPr>
        <w:t xml:space="preserve">- nippon. ( no sure about large AUM )  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shd w:fill="d9ead3" w:val="clear"/>
          <w:rtl w:val="0"/>
        </w:rPr>
        <w:t xml:space="preserve">- invesco ( last 2-3 ) </w:t>
        <w:br w:type="textWrapping"/>
        <w:t xml:space="preserve">- bandhan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edeilsesis, consistent performance ( except last 3-4 ) </w:t>
        <w:br w:type="textWrapping"/>
        <w:t xml:space="preserve">observation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motilal small cap -&gt; v new</w:t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mirae small cap -&gt;  v new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quant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hsbc</w:t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dsp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7084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75920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051300"/>
            <wp:effectExtent b="0" l="0" r="0" t="0"/>
            <wp:docPr id="4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midcap150 tri 1month</w:t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5003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midcap 150 tri , 20y, 1 month rolling average, negative distribution via python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552700"/>
            <wp:effectExtent b="0" l="0" r="0" t="0"/>
            <wp:docPr id="4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9784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250 SMALL CAP , percentage wise negative last 20Y: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1892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50165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Nifty 50 tri last 20y, every month rolling average negative distribution by python script ( dumped above as json  ) </w:t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7686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457700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1765300"/>
            <wp:effectExtent b="0" l="0" r="0" t="0"/>
            <wp:docPr id="3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810000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Better negative probability in lsat 20 year ( 2005 - 2026 ( 1 month ) , 2025 ( 1 year ) . with 3100 data points, mean around 50% days data poinuts. </w:t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5321300"/>
            <wp:effectExtent b="0" l="0" r="0" t="0"/>
            <wp:docPr id="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7150100"/>
            <wp:effectExtent b="0" l="0" r="0" t="0"/>
            <wp:docPr id="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5778500"/>
            <wp:effectExtent b="0" l="0" r="0" t="0"/>
            <wp:docPr id="1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800600"/>
            <wp:effectExtent b="0" l="0" r="0" t="0"/>
            <wp:docPr id="1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Small Cap: 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0513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683000"/>
            <wp:effectExtent b="0" l="0" r="0" t="0"/>
            <wp:docPr id="2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619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Overall decision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Keep 10% portfolio allocation to small caps for now; may increase after gaining more experience.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Prefer active funds over a small-cap index for now. Reason: small-cap universe is riskier, 100% equity, and a formula-based index may not work as well here.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Small caps are very volatile and can take longer to recover. In the 2008 crash, Nifty Small-cap 250 TRI fell ~76% vs ~61% for Nifty 100.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- 2–3 small-cap funds feels like the sweet spot: not concentrated in one manager/fund, but also not over-diversified.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Regularly compare each fund against its benchmark/index and keep observing performance.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Important mental preparation: check how much each fund/index has fallen historically, so a future large drawdown isn't a surprise.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9mcelv7bvo0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Nippon India Small Cap  ( 15k )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 chose it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25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fund / experienced through multiple market cycles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 seen more ups and downs than many newer small-cap funds.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Samir Rach</w:t>
      </w:r>
      <w:r w:rsidDel="00000000" w:rsidR="00000000" w:rsidRPr="00000000">
        <w:rPr>
          <w:rtl w:val="0"/>
        </w:rPr>
        <w:t xml:space="preserve"> has been associated with the fund since </w:t>
      </w:r>
      <w:r w:rsidDel="00000000" w:rsidR="00000000" w:rsidRPr="00000000">
        <w:rPr>
          <w:b w:val="1"/>
          <w:bCs w:val="1"/>
          <w:rtl w:val="0"/>
        </w:rPr>
        <w:t xml:space="preserve">2017</w:t>
      </w:r>
      <w:r w:rsidDel="00000000" w:rsidR="00000000" w:rsidRPr="00000000">
        <w:rPr>
          <w:rtl w:val="0"/>
        </w:rPr>
        <w:t xml:space="preserve"> (and earlier experience from 2013).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philosophy: </w:t>
      </w:r>
      <w:r w:rsidDel="00000000" w:rsidR="00000000" w:rsidRPr="00000000">
        <w:rPr>
          <w:b w:val="1"/>
          <w:bCs w:val="1"/>
          <w:rtl w:val="0"/>
        </w:rPr>
        <w:t xml:space="preserve">GARP</w:t>
      </w:r>
      <w:r w:rsidDel="00000000" w:rsidR="00000000" w:rsidRPr="00000000">
        <w:rPr>
          <w:rtl w:val="0"/>
        </w:rPr>
        <w:t xml:space="preserve">.( size, quality, valuation ) + bottompu + diversified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AUM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initially viewed this positively for liquidity/reliability, although I still have some concern about whether the AUM has become </w:t>
      </w:r>
      <w:r w:rsidDel="00000000" w:rsidR="00000000" w:rsidRPr="00000000">
        <w:rPr>
          <w:i w:val="1"/>
          <w:iCs w:val="1"/>
          <w:rtl w:val="0"/>
        </w:rPr>
        <w:t xml:space="preserve">too</w:t>
      </w:r>
      <w:r w:rsidDel="00000000" w:rsidR="00000000" w:rsidRPr="00000000">
        <w:rPr>
          <w:rtl w:val="0"/>
        </w:rPr>
        <w:t xml:space="preserve"> large for a small-cap fund.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worked well over a long period and has already demonstrated behaviour through difficult markets.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between allocation small 70%. </w:t>
      </w: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thinking: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I'm going to take small-cap risk, I want at least one fund that has a long history and has already survived different market environments.”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u0q35i1d9lb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Bandhan Small Cap ( 15k )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 chose it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by </w:t>
      </w:r>
      <w:r w:rsidDel="00000000" w:rsidR="00000000" w:rsidRPr="00000000">
        <w:rPr>
          <w:b w:val="1"/>
          <w:bCs w:val="1"/>
          <w:rtl w:val="0"/>
        </w:rPr>
        <w:t xml:space="preserve">Manish Gunwani</w:t>
      </w:r>
      <w:r w:rsidDel="00000000" w:rsidR="00000000" w:rsidRPr="00000000">
        <w:rPr>
          <w:rtl w:val="0"/>
        </w:rPr>
        <w:t xml:space="preserve"> since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  <w:t xml:space="preserve"> (with relevant experience since 2020).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</w:t>
      </w:r>
      <w:r w:rsidDel="00000000" w:rsidR="00000000" w:rsidRPr="00000000">
        <w:rPr>
          <w:b w:val="1"/>
          <w:bCs w:val="1"/>
          <w:rtl w:val="0"/>
        </w:rPr>
        <w:t xml:space="preserve">3-year horizon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strategy is similar to </w:t>
      </w:r>
      <w:r w:rsidDel="00000000" w:rsidR="00000000" w:rsidRPr="00000000">
        <w:rPr>
          <w:b w:val="1"/>
          <w:bCs w:val="1"/>
          <w:rtl w:val="0"/>
        </w:rPr>
        <w:t xml:space="preserve">GARP (Growth at Reasonable valuation)</w:t>
      </w:r>
      <w:r w:rsidDel="00000000" w:rsidR="00000000" w:rsidRPr="00000000">
        <w:rPr>
          <w:rtl w:val="0"/>
        </w:rPr>
        <w:t xml:space="preserve">.  + bottom up. + diversified + find and invest below 500 companies also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me another active manager/fund instead of putting everything into Nippon.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only around </w:t>
      </w:r>
      <w:r w:rsidDel="00000000" w:rsidR="00000000" w:rsidRPr="00000000">
        <w:rPr>
          <w:b w:val="1"/>
          <w:bCs w:val="1"/>
          <w:rtl w:val="0"/>
        </w:rPr>
        <w:t xml:space="preserve">16% overlap with Nippon</w:t>
      </w:r>
      <w:r w:rsidDel="00000000" w:rsidR="00000000" w:rsidRPr="00000000">
        <w:rPr>
          <w:rtl w:val="0"/>
        </w:rPr>
        <w:t xml:space="preserve">, so it adds some diversification rather than simply buying the same portfolio twice. Its blend also find form out fact sheet</w:t>
      </w: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is </w:t>
      </w:r>
      <w:r w:rsidDel="00000000" w:rsidR="00000000" w:rsidRPr="00000000">
        <w:rPr>
          <w:b w:val="1"/>
          <w:bCs w:val="1"/>
          <w:rtl w:val="0"/>
        </w:rPr>
        <w:t xml:space="preserve">BSE</w:t>
      </w:r>
      <w:r w:rsidDel="00000000" w:rsidR="00000000" w:rsidRPr="00000000">
        <w:rPr>
          <w:rtl w:val="0"/>
        </w:rPr>
        <w:t xml:space="preserve">. why its blend. Idea is not to buy and hold for longer time. ( that why high diversified portfolio goodcash )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the high allocation of small cap 82%. </w:t>
      </w: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6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was initially leaning toward </w:t>
      </w:r>
      <w:r w:rsidDel="00000000" w:rsidR="00000000" w:rsidRPr="00000000">
        <w:rPr>
          <w:b w:val="1"/>
          <w:bCs w:val="1"/>
          <w:rtl w:val="0"/>
        </w:rPr>
        <w:t xml:space="preserve">Nippon + Bandhan</w:t>
      </w:r>
      <w:r w:rsidDel="00000000" w:rsidR="00000000" w:rsidRPr="00000000">
        <w:rPr>
          <w:rtl w:val="0"/>
        </w:rPr>
        <w:t xml:space="preserve"> as the simpler combination.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2-year performance wasn't impressive (~5%), but I'm not selecting it purely based on the recent return.</w:t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thinking: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don't want my entire small-cap allocation dependent on Nippon. Bandhan gives me another active manager with relatively limited overlap.”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00elzqlad5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Invesco India Small Cap — Growth/style diversification bet ( 15k 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 chose it , ( health care heavy since other are not that much + concentration give different idea, growth +value both. good fund manager, 3 is good number to have for small call for long term.  )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 management associated with </w:t>
      </w:r>
      <w:r w:rsidDel="00000000" w:rsidR="00000000" w:rsidRPr="00000000">
        <w:rPr>
          <w:b w:val="1"/>
          <w:bCs w:val="1"/>
          <w:rtl w:val="0"/>
        </w:rPr>
        <w:t xml:space="preserve">Taher Badshah / Aditya Khemni</w:t>
      </w:r>
      <w:r w:rsidDel="00000000" w:rsidR="00000000" w:rsidRPr="00000000">
        <w:rPr>
          <w:rtl w:val="0"/>
        </w:rPr>
        <w:t xml:space="preserve"> since around </w:t>
      </w:r>
      <w:r w:rsidDel="00000000" w:rsidR="00000000" w:rsidRPr="00000000">
        <w:rPr>
          <w:b w:val="1"/>
          <w:bCs w:val="1"/>
          <w:rtl w:val="0"/>
        </w:rPr>
        <w:t xml:space="preserve">2018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</w:t>
      </w:r>
      <w:r w:rsidDel="00000000" w:rsidR="00000000" w:rsidRPr="00000000">
        <w:rPr>
          <w:b w:val="1"/>
          <w:bCs w:val="1"/>
          <w:rtl w:val="0"/>
        </w:rPr>
        <w:t xml:space="preserve">growth-biased + bottom-up</w:t>
      </w:r>
      <w:r w:rsidDel="00000000" w:rsidR="00000000" w:rsidRPr="00000000">
        <w:rPr>
          <w:rtl w:val="0"/>
        </w:rPr>
        <w:t xml:space="preserve"> approach.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a largely </w:t>
      </w:r>
      <w:r w:rsidDel="00000000" w:rsidR="00000000" w:rsidRPr="00000000">
        <w:rPr>
          <w:b w:val="1"/>
          <w:bCs w:val="1"/>
          <w:rtl w:val="0"/>
        </w:rPr>
        <w:t xml:space="preserve">fully invested</w:t>
      </w:r>
      <w:r w:rsidDel="00000000" w:rsidR="00000000" w:rsidRPr="00000000">
        <w:rPr>
          <w:rtl w:val="0"/>
        </w:rPr>
        <w:t xml:space="preserve"> approach (~95% equity), rather than holding significant cash. ( might have liquidity concern )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Research/presentation was particularly useful because it gives more detail about the portfolio and investment approach.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appears more </w:t>
      </w:r>
      <w:r w:rsidDel="00000000" w:rsidR="00000000" w:rsidRPr="00000000">
        <w:rPr>
          <w:b w:val="1"/>
          <w:bCs w:val="1"/>
          <w:rtl w:val="0"/>
        </w:rPr>
        <w:t xml:space="preserve">growth-oriented</w:t>
      </w:r>
      <w:r w:rsidDel="00000000" w:rsidR="00000000" w:rsidRPr="00000000">
        <w:rPr>
          <w:rtl w:val="0"/>
        </w:rPr>
        <w:t xml:space="preserve">, with roughly </w:t>
      </w:r>
      <w:r w:rsidDel="00000000" w:rsidR="00000000" w:rsidRPr="00000000">
        <w:rPr>
          <w:b w:val="1"/>
          <w:bCs w:val="1"/>
          <w:rtl w:val="0"/>
        </w:rPr>
        <w:t xml:space="preserve">60% growth / 40% value</w:t>
      </w:r>
      <w:r w:rsidDel="00000000" w:rsidR="00000000" w:rsidRPr="00000000">
        <w:rPr>
          <w:rtl w:val="0"/>
        </w:rPr>
        <w:t xml:space="preserve"> in the presentation I looked at.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P/E than Nippon/Bandhan → reinforces that this is the more </w:t>
      </w:r>
      <w:r w:rsidDel="00000000" w:rsidR="00000000" w:rsidRPr="00000000">
        <w:rPr>
          <w:b w:val="1"/>
          <w:bCs w:val="1"/>
          <w:rtl w:val="0"/>
        </w:rPr>
        <w:t xml:space="preserve">growth-biased</w:t>
      </w:r>
      <w:r w:rsidDel="00000000" w:rsidR="00000000" w:rsidRPr="00000000">
        <w:rPr>
          <w:rtl w:val="0"/>
        </w:rPr>
        <w:t xml:space="preserve"> bet.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concentrated</w:t>
      </w:r>
      <w:r w:rsidDel="00000000" w:rsidR="00000000" w:rsidRPr="00000000">
        <w:rPr>
          <w:rtl w:val="0"/>
        </w:rPr>
        <w:t xml:space="preserve">: top 20 stocks were around </w:t>
      </w:r>
      <w:r w:rsidDel="00000000" w:rsidR="00000000" w:rsidRPr="00000000">
        <w:rPr>
          <w:b w:val="1"/>
          <w:bCs w:val="1"/>
          <w:rtl w:val="0"/>
        </w:rPr>
        <w:t xml:space="preserve">57%</w:t>
      </w:r>
      <w:r w:rsidDel="00000000" w:rsidR="00000000" w:rsidRPr="00000000">
        <w:rPr>
          <w:rtl w:val="0"/>
        </w:rPr>
        <w:t xml:space="preserve">, compared with a much broader small-cap index universe.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 its performance has improved relative to Nippon, although historically it often didn't perform as well as Nippon.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have a </w:t>
      </w:r>
      <w:r w:rsidDel="00000000" w:rsidR="00000000" w:rsidRPr="00000000">
        <w:rPr>
          <w:b w:val="1"/>
          <w:bCs w:val="1"/>
          <w:rtl w:val="0"/>
        </w:rPr>
        <w:t xml:space="preserve">gut feeling it could fall more in the future</w:t>
      </w:r>
      <w:r w:rsidDel="00000000" w:rsidR="00000000" w:rsidRPr="00000000">
        <w:rPr>
          <w:rtl w:val="0"/>
        </w:rPr>
        <w:t xml:space="preserve">, so I don't want to make it the largest allocation.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healthcare exposure is notably higher tha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the other funds, while Nippon also has some sector exposure that differs significantly → gives some diversification. ( + point because other are not  )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Seems more focused on long growth perspective ( by and hold 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saver , since only 60% small cap allocation, other 30:10 to mid and large, similar to canara ( 63, 27,13 )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reason for including it: </w:t>
      </w:r>
      <w:r w:rsidDel="00000000" w:rsidR="00000000" w:rsidRPr="00000000">
        <w:rPr>
          <w:b w:val="1"/>
          <w:bCs w:val="1"/>
          <w:rtl w:val="0"/>
        </w:rPr>
        <w:t xml:space="preserve">strong fund-management/team thesis + different portfolio/style</w:t>
      </w:r>
      <w:r w:rsidDel="00000000" w:rsidR="00000000" w:rsidRPr="00000000">
        <w:rPr>
          <w:rtl w:val="0"/>
        </w:rPr>
        <w:t xml:space="preserve">, not simply because of recent returns.</w:t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616700"/>
            <wp:effectExtent b="0" l="0" r="0" t="0"/>
            <wp:docPr id="3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thinking: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the fund I'm least certain about, but it gives me another investment style and manager. Keep it smaller and observe.”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note , just make sur it's not only growth oriented or value. ( good diversity value, grown ,quality ( i think same as growth ),  momentum etc ) since these are cyclic based . its way to have good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large AUM impact on small cap: https://www.valueresearchonline.com/stories/228712/why-large-small-cap-funds-lose-alpha-as-aum-grows/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Midcap Cap: </w:t>
      </w:r>
    </w:p>
    <w:p w:rsidR="00000000" w:rsidDel="00000000" w:rsidP="00000000" w:rsidRDefault="00000000" w:rsidRPr="00000000" w14:paraId="0000007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695700"/>
            <wp:effectExtent b="0" l="0" r="0" t="0"/>
            <wp:docPr id="5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rsbmy9f0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Edelweiss Mid Cap ( 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 chose it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Old fund with ~19 years of history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started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2007</w:t>
      </w:r>
      <w:r w:rsidDel="00000000" w:rsidR="00000000" w:rsidRPr="00000000">
        <w:rPr>
          <w:sz w:val="28"/>
          <w:szCs w:val="28"/>
          <w:rtl w:val="0"/>
        </w:rPr>
        <w:t xml:space="preserve">, so this is not a new/untested mid-cap fund.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experienced multiple market environments, although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current manager hasn't been there for the entire history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Trideep Bhattacharya</w:t>
      </w:r>
      <w:r w:rsidDel="00000000" w:rsidR="00000000" w:rsidRPr="00000000">
        <w:rPr>
          <w:sz w:val="28"/>
          <w:szCs w:val="28"/>
          <w:rtl w:val="0"/>
        </w:rPr>
        <w:t xml:space="preserve"> has managed the fund since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2021</w:t>
      </w:r>
      <w:r w:rsidDel="00000000" w:rsidR="00000000" w:rsidRPr="00000000">
        <w:rPr>
          <w:sz w:val="28"/>
          <w:szCs w:val="28"/>
          <w:rtl w:val="0"/>
        </w:rPr>
        <w:t xml:space="preserve"> and has substantial prior equity-investing experience; Dhruv Bhatia and Raj Koradia are also part of the current management team.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Investment philosophy is particularly interesting because Edelweiss uses its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FAIR framework</w:t>
      </w:r>
      <w:r w:rsidDel="00000000" w:rsidR="00000000" w:rsidRPr="00000000">
        <w:rPr>
          <w:sz w:val="28"/>
          <w:szCs w:val="28"/>
          <w:rtl w:val="0"/>
        </w:rPr>
        <w:t xml:space="preserve"> and is deliberately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 biased toward pure value or pure growth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971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“FAIR” investment framework helps in identifying robust and clean businesses available at acceptable prices without being bias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76300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ed toward either of the investing styles.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https://www.edelweissmf.com/Files/MF/Downloads/Product_Collateral/Presentation/Edelweiss_Mid_Cap_Fund_Presentation__August_2026_31082026180204.pdf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Beat the hdfc consistency see SS above.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Presentation well maintained and detailed ( 50+ page ), approached is defined properly. ( invesco has good ( 30 page ) , hdfc ,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fundamental/forensic approach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looks at business quality, financial robustness, governance/accounting and valuation.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Very diversified portfolio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roughly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90–100 stocks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Top 10 is only around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22%</w:t>
      </w:r>
      <w:r w:rsidDel="00000000" w:rsidR="00000000" w:rsidRPr="00000000">
        <w:rPr>
          <w:sz w:val="28"/>
          <w:szCs w:val="28"/>
          <w:rtl w:val="0"/>
        </w:rPr>
        <w:t xml:space="preserve">, substantially lower than Invesco and lower than HDFC.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Much smaller AUM (~₹20k crore)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than HDFC → potentially easier to deploy across mid-caps without needing to become excessively large-cap oriented.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produced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strong long-term alpha and SIP returns</w:t>
      </w:r>
      <w:r w:rsidDel="00000000" w:rsidR="00000000" w:rsidRPr="00000000">
        <w:rPr>
          <w:sz w:val="28"/>
          <w:szCs w:val="28"/>
          <w:rtl w:val="0"/>
        </w:rPr>
        <w:t xml:space="preserve">, not just a recent performance spike.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Gives me a different portfolio construction from HDFC: HDFC is diversified, but Edelweiss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 broader and less dependent on its top holdings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 don't consider it a pure value or pure growth fund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style-flexible fundamental investing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50% overlap with midcap index fund.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115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Allocation: 15k / 45k = 33% of my mid-cap allocation.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thinking: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“Edelweiss gives me a smaller-AUM, much broader portfolio and a style-agnostic approach.”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4.png"/><Relationship Id="rId42" Type="http://schemas.openxmlformats.org/officeDocument/2006/relationships/image" Target="media/image59.png"/><Relationship Id="rId41" Type="http://schemas.openxmlformats.org/officeDocument/2006/relationships/image" Target="media/image53.png"/><Relationship Id="rId44" Type="http://schemas.openxmlformats.org/officeDocument/2006/relationships/image" Target="media/image45.png"/><Relationship Id="rId43" Type="http://schemas.openxmlformats.org/officeDocument/2006/relationships/image" Target="media/image61.png"/><Relationship Id="rId46" Type="http://schemas.openxmlformats.org/officeDocument/2006/relationships/image" Target="media/image4.png"/><Relationship Id="rId45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17.png"/><Relationship Id="rId47" Type="http://schemas.openxmlformats.org/officeDocument/2006/relationships/image" Target="media/image7.png"/><Relationship Id="rId49" Type="http://schemas.openxmlformats.org/officeDocument/2006/relationships/image" Target="media/image5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8.png"/><Relationship Id="rId8" Type="http://schemas.openxmlformats.org/officeDocument/2006/relationships/image" Target="media/image54.png"/><Relationship Id="rId31" Type="http://schemas.openxmlformats.org/officeDocument/2006/relationships/image" Target="media/image19.png"/><Relationship Id="rId30" Type="http://schemas.openxmlformats.org/officeDocument/2006/relationships/image" Target="media/image14.png"/><Relationship Id="rId33" Type="http://schemas.openxmlformats.org/officeDocument/2006/relationships/image" Target="media/image60.png"/><Relationship Id="rId32" Type="http://schemas.openxmlformats.org/officeDocument/2006/relationships/image" Target="media/image2.png"/><Relationship Id="rId35" Type="http://schemas.openxmlformats.org/officeDocument/2006/relationships/image" Target="media/image13.png"/><Relationship Id="rId34" Type="http://schemas.openxmlformats.org/officeDocument/2006/relationships/image" Target="media/image25.png"/><Relationship Id="rId37" Type="http://schemas.openxmlformats.org/officeDocument/2006/relationships/image" Target="media/image20.png"/><Relationship Id="rId36" Type="http://schemas.openxmlformats.org/officeDocument/2006/relationships/image" Target="media/image34.png"/><Relationship Id="rId39" Type="http://schemas.openxmlformats.org/officeDocument/2006/relationships/image" Target="media/image47.png"/><Relationship Id="rId38" Type="http://schemas.openxmlformats.org/officeDocument/2006/relationships/image" Target="media/image48.png"/><Relationship Id="rId62" Type="http://schemas.openxmlformats.org/officeDocument/2006/relationships/image" Target="media/image29.png"/><Relationship Id="rId61" Type="http://schemas.openxmlformats.org/officeDocument/2006/relationships/image" Target="media/image62.png"/><Relationship Id="rId20" Type="http://schemas.openxmlformats.org/officeDocument/2006/relationships/image" Target="media/image50.png"/><Relationship Id="rId64" Type="http://schemas.openxmlformats.org/officeDocument/2006/relationships/image" Target="media/image36.png"/><Relationship Id="rId63" Type="http://schemas.openxmlformats.org/officeDocument/2006/relationships/image" Target="media/image41.png"/><Relationship Id="rId22" Type="http://schemas.openxmlformats.org/officeDocument/2006/relationships/image" Target="media/image22.png"/><Relationship Id="rId66" Type="http://schemas.openxmlformats.org/officeDocument/2006/relationships/image" Target="media/image57.png"/><Relationship Id="rId21" Type="http://schemas.openxmlformats.org/officeDocument/2006/relationships/image" Target="media/image5.png"/><Relationship Id="rId65" Type="http://schemas.openxmlformats.org/officeDocument/2006/relationships/image" Target="media/image1.png"/><Relationship Id="rId24" Type="http://schemas.openxmlformats.org/officeDocument/2006/relationships/image" Target="media/image58.png"/><Relationship Id="rId68" Type="http://schemas.openxmlformats.org/officeDocument/2006/relationships/image" Target="media/image30.png"/><Relationship Id="rId23" Type="http://schemas.openxmlformats.org/officeDocument/2006/relationships/image" Target="media/image18.png"/><Relationship Id="rId67" Type="http://schemas.openxmlformats.org/officeDocument/2006/relationships/image" Target="media/image43.png"/><Relationship Id="rId60" Type="http://schemas.openxmlformats.org/officeDocument/2006/relationships/image" Target="media/image63.png"/><Relationship Id="rId26" Type="http://schemas.openxmlformats.org/officeDocument/2006/relationships/image" Target="media/image6.png"/><Relationship Id="rId25" Type="http://schemas.openxmlformats.org/officeDocument/2006/relationships/image" Target="media/image24.png"/><Relationship Id="rId28" Type="http://schemas.openxmlformats.org/officeDocument/2006/relationships/image" Target="media/image16.png"/><Relationship Id="rId27" Type="http://schemas.openxmlformats.org/officeDocument/2006/relationships/image" Target="media/image11.png"/><Relationship Id="rId29" Type="http://schemas.openxmlformats.org/officeDocument/2006/relationships/image" Target="media/image21.png"/><Relationship Id="rId51" Type="http://schemas.openxmlformats.org/officeDocument/2006/relationships/image" Target="media/image37.png"/><Relationship Id="rId50" Type="http://schemas.openxmlformats.org/officeDocument/2006/relationships/image" Target="media/image10.png"/><Relationship Id="rId53" Type="http://schemas.openxmlformats.org/officeDocument/2006/relationships/image" Target="media/image23.png"/><Relationship Id="rId52" Type="http://schemas.openxmlformats.org/officeDocument/2006/relationships/image" Target="media/image35.png"/><Relationship Id="rId11" Type="http://schemas.openxmlformats.org/officeDocument/2006/relationships/image" Target="media/image3.png"/><Relationship Id="rId55" Type="http://schemas.openxmlformats.org/officeDocument/2006/relationships/image" Target="media/image49.png"/><Relationship Id="rId10" Type="http://schemas.openxmlformats.org/officeDocument/2006/relationships/image" Target="media/image27.png"/><Relationship Id="rId54" Type="http://schemas.openxmlformats.org/officeDocument/2006/relationships/image" Target="media/image55.png"/><Relationship Id="rId13" Type="http://schemas.openxmlformats.org/officeDocument/2006/relationships/image" Target="media/image15.png"/><Relationship Id="rId57" Type="http://schemas.openxmlformats.org/officeDocument/2006/relationships/image" Target="media/image12.png"/><Relationship Id="rId12" Type="http://schemas.openxmlformats.org/officeDocument/2006/relationships/image" Target="media/image9.png"/><Relationship Id="rId56" Type="http://schemas.openxmlformats.org/officeDocument/2006/relationships/image" Target="media/image32.png"/><Relationship Id="rId15" Type="http://schemas.openxmlformats.org/officeDocument/2006/relationships/image" Target="media/image40.png"/><Relationship Id="rId59" Type="http://schemas.openxmlformats.org/officeDocument/2006/relationships/image" Target="media/image39.png"/><Relationship Id="rId14" Type="http://schemas.openxmlformats.org/officeDocument/2006/relationships/image" Target="media/image31.png"/><Relationship Id="rId58" Type="http://schemas.openxmlformats.org/officeDocument/2006/relationships/image" Target="media/image52.png"/><Relationship Id="rId17" Type="http://schemas.openxmlformats.org/officeDocument/2006/relationships/image" Target="media/image51.png"/><Relationship Id="rId16" Type="http://schemas.openxmlformats.org/officeDocument/2006/relationships/image" Target="media/image42.png"/><Relationship Id="rId19" Type="http://schemas.openxmlformats.org/officeDocument/2006/relationships/image" Target="media/image26.png"/><Relationship Id="rId1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