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f2001af3a5447d4" /><Relationship Type="http://schemas.openxmlformats.org/package/2006/relationships/metadata/core-properties" Target="/docProps/core.xml" Id="R0101cd20e14a4f00" /><Relationship Type="http://schemas.openxmlformats.org/officeDocument/2006/relationships/extended-properties" Target="/docProps/app.xml" Id="R331c4507d6ab4724" /><Relationship Type="http://schemas.openxmlformats.org/officeDocument/2006/relationships/custom-properties" Target="/docProps/custom.xml" Id="R6480c614efbb475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48"/>
        </w:rPr>
        <w:t xml:space="preserve">SentinelX: A Privacy-Preserving Cyber Fraud Detection and Digital Evidence Integrity Platform Using Threat Intelligence</w:t>
      </w:r>
    </w:p>
    <w:p w14:paraId="00100002" w14:textId="00100003">
      <w:pPr>
        <w:pStyle w:val="Normal"/>
        <w:spacing w:after="120"/>
        <w:jc w:val="center"/>
      </w:pPr>
      <w:r>
        <w:rPr>
          <w:sz w:val="28"/>
        </w:rPr>
        <w:t xml:space="preserve">IBM SkillsBuild Cyber Security BootCamp 2026 — BharatCares</w:t>
      </w:r>
    </w:p>
    <w:p w14:paraId="00100004" w14:textId="00100005">
      <w:pPr>
        <w:pStyle w:val="Normal"/>
        <w:spacing w:after="120"/>
        <w:jc w:val="center"/>
      </w:pPr>
      <w:r>
        <w:rPr>
          <w:sz w:val="24"/>
        </w:rPr>
        <w:t xml:space="preserve">Author: Manvith</w:t>
      </w:r>
    </w:p>
    <w:p w14:paraId="00100006" w14:textId="00100007">
      <w:pPr>
        <w:pStyle w:val="Normal"/>
        <w:spacing w:after="120"/>
        <w:jc w:val="center"/>
      </w:pPr>
      <w:r>
        <w:rPr>
          <w:sz w:val="24"/>
        </w:rPr>
        <w:t xml:space="preserve">Submission File: Manvith_ProjectReport.docx</w:t>
      </w:r>
    </w:p>
    <w:p w14:paraId="00100008" w14:textId="00100009">
      <w:pPr>
        <w:pStyle w:val="Normal"/>
        <w:spacing w:after="480"/>
        <w:jc w:val="center"/>
      </w:pPr>
      <w:r>
        <w:rPr>
          <w:sz w:val="24"/>
        </w:rPr>
        <w:t xml:space="preserve">Year: 2026</w:t>
      </w:r>
    </w:p>
    <w:p w14:paraId="0010000A" w14:textId="0010000B">
      <w:pPr>
        <w:pStyle w:val="Heading1"/>
        <w:spacing w:before="360" w:after="160"/>
      </w:pPr>
      <w:r>
        <w:rPr>
          <w:b/>
          <w:sz w:val="36"/>
        </w:rPr>
        <w:t xml:space="preserve">1. Abstract</w:t>
      </w:r>
    </w:p>
    <w:p w14:paraId="0010000C" w14:textId="0010000D">
      <w:pPr>
        <w:pStyle w:val="Normal"/>
        <w:spacing w:after="160"/>
      </w:pPr>
      <w:r>
        <w:rPr>
          <w:sz w:val="22"/>
        </w:rPr>
        <w:t xml:space="preserve">SentinelX is a privacy-preserving, heuristic-based cyber fraud detection prototype built entirely in Python using only standard-library modules. It accepts suspicious URLs and message text, evaluates them against a configurable set of phishing and fraud indicators, assigns a risk classification (Low, Medium, or High), verifies the SHA-256 integrity of local digital evidence files, and generates structured incident reports exportable as JSON and plain text. All analysis runs locally without sending data to external services and without storing personally identifiable information. Synthetic examples are used throughout to ensure the notebook runs offline in any Python 3.8+ environment.</w:t>
      </w:r>
    </w:p>
    <w:p w14:paraId="0010000E" w14:textId="0010000F">
      <w:pPr>
        <w:pStyle w:val="Heading1"/>
        <w:spacing w:before="360" w:after="160"/>
      </w:pPr>
      <w:r>
        <w:rPr>
          <w:b/>
          <w:sz w:val="36"/>
        </w:rPr>
        <w:t xml:space="preserve">2. Introduction</w:t>
      </w:r>
    </w:p>
    <w:p w14:paraId="00100010" w14:textId="00100011">
      <w:pPr>
        <w:pStyle w:val="Normal"/>
        <w:spacing w:after="160"/>
      </w:pPr>
      <w:r>
        <w:rPr>
          <w:sz w:val="22"/>
        </w:rPr>
        <w:t xml:space="preserve">Cyber fraud has become one of the most pervasive threats in the digital age. Phishing attacks — delivered through deceptive URLs in emails, SMS messages, and social-media posts — are responsible for a significant proportion of data breaches and financial fraud worldwide. According to the Anti-Phishing Working Group (APWG), phishing attacks have increased substantially year-on-year, with attackers continuously refining their techniques to evade detection.</w:t>
      </w:r>
    </w:p>
    <w:p w14:paraId="00100012" w14:textId="00100013">
      <w:pPr>
        <w:pStyle w:val="Normal"/>
        <w:spacing w:after="160"/>
      </w:pPr>
      <w:r>
        <w:rPr>
          <w:sz w:val="22"/>
        </w:rPr>
        <w:t xml:space="preserve">The Indian cybersecurity landscape presents additional challenges: rapid growth in mobile internet users, a rise in UPI-based financial fraud, and an increase in impersonation attacks targeting government services such as UIDAI, IRCTC, and Income Tax portals. CERT-In (Indian Computer Emergency Response Team) regularly issues advisories about new phishing campaigns targeting Indian users.</w:t>
      </w:r>
    </w:p>
    <w:p w14:paraId="00100014" w14:textId="00100015">
      <w:pPr>
        <w:pStyle w:val="Normal"/>
        <w:spacing w:after="160"/>
      </w:pPr>
      <w:r>
        <w:rPr>
          <w:sz w:val="22"/>
        </w:rPr>
        <w:t xml:space="preserve">SentinelX was developed as an educational prototype to address the need for accessible, offline cyber fraud awareness tooling. The project is part of the IBM SkillsBuild Cyber Security BootCamp 2026, conducted by BharatCares.</w:t>
      </w:r>
    </w:p>
    <w:p w14:paraId="00100016" w14:textId="00100017">
      <w:pPr>
        <w:pStyle w:val="Heading1"/>
        <w:spacing w:before="360" w:after="160"/>
      </w:pPr>
      <w:r>
        <w:rPr>
          <w:b/>
          <w:sz w:val="36"/>
        </w:rPr>
        <w:t xml:space="preserve">3. Problem Statement</w:t>
      </w:r>
    </w:p>
    <w:p w14:paraId="00100018" w14:textId="00100019">
      <w:pPr>
        <w:pStyle w:val="Normal"/>
        <w:spacing w:after="160"/>
      </w:pPr>
      <w:r>
        <w:rPr>
          <w:sz w:val="22"/>
        </w:rPr>
        <w:t xml:space="preserve">Most commercial threat-intelligence platforms require paid subscriptions, API keys, or persistent internet connectivity. This makes them inaccessible to students, small organisations, rural communities, and first-responders who need quick, reliable cyber fraud awareness tools. Additionally, victims of fraud often lack structured tools to preserve and verify digital evidence before involving law enforcement.</w:t>
      </w:r>
    </w:p>
    <w:p w14:paraId="0010001A" w14:textId="0010001B">
      <w:pPr>
        <w:pStyle w:val="Normal"/>
        <w:spacing w:after="80"/>
      </w:pPr>
      <w:r>
        <w:rPr>
          <w:sz w:val="22"/>
        </w:rPr>
        <w:t xml:space="preserve">Specific gaps addressed by SentinelX:</w:t>
      </w:r>
    </w:p>
    <w:p w14:paraId="0010001C" w14:textId="0010001D">
      <w:pPr>
        <w:pStyle w:val="Normal"/>
        <w:numPr>
          <w:ilvl w:val="0"/>
          <w:numId w:val="1"/>
        </w:numPr>
        <w:spacing w:after="80"/>
      </w:pPr>
      <w:r>
        <w:rPr>
          <w:sz w:val="22"/>
        </w:rPr>
        <w:t xml:space="preserve">No accessible, free, offline tool to evaluate URL suspiciousness without visiting the URL.</w:t>
      </w:r>
    </w:p>
    <w:p w14:paraId="0010001E" w14:textId="0010001F">
      <w:pPr>
        <w:pStyle w:val="Normal"/>
        <w:numPr>
          <w:ilvl w:val="0"/>
          <w:numId w:val="1"/>
        </w:numPr>
        <w:spacing w:after="80"/>
      </w:pPr>
      <w:r>
        <w:rPr>
          <w:sz w:val="22"/>
        </w:rPr>
        <w:t xml:space="preserve">No simple tool to assess whether an SMS or email contains common fraud language.</w:t>
      </w:r>
    </w:p>
    <w:p w14:paraId="00100020" w14:textId="00100021">
      <w:pPr>
        <w:pStyle w:val="Normal"/>
        <w:numPr>
          <w:ilvl w:val="0"/>
          <w:numId w:val="1"/>
        </w:numPr>
        <w:spacing w:after="80"/>
      </w:pPr>
      <w:r>
        <w:rPr>
          <w:sz w:val="22"/>
        </w:rPr>
        <w:t xml:space="preserve">No lightweight, Python-only method to verify that digital evidence files have not been tampered with.</w:t>
      </w:r>
    </w:p>
    <w:p w14:paraId="00100022" w14:textId="00100023">
      <w:pPr>
        <w:pStyle w:val="Normal"/>
        <w:numPr>
          <w:ilvl w:val="0"/>
          <w:numId w:val="1"/>
        </w:numPr>
        <w:spacing w:after="160"/>
      </w:pPr>
      <w:r>
        <w:rPr>
          <w:sz w:val="22"/>
        </w:rPr>
        <w:t xml:space="preserve">No structured incident-record format suitable for educational and awareness-raising purposes.</w:t>
      </w:r>
    </w:p>
    <w:p w14:paraId="00100024" w14:textId="00100025">
      <w:pPr>
        <w:pStyle w:val="Heading1"/>
        <w:spacing w:before="360" w:after="160"/>
      </w:pPr>
      <w:r>
        <w:rPr>
          <w:b/>
          <w:sz w:val="36"/>
        </w:rPr>
        <w:t xml:space="preserve">4. Objectives</w:t>
      </w:r>
    </w:p>
    <w:p w14:paraId="00100026" w14:textId="00100027">
      <w:pPr>
        <w:pStyle w:val="Normal"/>
        <w:spacing w:after="80"/>
      </w:pPr>
      <w:r>
        <w:rPr>
          <w:sz w:val="22"/>
        </w:rPr>
        <w:t xml:space="preserve">The objectives of SentinelX are:</w:t>
      </w:r>
    </w:p>
    <w:p w14:paraId="00100028" w14:textId="00100029">
      <w:pPr>
        <w:pStyle w:val="Normal"/>
        <w:numPr>
          <w:ilvl w:val="0"/>
          <w:numId w:val="2"/>
        </w:numPr>
        <w:spacing w:after="80"/>
      </w:pPr>
      <w:r>
        <w:rPr>
          <w:sz w:val="22"/>
        </w:rPr>
        <w:t xml:space="preserve">Implement heuristic URL analysis that detects suspicious structural patterns without visiting the URL.</w:t>
      </w:r>
    </w:p>
    <w:p w14:paraId="0010002A" w14:textId="0010002B">
      <w:pPr>
        <w:pStyle w:val="Normal"/>
        <w:numPr>
          <w:ilvl w:val="0"/>
          <w:numId w:val="2"/>
        </w:numPr>
        <w:spacing w:after="80"/>
      </w:pPr>
      <w:r>
        <w:rPr>
          <w:sz w:val="22"/>
        </w:rPr>
        <w:t xml:space="preserve">Implement heuristic message analysis that identifies common phishing language patterns in SMS and email text.</w:t>
      </w:r>
    </w:p>
    <w:p w14:paraId="0010002C" w14:textId="0010002D">
      <w:pPr>
        <w:pStyle w:val="Normal"/>
        <w:numPr>
          <w:ilvl w:val="0"/>
          <w:numId w:val="2"/>
        </w:numPr>
        <w:spacing w:after="80"/>
      </w:pPr>
      <w:r>
        <w:rPr>
          <w:sz w:val="22"/>
        </w:rPr>
        <w:t xml:space="preserve">Provide a transparent, explainable risk classification (Low, Medium, High) with documented scoring rules.</w:t>
      </w:r>
    </w:p>
    <w:p w14:paraId="0010002E" w14:textId="0010002F">
      <w:pPr>
        <w:pStyle w:val="Normal"/>
        <w:numPr>
          <w:ilvl w:val="0"/>
          <w:numId w:val="2"/>
        </w:numPr>
        <w:spacing w:after="80"/>
      </w:pPr>
      <w:r>
        <w:rPr>
          <w:sz w:val="22"/>
        </w:rPr>
        <w:t xml:space="preserve">Provide SHA-256 based digital evidence integrity verification.</w:t>
      </w:r>
    </w:p>
    <w:p w14:paraId="00100030" w14:textId="00100031">
      <w:pPr>
        <w:pStyle w:val="Normal"/>
        <w:numPr>
          <w:ilvl w:val="0"/>
          <w:numId w:val="2"/>
        </w:numPr>
        <w:spacing w:after="80"/>
      </w:pPr>
      <w:r>
        <w:rPr>
          <w:sz w:val="22"/>
        </w:rPr>
        <w:t xml:space="preserve">Generate structured incident reports exportable as JSON and plain text.</w:t>
      </w:r>
    </w:p>
    <w:p w14:paraId="00100032" w14:textId="00100033">
      <w:pPr>
        <w:pStyle w:val="Normal"/>
        <w:numPr>
          <w:ilvl w:val="0"/>
          <w:numId w:val="2"/>
        </w:numPr>
        <w:spacing w:after="80"/>
      </w:pPr>
      <w:r>
        <w:rPr>
          <w:sz w:val="22"/>
        </w:rPr>
        <w:t xml:space="preserve">Run entirely offline with no API keys, no external service calls, and no personally identifiable information stored.</w:t>
      </w:r>
    </w:p>
    <w:p w14:paraId="00100034" w14:textId="00100035">
      <w:pPr>
        <w:pStyle w:val="Normal"/>
        <w:numPr>
          <w:ilvl w:val="0"/>
          <w:numId w:val="2"/>
        </w:numPr>
        <w:spacing w:after="160"/>
      </w:pPr>
      <w:r>
        <w:rPr>
          <w:sz w:val="22"/>
        </w:rPr>
        <w:t xml:space="preserve">Validate the implementation with at least 20 meaningful, executed test cases.</w:t>
      </w:r>
    </w:p>
    <w:p w14:paraId="00100036" w14:textId="00100037">
      <w:pPr>
        <w:pStyle w:val="Heading1"/>
        <w:spacing w:before="360" w:after="160"/>
      </w:pPr>
      <w:r>
        <w:rPr>
          <w:b/>
          <w:sz w:val="36"/>
        </w:rPr>
        <w:t xml:space="preserve">5. Existing Systems and Their Limitations</w:t>
      </w:r>
    </w:p>
    <w:p w14:paraId="00100038" w14:textId="00100039">
      <w:pPr>
        <w:pStyle w:val="Heading2"/>
        <w:spacing w:before="200" w:after="120"/>
      </w:pPr>
      <w:r>
        <w:rPr>
          <w:b/>
          <w:sz w:val="28"/>
        </w:rPr>
        <w:t xml:space="preserve">5.1 Commercial Threat Intelligence Platforms</w:t>
      </w:r>
    </w:p>
    <w:p w14:paraId="0010003A" w14:textId="0010003B">
      <w:pPr>
        <w:pStyle w:val="Normal"/>
        <w:spacing w:after="160"/>
      </w:pPr>
      <w:r>
        <w:rPr>
          <w:sz w:val="22"/>
        </w:rPr>
        <w:t xml:space="preserve">Platforms such as VirusTotal, Cisco Talos, and IBM X-Force Exchange provide comprehensive URL and file analysis. However, they require internet connectivity, user accounts, and in many cases paid API access. They are not suitable for offline or resource-constrained environments.</w:t>
      </w:r>
    </w:p>
    <w:p w14:paraId="0010003C" w14:textId="0010003D">
      <w:pPr>
        <w:pStyle w:val="Heading2"/>
        <w:spacing w:before="200" w:after="120"/>
      </w:pPr>
      <w:r>
        <w:rPr>
          <w:b/>
          <w:sz w:val="28"/>
        </w:rPr>
        <w:t xml:space="preserve">5.2 Browser-Based URL Checkers</w:t>
      </w:r>
    </w:p>
    <w:p w14:paraId="0010003E" w14:textId="0010003F">
      <w:pPr>
        <w:pStyle w:val="Normal"/>
        <w:spacing w:after="160"/>
      </w:pPr>
      <w:r>
        <w:rPr>
          <w:sz w:val="22"/>
        </w:rPr>
        <w:t xml:space="preserve">Tools such as Google Safe Browsing and PhishTank lookup are browser-dependent, require active internet connectivity, and send the queried URL to a third-party server — raising privacy concerns. They also provide minimal explanation of why a URL is flagged.</w:t>
      </w:r>
    </w:p>
    <w:p w14:paraId="00100040" w14:textId="00100041">
      <w:pPr>
        <w:pStyle w:val="Heading2"/>
        <w:spacing w:before="200" w:after="120"/>
      </w:pPr>
      <w:r>
        <w:rPr>
          <w:b/>
          <w:sz w:val="28"/>
        </w:rPr>
        <w:t xml:space="preserve">5.3 Email Spam Filters</w:t>
      </w:r>
    </w:p>
    <w:p w14:paraId="00100042" w14:textId="00100043">
      <w:pPr>
        <w:pStyle w:val="Normal"/>
        <w:spacing w:after="160"/>
      </w:pPr>
      <w:r>
        <w:rPr>
          <w:sz w:val="22"/>
        </w:rPr>
        <w:t xml:space="preserve">Commercial email providers embed spam and phishing filters, but these are black-box systems. Users receive no explanation of why a message was classified as phishing, limiting education and awareness. They also do not help with SMS phishing (smishing).</w:t>
      </w:r>
    </w:p>
    <w:p w14:paraId="00100044" w14:textId="00100045">
      <w:pPr>
        <w:pStyle w:val="Heading2"/>
        <w:spacing w:before="200" w:after="120"/>
      </w:pPr>
      <w:r>
        <w:rPr>
          <w:b/>
          <w:sz w:val="28"/>
        </w:rPr>
        <w:t xml:space="preserve">5.4 Digital Forensics Tools</w:t>
      </w:r>
    </w:p>
    <w:p w14:paraId="00100046" w14:textId="00100047">
      <w:pPr>
        <w:pStyle w:val="Normal"/>
        <w:spacing w:after="160"/>
      </w:pPr>
      <w:r>
        <w:rPr>
          <w:sz w:val="22"/>
        </w:rPr>
        <w:t xml:space="preserve">Professional tools such as Autopsy and FTK provide comprehensive digital forensics capabilities but require specialist training, expensive licensing, and significant hardware resources. They are not accessible to general users who need to quickly verify whether an evidence file has been modified.</w:t>
      </w:r>
    </w:p>
    <w:p w14:paraId="00100048" w14:textId="00100049">
      <w:pPr>
        <w:pStyle w:val="Heading1"/>
        <w:spacing w:before="360" w:after="160"/>
      </w:pPr>
      <w:r>
        <w:rPr>
          <w:b/>
          <w:sz w:val="36"/>
        </w:rPr>
        <w:t xml:space="preserve">6. Proposed System</w:t>
      </w:r>
    </w:p>
    <w:p w14:paraId="0010004A" w14:textId="0010004B">
      <w:pPr>
        <w:pStyle w:val="Normal"/>
        <w:spacing w:after="80"/>
      </w:pPr>
      <w:r>
        <w:rPr>
          <w:sz w:val="22"/>
        </w:rPr>
        <w:t xml:space="preserve">SentinelX proposes a lightweight, offline, privacy-preserving Python prototype that addresses all the limitations described above:</w:t>
      </w:r>
    </w:p>
    <w:p w14:paraId="0010004C" w14:textId="0010004D">
      <w:pPr>
        <w:pStyle w:val="Normal"/>
        <w:numPr>
          <w:ilvl w:val="0"/>
          <w:numId w:val="3"/>
        </w:numPr>
        <w:spacing w:after="80"/>
      </w:pPr>
      <w:r>
        <w:rPr>
          <w:sz w:val="22"/>
        </w:rPr>
        <w:t xml:space="preserve">Offline operation: all analysis runs locally using only the Python standard library.</w:t>
      </w:r>
    </w:p>
    <w:p w14:paraId="0010004E" w14:textId="0010004F">
      <w:pPr>
        <w:pStyle w:val="Normal"/>
        <w:numPr>
          <w:ilvl w:val="0"/>
          <w:numId w:val="3"/>
        </w:numPr>
        <w:spacing w:after="80"/>
      </w:pPr>
      <w:r>
        <w:rPr>
          <w:sz w:val="22"/>
        </w:rPr>
        <w:t xml:space="preserve">Transparent scoring: every indicator has a documented weight and human-readable explanation.</w:t>
      </w:r>
    </w:p>
    <w:p w14:paraId="00100050" w14:textId="00100051">
      <w:pPr>
        <w:pStyle w:val="Normal"/>
        <w:numPr>
          <w:ilvl w:val="0"/>
          <w:numId w:val="3"/>
        </w:numPr>
        <w:spacing w:after="80"/>
      </w:pPr>
      <w:r>
        <w:rPr>
          <w:sz w:val="22"/>
        </w:rPr>
        <w:t xml:space="preserve">Privacy by design: no user data, URLs, or messages are sent to any external service.</w:t>
      </w:r>
    </w:p>
    <w:p w14:paraId="00100052" w14:textId="00100053">
      <w:pPr>
        <w:pStyle w:val="Normal"/>
        <w:numPr>
          <w:ilvl w:val="0"/>
          <w:numId w:val="3"/>
        </w:numPr>
        <w:spacing w:after="80"/>
      </w:pPr>
      <w:r>
        <w:rPr>
          <w:sz w:val="22"/>
        </w:rPr>
        <w:t xml:space="preserve">Evidence integrity: SHA-256 hashing for tamper detection on local files.</w:t>
      </w:r>
    </w:p>
    <w:p w14:paraId="00100054" w14:textId="00100055">
      <w:pPr>
        <w:pStyle w:val="Normal"/>
        <w:numPr>
          <w:ilvl w:val="0"/>
          <w:numId w:val="3"/>
        </w:numPr>
        <w:spacing w:after="80"/>
      </w:pPr>
      <w:r>
        <w:rPr>
          <w:sz w:val="22"/>
        </w:rPr>
        <w:t xml:space="preserve">Exportable reports: structured incident records in JSON and plain-text formats.</w:t>
      </w:r>
    </w:p>
    <w:p w14:paraId="00100056" w14:textId="00100057">
      <w:pPr>
        <w:pStyle w:val="Normal"/>
        <w:numPr>
          <w:ilvl w:val="0"/>
          <w:numId w:val="3"/>
        </w:numPr>
        <w:spacing w:after="160"/>
      </w:pPr>
      <w:r>
        <w:rPr>
          <w:sz w:val="22"/>
        </w:rPr>
        <w:t xml:space="preserve">Educational focus: all findings include explanations, disclaimers, and recommended next steps.</w:t>
      </w:r>
    </w:p>
    <w:p w14:paraId="00100058" w14:textId="00100059">
      <w:pPr>
        <w:pStyle w:val="Heading1"/>
        <w:spacing w:before="360" w:after="160"/>
      </w:pPr>
      <w:r>
        <w:rPr>
          <w:b/>
          <w:sz w:val="36"/>
        </w:rPr>
        <w:t xml:space="preserve">7. System Architecture</w:t>
      </w:r>
    </w:p>
    <w:p w14:paraId="0010005A" w14:textId="0010005B">
      <w:pPr>
        <w:pStyle w:val="Normal"/>
        <w:spacing w:after="160"/>
      </w:pPr>
      <w:r>
        <w:rPr>
          <w:sz w:val="22"/>
        </w:rPr>
        <w:t xml:space="preserve">SentinelX is structured as a modular Python application delivered as a Jupyter Notebook. The five core modules are:</w:t>
      </w:r>
    </w:p>
    <w:p w14:paraId="0010005C" w14:textId="0010005D">
      <w:pPr>
        <w:pStyle w:val="Normal"/>
        <w:numPr>
          <w:ilvl w:val="0"/>
          <w:numId w:val="4"/>
        </w:numPr>
        <w:spacing w:after="80"/>
      </w:pPr>
      <w:r>
        <w:rPr>
          <w:sz w:val="22"/>
        </w:rPr>
        <w:t xml:space="preserve">URL Analysis Module: accepts a URL string, parses it with urllib.parse, and applies 14 heuristic checks. Never fetches or opens the URL. Returns a structured result dict with indicators, score, and risk level.</w:t>
      </w:r>
    </w:p>
    <w:p w14:paraId="0010005E" w14:textId="0010005F">
      <w:pPr>
        <w:pStyle w:val="Normal"/>
        <w:numPr>
          <w:ilvl w:val="0"/>
          <w:numId w:val="4"/>
        </w:numPr>
        <w:spacing w:after="80"/>
      </w:pPr>
      <w:r>
        <w:rPr>
          <w:sz w:val="22"/>
        </w:rPr>
        <w:t xml:space="preserve">Message Analysis Module: accepts SMS or email text, applies 10 compiled regex patterns from MSG_PATTERNS, and returns a structured result dict.</w:t>
      </w:r>
    </w:p>
    <w:p w14:paraId="00100060" w14:textId="00100061">
      <w:pPr>
        <w:pStyle w:val="Normal"/>
        <w:numPr>
          <w:ilvl w:val="0"/>
          <w:numId w:val="4"/>
        </w:numPr>
        <w:spacing w:after="80"/>
      </w:pPr>
      <w:r>
        <w:rPr>
          <w:sz w:val="22"/>
        </w:rPr>
        <w:t xml:space="preserve">Risk Scoring Module: maps numeric scores to Low, Medium, or High risk levels using documented thresholds (0-2 = Low, 3-5 = Medium, 6+ = High).</w:t>
      </w:r>
    </w:p>
    <w:p w14:paraId="00100062" w14:textId="00100063">
      <w:pPr>
        <w:pStyle w:val="Normal"/>
        <w:numPr>
          <w:ilvl w:val="0"/>
          <w:numId w:val="4"/>
        </w:numPr>
        <w:spacing w:after="80"/>
      </w:pPr>
      <w:r>
        <w:rPr>
          <w:sz w:val="22"/>
        </w:rPr>
        <w:t xml:space="preserve">Evidence Integrity Module: computes SHA-256 hashes of local files using hashlib and chunk-based streaming for memory efficiency. Supports direct comparison and tamper detection.</w:t>
      </w:r>
    </w:p>
    <w:p w14:paraId="00100064" w14:textId="00100065">
      <w:pPr>
        <w:pStyle w:val="Normal"/>
        <w:numPr>
          <w:ilvl w:val="0"/>
          <w:numId w:val="4"/>
        </w:numPr>
        <w:spacing w:after="160"/>
      </w:pPr>
      <w:r>
        <w:rPr>
          <w:sz w:val="22"/>
        </w:rPr>
        <w:t xml:space="preserve">Incident Report Module: assembles structured incident records from analysis results, calculates overall risk, generates recommendations, and exports to JSON and plain text.</w:t>
      </w:r>
    </w:p>
    <w:p w14:paraId="00100066" w14:textId="00100067">
      <w:pPr>
        <w:pStyle w:val="Normal"/>
        <w:spacing w:after="160"/>
        <w:jc w:val="center"/>
      </w:pPr>
      <w:r>
        <w:rPr>
          <w:b/>
          <w:sz w:val="22"/>
        </w:rPr>
        <w:t xml:space="preserve">Data Flow: User Input → Module → Structured Result Dict → Incident Record → Report Export</w:t>
      </w:r>
    </w:p>
    <w:p w14:paraId="00100068" w14:textId="00100069">
      <w:pPr>
        <w:pStyle w:val="Heading1"/>
        <w:spacing w:before="360" w:after="160"/>
      </w:pPr>
      <w:r>
        <w:rPr>
          <w:b/>
          <w:sz w:val="36"/>
        </w:rPr>
        <w:t xml:space="preserve">8. Methodology and Workflow</w:t>
      </w:r>
    </w:p>
    <w:p w14:paraId="0010006A" w14:textId="0010006B">
      <w:pPr>
        <w:pStyle w:val="Heading2"/>
        <w:spacing w:before="200" w:after="120"/>
      </w:pPr>
      <w:r>
        <w:rPr>
          <w:b/>
          <w:sz w:val="28"/>
        </w:rPr>
        <w:t xml:space="preserve">8.1 URL Analysis Methodology</w:t>
      </w:r>
    </w:p>
    <w:p w14:paraId="0010006C" w14:textId="0010006D">
      <w:pPr>
        <w:pStyle w:val="Normal"/>
        <w:spacing w:after="160"/>
      </w:pPr>
      <w:r>
        <w:rPr>
          <w:sz w:val="22"/>
        </w:rPr>
        <w:t xml:space="preserve">The URL analysis module uses a multi-indicator heuristic approach. Each check is independent; results are additive. The 14 checks implemented are: (1) IP address as host, (2) excessive subdomains (3+ dots), (3) misleading brand keyword in hostname, (4) suspicious TLD from a curated list, (5) known URL shortener hostname, (6) very long URL (&gt;100 chars), (7) suspicious keywords in path or query, (8) @ symbol in URL, (9) double-slash redirect pattern, (10) heavy percent-encoding (3+ % chars), (11) non-standard port, (12) HTTP instead of HTTPS, (13) multiple consecutive dots in hostname, (14) numeric subdomain prefix.</w:t>
      </w:r>
    </w:p>
    <w:p w14:paraId="0010006E" w14:textId="0010006F">
      <w:pPr>
        <w:pStyle w:val="Heading2"/>
        <w:spacing w:before="200" w:after="120"/>
      </w:pPr>
      <w:r>
        <w:rPr>
          <w:b/>
          <w:sz w:val="28"/>
        </w:rPr>
        <w:t xml:space="preserve">8.2 Message Analysis Methodology</w:t>
      </w:r>
    </w:p>
    <w:p w14:paraId="00100070" w14:textId="00100071">
      <w:pPr>
        <w:pStyle w:val="Normal"/>
        <w:spacing w:after="160"/>
      </w:pPr>
      <w:r>
        <w:rPr>
          <w:sz w:val="22"/>
        </w:rPr>
        <w:t xml:space="preserve">The message analysis module applies 10 compiled regular expressions, each targeting a distinct phishing language pattern: urgency language, prize or reward lures, threat language, sensitive data requests, impersonation of trusted brands, suspicious links, generic greetings, grammar or informal language, calls to action, and OTP or PIN mentions. Each pattern has an independent weight contributing to the overall score.</w:t>
      </w:r>
    </w:p>
    <w:p w14:paraId="00100072" w14:textId="00100073">
      <w:pPr>
        <w:pStyle w:val="Heading2"/>
        <w:spacing w:before="200" w:after="120"/>
      </w:pPr>
      <w:r>
        <w:rPr>
          <w:b/>
          <w:sz w:val="28"/>
        </w:rPr>
        <w:t xml:space="preserve">8.3 Risk Classification Methodology</w:t>
      </w:r>
    </w:p>
    <w:p w14:paraId="00100074" w14:textId="00100075">
      <w:pPr>
        <w:pStyle w:val="Normal"/>
        <w:spacing w:after="160"/>
      </w:pPr>
      <w:r>
        <w:rPr>
          <w:sz w:val="22"/>
        </w:rPr>
        <w:t xml:space="preserve">The risk scoring module maps cumulative indicator scores to three levels: Low (0-2), Medium (3-5), and High (6+). Thresholds and per-indicator weights are defined in the configuration section of the notebook and are transparent to the user. The module explicitly states that these are heuristic assessments and that legitimate content can trigger indicators.</w:t>
      </w:r>
    </w:p>
    <w:p w14:paraId="00100076" w14:textId="00100077">
      <w:pPr>
        <w:pStyle w:val="Heading2"/>
        <w:spacing w:before="200" w:after="120"/>
      </w:pPr>
      <w:r>
        <w:rPr>
          <w:b/>
          <w:sz w:val="28"/>
        </w:rPr>
        <w:t xml:space="preserve">8.4 Evidence Integrity Methodology</w:t>
      </w:r>
    </w:p>
    <w:p w14:paraId="00100078" w14:textId="00100079">
      <w:pPr>
        <w:pStyle w:val="Normal"/>
        <w:spacing w:after="160"/>
      </w:pPr>
      <w:r>
        <w:rPr>
          <w:sz w:val="22"/>
        </w:rPr>
        <w:t xml:space="preserve">The evidence integrity module uses Python's hashlib.sha256 to compute the SHA-256 cryptographic hash of any local file. File reading is done in 64 KB chunks to handle large files efficiently. The computed hash can be compared against a previously recorded hash to detect any byte-level modification. The module explicitly disclaims that hash consistency does not establish chain of custody or legal authenticity.</w:t>
      </w:r>
    </w:p>
    <w:p w14:paraId="0010007A" w14:textId="0010007B">
      <w:pPr>
        <w:pStyle w:val="Heading1"/>
        <w:spacing w:before="360" w:after="160"/>
      </w:pPr>
      <w:r>
        <w:rPr>
          <w:b/>
          <w:sz w:val="36"/>
        </w:rPr>
        <w:t xml:space="preserve">9. Technologies Used</w:t>
      </w:r>
    </w:p>
    <w:p w14:paraId="0010007C" w14:textId="0010007D">
      <w:pPr>
        <w:pStyle w:val="Normal"/>
        <w:numPr>
          <w:ilvl w:val="0"/>
          <w:numId w:val="5"/>
        </w:numPr>
        <w:spacing w:after="80"/>
      </w:pPr>
      <w:r>
        <w:rPr>
          <w:sz w:val="22"/>
        </w:rPr>
        <w:t xml:space="preserve">Python 3.8+: all application logic. No Node.js, Express, PHP, or Java.</w:t>
      </w:r>
    </w:p>
    <w:p w14:paraId="0010007E" w14:textId="0010007F">
      <w:pPr>
        <w:pStyle w:val="Normal"/>
        <w:numPr>
          <w:ilvl w:val="0"/>
          <w:numId w:val="5"/>
        </w:numPr>
        <w:spacing w:after="80"/>
      </w:pPr>
      <w:r>
        <w:rPr>
          <w:sz w:val="22"/>
        </w:rPr>
        <w:t xml:space="preserve">Jupyter Notebook (.ipynb): interactive implementation and demonstration environment.</w:t>
      </w:r>
    </w:p>
    <w:p w14:paraId="00100080" w14:textId="00100081">
      <w:pPr>
        <w:pStyle w:val="Normal"/>
        <w:numPr>
          <w:ilvl w:val="0"/>
          <w:numId w:val="5"/>
        </w:numPr>
        <w:spacing w:after="80"/>
      </w:pPr>
      <w:r>
        <w:rPr>
          <w:sz w:val="22"/>
        </w:rPr>
        <w:t xml:space="preserve">re (standard library): compiled regular expression patterns for message analysis.</w:t>
      </w:r>
    </w:p>
    <w:p w14:paraId="00100082" w14:textId="00100083">
      <w:pPr>
        <w:pStyle w:val="Normal"/>
        <w:numPr>
          <w:ilvl w:val="0"/>
          <w:numId w:val="5"/>
        </w:numPr>
        <w:spacing w:after="80"/>
      </w:pPr>
      <w:r>
        <w:rPr>
          <w:sz w:val="22"/>
        </w:rPr>
        <w:t xml:space="preserve">hashlib (standard library): SHA-256 cryptographic hashing for evidence integrity.</w:t>
      </w:r>
    </w:p>
    <w:p w14:paraId="00100084" w14:textId="00100085">
      <w:pPr>
        <w:pStyle w:val="Normal"/>
        <w:numPr>
          <w:ilvl w:val="0"/>
          <w:numId w:val="5"/>
        </w:numPr>
        <w:spacing w:after="80"/>
      </w:pPr>
      <w:r>
        <w:rPr>
          <w:sz w:val="22"/>
        </w:rPr>
        <w:t xml:space="preserve">urllib.parse (standard library): URL parsing and structural analysis.</w:t>
      </w:r>
    </w:p>
    <w:p w14:paraId="00100086" w14:textId="00100087">
      <w:pPr>
        <w:pStyle w:val="Normal"/>
        <w:numPr>
          <w:ilvl w:val="0"/>
          <w:numId w:val="5"/>
        </w:numPr>
        <w:spacing w:after="80"/>
      </w:pPr>
      <w:r>
        <w:rPr>
          <w:sz w:val="22"/>
        </w:rPr>
        <w:t xml:space="preserve">json (standard library): structured incident report serialisation.</w:t>
      </w:r>
    </w:p>
    <w:p w14:paraId="00100088" w14:textId="00100089">
      <w:pPr>
        <w:pStyle w:val="Normal"/>
        <w:numPr>
          <w:ilvl w:val="0"/>
          <w:numId w:val="5"/>
        </w:numPr>
        <w:spacing w:after="80"/>
      </w:pPr>
      <w:r>
        <w:rPr>
          <w:sz w:val="22"/>
        </w:rPr>
        <w:t xml:space="preserve">pathlib (standard library): safe, cross-platform file path handling.</w:t>
      </w:r>
    </w:p>
    <w:p w14:paraId="0010008A" w14:textId="0010008B">
      <w:pPr>
        <w:pStyle w:val="Normal"/>
        <w:numPr>
          <w:ilvl w:val="0"/>
          <w:numId w:val="5"/>
        </w:numPr>
        <w:spacing w:after="160"/>
      </w:pPr>
      <w:r>
        <w:rPr>
          <w:sz w:val="22"/>
        </w:rPr>
        <w:t xml:space="preserve">datetime (standard library): UTC timestamps for incident records.</w:t>
      </w:r>
    </w:p>
    <w:p w14:paraId="0010008C" w14:textId="0010008D">
      <w:pPr>
        <w:pStyle w:val="Heading1"/>
        <w:spacing w:before="360" w:after="160"/>
      </w:pPr>
      <w:r>
        <w:rPr>
          <w:b/>
          <w:sz w:val="36"/>
        </w:rPr>
        <w:t xml:space="preserve">10. Implementation Details</w:t>
      </w:r>
    </w:p>
    <w:p w14:paraId="0010008E" w14:textId="0010008F">
      <w:pPr>
        <w:pStyle w:val="Heading2"/>
        <w:spacing w:before="200" w:after="120"/>
      </w:pPr>
      <w:r>
        <w:rPr>
          <w:b/>
          <w:sz w:val="28"/>
        </w:rPr>
        <w:t xml:space="preserve">10.1 URL Analysis Implementation</w:t>
      </w:r>
    </w:p>
    <w:p w14:paraId="00100090" w14:textId="00100091">
      <w:pPr>
        <w:pStyle w:val="Normal"/>
        <w:spacing w:after="160"/>
      </w:pPr>
      <w:r>
        <w:rPr>
          <w:sz w:val="22"/>
        </w:rPr>
        <w:t xml:space="preserve">The analyze_url() function accepts a string, normalises it for parsing, extracts hostname, path, query, scheme, and port components, then applies each of the 14 indicator checks in sequence. Each detected indicator adds its pre-configured weight to the cumulative score. The function returns a structured Python dictionary containing a validity flag, the list of detected indicators with their weights and descriptions, the total score, the risk level, a human-readable summary, and a disclaimer. The URL is never fetched or opened at any point.</w:t>
      </w:r>
    </w:p>
    <w:p w14:paraId="00100092" w14:textId="00100093">
      <w:pPr>
        <w:pStyle w:val="Heading2"/>
        <w:spacing w:before="200" w:after="120"/>
      </w:pPr>
      <w:r>
        <w:rPr>
          <w:b/>
          <w:sz w:val="28"/>
        </w:rPr>
        <w:t xml:space="preserve">10.2 Message Analysis Implementation</w:t>
      </w:r>
    </w:p>
    <w:p w14:paraId="00100094" w14:textId="00100095">
      <w:pPr>
        <w:pStyle w:val="Normal"/>
        <w:spacing w:after="160"/>
      </w:pPr>
      <w:r>
        <w:rPr>
          <w:sz w:val="22"/>
        </w:rPr>
        <w:t xml:space="preserve">The analyze_message() function iterates over the 10 compiled MSG_PATTERNS. For each pattern that finds a match in the message text, the function records the indicator name, weight, matched sample strings, and a human-readable description. The cumulative score drives the same risk classification as URL analysis. Sample matches are limited to five per indicator to avoid verbose output.</w:t>
      </w:r>
    </w:p>
    <w:p w14:paraId="00100096" w14:textId="00100097">
      <w:pPr>
        <w:pStyle w:val="Heading2"/>
        <w:spacing w:before="200" w:after="120"/>
      </w:pPr>
      <w:r>
        <w:rPr>
          <w:b/>
          <w:sz w:val="28"/>
        </w:rPr>
        <w:t xml:space="preserve">10.3 Evidence Integrity Implementation</w:t>
      </w:r>
    </w:p>
    <w:p w14:paraId="00100098" w14:textId="00100099">
      <w:pPr>
        <w:pStyle w:val="Normal"/>
        <w:spacing w:after="160"/>
      </w:pPr>
      <w:r>
        <w:rPr>
          <w:sz w:val="22"/>
        </w:rPr>
        <w:t xml:space="preserve">The compute_sha256() function uses Python's pathlib.Path to resolve the file path safely, checks for existence and file type, then reads the file in 64 KB chunks using a streaming loop. This approach handles files of arbitrary size without loading them entirely into memory. The verify_integrity() helper wraps compute_sha256() and performs a case-insensitive hex string comparison. An in-memory helper (compute_sha256_from_bytes()) supports unit testing without filesystem I/O.</w:t>
      </w:r>
    </w:p>
    <w:p w14:paraId="0010009A" w14:textId="0010009B">
      <w:pPr>
        <w:pStyle w:val="Heading2"/>
        <w:spacing w:before="200" w:after="120"/>
      </w:pPr>
      <w:r>
        <w:rPr>
          <w:b/>
          <w:sz w:val="28"/>
        </w:rPr>
        <w:t xml:space="preserve">10.4 Incident Report Implementation</w:t>
      </w:r>
    </w:p>
    <w:p w14:paraId="0010009C" w14:textId="0010009D">
      <w:pPr>
        <w:pStyle w:val="Normal"/>
        <w:spacing w:after="160"/>
      </w:pPr>
      <w:r>
        <w:rPr>
          <w:sz w:val="22"/>
        </w:rPr>
        <w:t xml:space="preserve">The build_incident_record() function accepts URL, message, and hash results, determines the overall risk level (maximum of all individual risk levels), and generates a prioritised list of recommendations. For High-risk incidents, additional recommendations include reporting to CERT-In and blocking at the network gateway. The export_report_json() and export_report_text() functions serialise the record to JSON and plain text respectively, with optional file output.</w:t>
      </w:r>
    </w:p>
    <w:p w14:paraId="0010009E" w14:textId="0010009F">
      <w:pPr>
        <w:pStyle w:val="Heading1"/>
        <w:spacing w:before="360" w:after="160"/>
      </w:pPr>
      <w:r>
        <w:rPr>
          <w:b/>
          <w:sz w:val="36"/>
        </w:rPr>
        <w:t xml:space="preserve">11. Testing Methodology and Results</w:t>
      </w:r>
    </w:p>
    <w:p w14:paraId="001000A0" w14:textId="001000A1">
      <w:pPr>
        <w:pStyle w:val="Normal"/>
        <w:spacing w:after="160"/>
      </w:pPr>
      <w:r>
        <w:rPr>
          <w:sz w:val="22"/>
        </w:rPr>
        <w:t xml:space="preserve">A custom test runner class (TestRunner) was implemented directly in the notebook. All 20 test cases are executed automatically when the notebook is run from top to bottom. Each test case prints its name, expected value, actual value, and a PASS or FAIL status. The test summary is displayed at the end of the test section.</w:t>
      </w:r>
    </w:p>
    <w:p w14:paraId="001000A2" w14:textId="001000A3">
      <w:pPr>
        <w:pStyle w:val="Normal"/>
        <w:spacing w:after="160"/>
      </w:pPr>
      <w:r>
        <w:rPr>
          <w:sz w:val="22"/>
        </w:rPr>
        <w:t xml:space="preserve">Test cases cover: legitimate HTTPS URL (Low risk), IP-based URL host (High risk), URL shortener detection, suspicious TLD detection, @ symbol in URL, empty URL input, malformed URL, phishing SMS (High risk), ordinary message (Low risk), empty message input, SHA-256 consistency for identical bytes, SHA-256 difference for modified bytes, file-based hash consistency, non-existent file handling, risk classification boundary values (0, 2, 3, 5, 6, 99), brand impersonation detection, incident record overall risk elevation, JSON report validity, OTP mention detection, and tamper detection via verify_integrity().</w:t>
      </w:r>
    </w:p>
    <w:p w14:paraId="001000A4" w14:textId="001000A5">
      <w:pPr>
        <w:pStyle w:val="Normal"/>
        <w:spacing w:after="160"/>
      </w:pPr>
      <w:r>
        <w:rPr>
          <w:sz w:val="22"/>
        </w:rPr>
        <w:t xml:space="preserve">All 20 test cases are expected to pass when the notebook is executed in a standard Python 3.8+ environment. No external services or API keys are required. Results are printed directly in the notebook output.</w:t>
      </w:r>
    </w:p>
    <w:p w14:paraId="001000A6" w14:textId="001000A7">
      <w:pPr>
        <w:pStyle w:val="Heading1"/>
        <w:spacing w:before="360" w:after="160"/>
      </w:pPr>
      <w:r>
        <w:rPr>
          <w:b/>
          <w:sz w:val="36"/>
        </w:rPr>
        <w:t xml:space="preserve">12. Sample Output Descriptions</w:t>
      </w:r>
    </w:p>
    <w:p w14:paraId="001000A8" w14:textId="001000A9">
      <w:pPr>
        <w:pStyle w:val="Heading2"/>
        <w:spacing w:before="200" w:after="120"/>
      </w:pPr>
      <w:r>
        <w:rPr>
          <w:b/>
          <w:sz w:val="28"/>
        </w:rPr>
        <w:t xml:space="preserve">12.1 URL Analysis Output</w:t>
      </w:r>
    </w:p>
    <w:p w14:paraId="001000AA" w14:textId="001000AB">
      <w:pPr>
        <w:pStyle w:val="Normal"/>
        <w:spacing w:after="160"/>
      </w:pPr>
      <w:r>
        <w:rPr>
          <w:sz w:val="22"/>
        </w:rPr>
        <w:t xml:space="preserve">For the synthetic URL 'http://sbi-bank-secure-login.xyz/account/verify', the URL analysis module produces: Risk Level = High, Score = 7, Indicators = [misleading_brand (+2), suspicious_tld (+2), suspicious_keywords (+2), http_not_https (+1)]. Each indicator includes a human-readable explanation. The output also includes a disclaimer stating that this is a heuristic assessment.</w:t>
      </w:r>
    </w:p>
    <w:p w14:paraId="001000AC" w14:textId="001000AD">
      <w:pPr>
        <w:pStyle w:val="Heading2"/>
        <w:spacing w:before="200" w:after="120"/>
      </w:pPr>
      <w:r>
        <w:rPr>
          <w:b/>
          <w:sz w:val="28"/>
        </w:rPr>
        <w:t xml:space="preserve">12.2 Message Analysis Output</w:t>
      </w:r>
    </w:p>
    <w:p w14:paraId="001000AE" w14:textId="001000AF">
      <w:pPr>
        <w:pStyle w:val="Normal"/>
        <w:spacing w:after="160"/>
      </w:pPr>
      <w:r>
        <w:rPr>
          <w:sz w:val="22"/>
        </w:rPr>
        <w:t xml:space="preserve">For the synthetic phishing SMS beginning with 'Dear Customer, your SBI account has been SUSPENDED...', the message analysis module produces: Risk Level = High, Score = 13, Indicators = [urgency_language, threat_language, sensitive_data_request, impersonation, suspicious_link, generic_greeting, call_to_action, otp_or_pin_mention]. The output includes matched sample strings for each indicator.</w:t>
      </w:r>
    </w:p>
    <w:p w14:paraId="001000B0" w14:textId="001000B1">
      <w:pPr>
        <w:pStyle w:val="Heading2"/>
        <w:spacing w:before="200" w:after="120"/>
      </w:pPr>
      <w:r>
        <w:rPr>
          <w:b/>
          <w:sz w:val="28"/>
        </w:rPr>
        <w:t xml:space="preserve">12.3 Evidence Integrity Output</w:t>
      </w:r>
    </w:p>
    <w:p w14:paraId="001000B2" w14:textId="001000B3">
      <w:pPr>
        <w:pStyle w:val="Normal"/>
        <w:spacing w:after="160"/>
      </w:pPr>
      <w:r>
        <w:rPr>
          <w:sz w:val="22"/>
        </w:rPr>
        <w:t xml:space="preserve">The demonstration creates a synthetic evidence file, computes its SHA-256 hash (e.g. a64-character hex string), re-computes it to confirm consistency, then appends '[MODIFIED]' to the file and re-computes the hash to demonstrate that the hash changes. The output confirms 'Match: True' for the unmodified case and 'MISMATCH — modification detected!' after tampering.</w:t>
      </w:r>
    </w:p>
    <w:p w14:paraId="001000B4" w14:textId="001000B5">
      <w:pPr>
        <w:pStyle w:val="Heading1"/>
        <w:spacing w:before="360" w:after="160"/>
      </w:pPr>
      <w:r>
        <w:rPr>
          <w:b/>
          <w:sz w:val="36"/>
        </w:rPr>
        <w:t xml:space="preserve">13. Security and Privacy Considerations</w:t>
      </w:r>
    </w:p>
    <w:p w14:paraId="001000B6" w14:textId="001000B7">
      <w:pPr>
        <w:pStyle w:val="Normal"/>
        <w:numPr>
          <w:ilvl w:val="0"/>
          <w:numId w:val="6"/>
        </w:numPr>
        <w:spacing w:after="80"/>
      </w:pPr>
      <w:r>
        <w:rPr>
          <w:sz w:val="22"/>
        </w:rPr>
        <w:t xml:space="preserve">Privacy by design: SentinelX never transmits user input (URLs, messages, file content) to any external server. All analysis runs in local memory.</w:t>
      </w:r>
    </w:p>
    <w:p w14:paraId="001000B8" w14:textId="001000B9">
      <w:pPr>
        <w:pStyle w:val="Normal"/>
        <w:numPr>
          <w:ilvl w:val="0"/>
          <w:numId w:val="6"/>
        </w:numPr>
        <w:spacing w:after="80"/>
      </w:pPr>
      <w:r>
        <w:rPr>
          <w:sz w:val="22"/>
        </w:rPr>
        <w:t xml:space="preserve">No credential storage: the system does not accept, store, or log passwords, PINs, OTPs, or payment card details.</w:t>
      </w:r>
    </w:p>
    <w:p w14:paraId="001000BA" w14:textId="001000BB">
      <w:pPr>
        <w:pStyle w:val="Normal"/>
        <w:numPr>
          <w:ilvl w:val="0"/>
          <w:numId w:val="6"/>
        </w:numPr>
        <w:spacing w:after="80"/>
      </w:pPr>
      <w:r>
        <w:rPr>
          <w:sz w:val="22"/>
        </w:rPr>
        <w:t xml:space="preserve">URL safety: submitted URLs are never fetched, rendered, or opened. The system parses the URL string only.</w:t>
      </w:r>
    </w:p>
    <w:p w14:paraId="001000BC" w14:textId="001000BD">
      <w:pPr>
        <w:pStyle w:val="Normal"/>
        <w:numPr>
          <w:ilvl w:val="0"/>
          <w:numId w:val="6"/>
        </w:numPr>
        <w:spacing w:after="80"/>
      </w:pPr>
      <w:r>
        <w:rPr>
          <w:sz w:val="22"/>
        </w:rPr>
        <w:t xml:space="preserve">Safe file operations: file access uses Python's pathlib and hashlib. No file is executed, modified (except the synthetic demonstration), or transmitted.</w:t>
      </w:r>
    </w:p>
    <w:p w14:paraId="001000BE" w14:textId="001000BF">
      <w:pPr>
        <w:pStyle w:val="Normal"/>
        <w:numPr>
          <w:ilvl w:val="0"/>
          <w:numId w:val="6"/>
        </w:numPr>
        <w:spacing w:after="80"/>
      </w:pPr>
      <w:r>
        <w:rPr>
          <w:sz w:val="22"/>
        </w:rPr>
        <w:t xml:space="preserve">Minimal data principle: incident records include only the information needed for the analysis. The privacy notice in each record confirms no sensitive personal information is stored.</w:t>
      </w:r>
    </w:p>
    <w:p w14:paraId="001000C0" w14:textId="001000C1">
      <w:pPr>
        <w:pStyle w:val="Normal"/>
        <w:numPr>
          <w:ilvl w:val="0"/>
          <w:numId w:val="6"/>
        </w:numPr>
        <w:spacing w:after="160"/>
      </w:pPr>
      <w:r>
        <w:rPr>
          <w:sz w:val="22"/>
        </w:rPr>
        <w:t xml:space="preserve">Transparent heuristics: all scoring rules, weights, and thresholds are published in the configuration section of the notebook. Users can review and adjust them.</w:t>
      </w:r>
    </w:p>
    <w:p w14:paraId="001000C2" w14:textId="001000C3">
      <w:pPr>
        <w:pStyle w:val="Heading1"/>
        <w:spacing w:before="360" w:after="160"/>
      </w:pPr>
      <w:r>
        <w:rPr>
          <w:b/>
          <w:sz w:val="36"/>
        </w:rPr>
        <w:t xml:space="preserve">14. Limitations</w:t>
      </w:r>
    </w:p>
    <w:p w14:paraId="001000C4" w14:textId="001000C5">
      <w:pPr>
        <w:pStyle w:val="Normal"/>
        <w:numPr>
          <w:ilvl w:val="0"/>
          <w:numId w:val="7"/>
        </w:numPr>
        <w:spacing w:after="80"/>
      </w:pPr>
      <w:r>
        <w:rPr>
          <w:sz w:val="22"/>
        </w:rPr>
        <w:t xml:space="preserve">Heuristic-only: SentinelX uses pattern matching and structural checks. It does not query live threat-intelligence feeds. A URL passing all checks may still be malicious.</w:t>
      </w:r>
    </w:p>
    <w:p w14:paraId="001000C6" w14:textId="001000C7">
      <w:pPr>
        <w:pStyle w:val="Normal"/>
        <w:numPr>
          <w:ilvl w:val="0"/>
          <w:numId w:val="7"/>
        </w:numPr>
        <w:spacing w:after="80"/>
      </w:pPr>
      <w:r>
        <w:rPr>
          <w:sz w:val="22"/>
        </w:rPr>
        <w:t xml:space="preserve">No URL fetching: the prototype cannot detect phishing content embedded only in the rendered page (JavaScript-driven, image-based, or redirected pages).</w:t>
      </w:r>
    </w:p>
    <w:p w14:paraId="001000C8" w14:textId="001000C9">
      <w:pPr>
        <w:pStyle w:val="Normal"/>
        <w:numPr>
          <w:ilvl w:val="0"/>
          <w:numId w:val="7"/>
        </w:numPr>
        <w:spacing w:after="80"/>
      </w:pPr>
      <w:r>
        <w:rPr>
          <w:sz w:val="22"/>
        </w:rPr>
        <w:t xml:space="preserve">False positives and negatives: legitimate organisations sometimes use URL shorteners or urgency language. Sophisticated phishing can pass all structural checks.</w:t>
      </w:r>
    </w:p>
    <w:p w14:paraId="001000CA" w14:textId="001000CB">
      <w:pPr>
        <w:pStyle w:val="Normal"/>
        <w:numPr>
          <w:ilvl w:val="0"/>
          <w:numId w:val="7"/>
        </w:numPr>
        <w:spacing w:after="80"/>
      </w:pPr>
      <w:r>
        <w:rPr>
          <w:sz w:val="22"/>
        </w:rPr>
        <w:t xml:space="preserve">Language coverage: message analysis patterns are primarily in English. Multi-lingual phishing in regional Indian scripts is not covered.</w:t>
      </w:r>
    </w:p>
    <w:p w14:paraId="001000CC" w14:textId="001000CD">
      <w:pPr>
        <w:pStyle w:val="Normal"/>
        <w:numPr>
          <w:ilvl w:val="0"/>
          <w:numId w:val="7"/>
        </w:numPr>
        <w:spacing w:after="80"/>
      </w:pPr>
      <w:r>
        <w:rPr>
          <w:sz w:val="22"/>
        </w:rPr>
        <w:t xml:space="preserve">Evidence integrity scope: SHA-256 hashing confirms content consistency, not authenticity, chain of custody, or timestamp accuracy.</w:t>
      </w:r>
    </w:p>
    <w:p w14:paraId="001000CE" w14:textId="001000CF">
      <w:pPr>
        <w:pStyle w:val="Normal"/>
        <w:numPr>
          <w:ilvl w:val="0"/>
          <w:numId w:val="7"/>
        </w:numPr>
        <w:spacing w:after="80"/>
      </w:pPr>
      <w:r>
        <w:rPr>
          <w:sz w:val="22"/>
        </w:rPr>
        <w:t xml:space="preserve">Static threat lists: suspicious-TLD and brand-keyword lists are static and may become outdated.</w:t>
      </w:r>
    </w:p>
    <w:p w14:paraId="001000D0" w14:textId="001000D1">
      <w:pPr>
        <w:pStyle w:val="Normal"/>
        <w:numPr>
          <w:ilvl w:val="0"/>
          <w:numId w:val="7"/>
        </w:numPr>
        <w:spacing w:after="160"/>
      </w:pPr>
      <w:r>
        <w:rPr>
          <w:sz w:val="22"/>
        </w:rPr>
        <w:t xml:space="preserve">Prototype only: not suitable as the sole decision-making tool for legal or security-enforcement purposes.</w:t>
      </w:r>
    </w:p>
    <w:p w14:paraId="001000D2" w14:textId="001000D3">
      <w:pPr>
        <w:pStyle w:val="Heading1"/>
        <w:spacing w:before="360" w:after="160"/>
      </w:pPr>
      <w:r>
        <w:rPr>
          <w:b/>
          <w:sz w:val="36"/>
        </w:rPr>
        <w:t xml:space="preserve">15. Future Enhancements</w:t>
      </w:r>
    </w:p>
    <w:p w14:paraId="001000D4" w14:textId="001000D5">
      <w:pPr>
        <w:pStyle w:val="Normal"/>
        <w:numPr>
          <w:ilvl w:val="0"/>
          <w:numId w:val="8"/>
        </w:numPr>
        <w:spacing w:after="80"/>
      </w:pPr>
      <w:r>
        <w:rPr>
          <w:sz w:val="22"/>
        </w:rPr>
        <w:t xml:space="preserve">Optional integration with VirusTotal or PhishTank APIs (with user-provided API key) for live threat intelligence.</w:t>
      </w:r>
    </w:p>
    <w:p w14:paraId="001000D6" w14:textId="001000D7">
      <w:pPr>
        <w:pStyle w:val="Normal"/>
        <w:numPr>
          <w:ilvl w:val="0"/>
          <w:numId w:val="8"/>
        </w:numPr>
        <w:spacing w:after="80"/>
      </w:pPr>
      <w:r>
        <w:rPr>
          <w:sz w:val="22"/>
        </w:rPr>
        <w:t xml:space="preserve">Machine learning model trained on the UCI Phishing Websites Dataset or PhishTank data for improved URL classification accuracy.</w:t>
      </w:r>
    </w:p>
    <w:p w14:paraId="001000D8" w14:textId="001000D9">
      <w:pPr>
        <w:pStyle w:val="Normal"/>
        <w:numPr>
          <w:ilvl w:val="0"/>
          <w:numId w:val="8"/>
        </w:numPr>
        <w:spacing w:after="80"/>
      </w:pPr>
      <w:r>
        <w:rPr>
          <w:sz w:val="22"/>
        </w:rPr>
        <w:t xml:space="preserve">Multi-lingual message analysis supporting Hindi, Tamil, Telugu, and other regional language transliterations.</w:t>
      </w:r>
    </w:p>
    <w:p w14:paraId="001000DA" w14:textId="001000DB">
      <w:pPr>
        <w:pStyle w:val="Normal"/>
        <w:numPr>
          <w:ilvl w:val="0"/>
          <w:numId w:val="8"/>
        </w:numPr>
        <w:spacing w:after="80"/>
      </w:pPr>
      <w:r>
        <w:rPr>
          <w:sz w:val="22"/>
        </w:rPr>
        <w:t xml:space="preserve">PDF report export using reportlab or similar library.</w:t>
      </w:r>
    </w:p>
    <w:p w14:paraId="001000DC" w14:textId="001000DD">
      <w:pPr>
        <w:pStyle w:val="Normal"/>
        <w:numPr>
          <w:ilvl w:val="0"/>
          <w:numId w:val="8"/>
        </w:numPr>
        <w:spacing w:after="80"/>
      </w:pPr>
      <w:r>
        <w:rPr>
          <w:sz w:val="22"/>
        </w:rPr>
        <w:t xml:space="preserve">Periodic automatic update of the suspicious-TLD and brand-keyword lists from a maintained open-source feed.</w:t>
      </w:r>
    </w:p>
    <w:p w14:paraId="001000DE" w14:textId="001000DF">
      <w:pPr>
        <w:pStyle w:val="Normal"/>
        <w:numPr>
          <w:ilvl w:val="0"/>
          <w:numId w:val="8"/>
        </w:numPr>
        <w:spacing w:after="80"/>
      </w:pPr>
      <w:r>
        <w:rPr>
          <w:sz w:val="22"/>
        </w:rPr>
        <w:t xml:space="preserve">Simple web interface using Flask or Streamlit for users who prefer a GUI over a Jupyter Notebook.</w:t>
      </w:r>
    </w:p>
    <w:p w14:paraId="001000E0" w14:textId="001000E1">
      <w:pPr>
        <w:pStyle w:val="Normal"/>
        <w:numPr>
          <w:ilvl w:val="0"/>
          <w:numId w:val="8"/>
        </w:numPr>
        <w:spacing w:after="160"/>
      </w:pPr>
      <w:r>
        <w:rPr>
          <w:sz w:val="22"/>
        </w:rPr>
        <w:t xml:space="preserve">Integration with WHOIS and DNS lookup (using dnspython) for domain-age and registration-authority checks.</w:t>
      </w:r>
    </w:p>
    <w:p w14:paraId="001000E2" w14:textId="001000E3">
      <w:pPr>
        <w:pStyle w:val="Heading1"/>
        <w:spacing w:before="360" w:after="160"/>
      </w:pPr>
      <w:r>
        <w:rPr>
          <w:b/>
          <w:sz w:val="36"/>
        </w:rPr>
        <w:t xml:space="preserve">16. Conclusion</w:t>
      </w:r>
    </w:p>
    <w:p w14:paraId="001000E4" w14:textId="001000E5">
      <w:pPr>
        <w:pStyle w:val="Normal"/>
        <w:spacing w:after="160"/>
      </w:pPr>
      <w:r>
        <w:rPr>
          <w:sz w:val="22"/>
        </w:rPr>
        <w:t xml:space="preserve">SentinelX demonstrates that meaningful, privacy-preserving cyber fraud awareness tooling can be built entirely with the Python standard library — without paid APIs, external databases, or server infrastructure. The platform covers URL heuristic analysis, message pattern analysis, transparent risk scoring, SHA-256 evidence integrity verification, and structured incident report generation.</w:t>
      </w:r>
    </w:p>
    <w:p w14:paraId="001000E6" w14:textId="001000E7">
      <w:pPr>
        <w:pStyle w:val="Normal"/>
        <w:spacing w:after="160"/>
      </w:pPr>
      <w:r>
        <w:rPr>
          <w:sz w:val="22"/>
        </w:rPr>
        <w:t xml:space="preserve">The project was implemented as part of the IBM SkillsBuild Cyber Security BootCamp 2026, conducted by BharatCares. All 20 test cases are designed to execute successfully in a standard Python 3.8+ Jupyter environment without any external dependencies. The project is fully self-contained, privacy-respecting, transparent, and appropriate for educational and awareness-raising purposes.</w:t>
      </w:r>
    </w:p>
    <w:p w14:paraId="001000E8" w14:textId="001000E9">
      <w:pPr>
        <w:pStyle w:val="Normal"/>
        <w:spacing w:after="160"/>
      </w:pPr>
      <w:r>
        <w:rPr>
          <w:sz w:val="22"/>
        </w:rPr>
        <w:t xml:space="preserve">SentinelX is a prototype and should be treated as an educational tool. It is not a replacement for professional security software, certified digital forensics examination, or expert legal counsel.</w:t>
      </w:r>
    </w:p>
    <w:p w14:paraId="001000EA" w14:textId="001000EB">
      <w:pPr>
        <w:pStyle w:val="Heading1"/>
        <w:spacing w:before="360" w:after="160"/>
      </w:pPr>
      <w:r>
        <w:rPr>
          <w:b/>
          <w:sz w:val="36"/>
        </w:rPr>
        <w:t xml:space="preserve">17. References</w:t>
      </w:r>
    </w:p>
    <w:p w14:paraId="001000EC" w14:textId="001000ED">
      <w:pPr>
        <w:pStyle w:val="Normal"/>
        <w:spacing w:after="80"/>
      </w:pPr>
      <w:r>
        <w:rPr>
          <w:sz w:val="22"/>
        </w:rPr>
        <w:t xml:space="preserve">[1] Anti-Phishing Working Group (APWG). Phishing Activity Trends Reports. https://apwg.org/resources/apwg-reports/</w:t>
      </w:r>
    </w:p>
    <w:p w14:paraId="001000EE" w14:textId="001000EF">
      <w:pPr>
        <w:pStyle w:val="Normal"/>
        <w:spacing w:after="80"/>
      </w:pPr>
      <w:r>
        <w:rPr>
          <w:sz w:val="22"/>
        </w:rPr>
        <w:t xml:space="preserve">[2] CERT-In. Indian Computer Emergency Response Team. https://www.cert-in.org.in/</w:t>
      </w:r>
    </w:p>
    <w:p w14:paraId="001000F0" w14:textId="001000F1">
      <w:pPr>
        <w:pStyle w:val="Normal"/>
        <w:spacing w:after="80"/>
      </w:pPr>
      <w:r>
        <w:rPr>
          <w:sz w:val="22"/>
        </w:rPr>
        <w:t xml:space="preserve">[3] NIST. FIPS PUB 180-4: Secure Hash Standard (SHS). https://csrc.nist.gov/publications/detail/fips/180/4/final</w:t>
      </w:r>
    </w:p>
    <w:p w14:paraId="001000F2" w14:textId="001000F3">
      <w:pPr>
        <w:pStyle w:val="Normal"/>
        <w:spacing w:after="80"/>
      </w:pPr>
      <w:r>
        <w:rPr>
          <w:sz w:val="22"/>
        </w:rPr>
        <w:t xml:space="preserve">[4] PhishTank. Community Phishing URL Database. https://www.phishtank.com/</w:t>
      </w:r>
    </w:p>
    <w:p w14:paraId="001000F4" w14:textId="001000F5">
      <w:pPr>
        <w:pStyle w:val="Normal"/>
        <w:spacing w:after="80"/>
      </w:pPr>
      <w:r>
        <w:rPr>
          <w:sz w:val="22"/>
        </w:rPr>
        <w:t xml:space="preserve">[5] OpenPhish. Phishing Intelligence. https://openphish.com/</w:t>
      </w:r>
    </w:p>
    <w:p w14:paraId="001000F6" w14:textId="001000F7">
      <w:pPr>
        <w:pStyle w:val="Normal"/>
        <w:spacing w:after="80"/>
      </w:pPr>
      <w:r>
        <w:rPr>
          <w:sz w:val="22"/>
        </w:rPr>
        <w:t xml:space="preserve">[6] Python Software Foundation. Python 3 Standard Library Documentation. https://docs.python.org/3/library/</w:t>
      </w:r>
    </w:p>
    <w:p w14:paraId="001000F8" w14:textId="001000F9">
      <w:pPr>
        <w:pStyle w:val="Normal"/>
        <w:spacing w:after="80"/>
      </w:pPr>
      <w:r>
        <w:rPr>
          <w:sz w:val="22"/>
        </w:rPr>
        <w:t xml:space="preserve">[7] OWASP. Phishing Prevention Cheat Sheet. https://cheatsheetseries.owasp.org/cheatsheets/Phishing_Prevention_Cheat_Sheet.html</w:t>
      </w:r>
    </w:p>
    <w:p w14:paraId="001000FA" w14:textId="001000FB">
      <w:pPr>
        <w:pStyle w:val="Normal"/>
        <w:spacing w:after="80"/>
      </w:pPr>
      <w:r>
        <w:rPr>
          <w:sz w:val="22"/>
        </w:rPr>
        <w:t xml:space="preserve">[8] UCI Machine Learning Repository. Phishing Websites Dataset. https://archive.ics.uci.edu/ml/datasets/phishing+websites</w:t>
      </w:r>
    </w:p>
    <w:p w14:paraId="001000FC" w14:textId="001000FD">
      <w:pPr>
        <w:pStyle w:val="Normal"/>
        <w:spacing w:after="80"/>
      </w:pPr>
      <w:r>
        <w:rPr>
          <w:sz w:val="22"/>
        </w:rPr>
        <w:t xml:space="preserve">[9] IBM. IBM SkillsBuild Cyber Security BootCamp 2026. Conducted by BharatCares.</w:t>
      </w:r>
    </w:p>
    <w:p w14:paraId="001000FE" w14:textId="001000FF">
      <w:pPr>
        <w:pStyle w:val="Normal"/>
        <w:spacing w:after="160"/>
      </w:pPr>
      <w:r>
        <w:rPr>
          <w:sz w:val="22"/>
        </w:rPr>
        <w:t xml:space="preserve">[10] NIST. SP 800-86: Guide to Integrating Forensic Techniques into Incident Response. https://csrc.nist.gov/publications/detail/sp/800/86/final</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5e8d68474fb94354" /><Relationship Type="http://schemas.openxmlformats.org/officeDocument/2006/relationships/styles" Target="/word/styles.xml" Id="R57dafca001b046a2" /><Relationship Type="http://schemas.openxmlformats.org/officeDocument/2006/relationships/theme" Target="/word/theme/theme1.xml" Id="R5c1c95e0173147f0" /><Relationship Type="http://schemas.openxmlformats.org/officeDocument/2006/relationships/numbering" Target="/word/numbering.xml" Id="R4ac88856544949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2026-10-22T11:58:41Z</dcterms:created>
  <cp:lastModifiedBy>OfficeCLI</cp:lastModifiedBy>
  <dcterms:modified xsi:type="dcterms:W3CDTF">2026-10-22T11:58:41Z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2026-10-22T11:58:42Z</vt:lpwstr>
  </op:property>
</op:Properties>
</file>