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jc w:val="center"/>
      </w:pPr>
      <w:r>
        <w:rPr>
          <w:rFonts w:ascii="Calibri" w:hAnsi="Calibri"/>
          <w:b/>
          <w:color w:val="163B63"/>
          <w:sz w:val="50"/>
        </w:rPr>
        <w:t>SEMANTIAR APP</w:t>
      </w:r>
    </w:p>
    <w:p>
      <w:pPr>
        <w:jc w:val="center"/>
      </w:pPr>
      <w:r>
        <w:rPr>
          <w:rFonts w:ascii="Calibri" w:hAnsi="Calibri"/>
          <w:b/>
          <w:color w:val="1E5D96"/>
          <w:sz w:val="36"/>
        </w:rPr>
        <w:t>Guía práctica paso a paso</w:t>
      </w:r>
    </w:p>
    <w:p>
      <w:pPr>
        <w:jc w:val="center"/>
      </w:pPr>
      <w:r>
        <w:rPr>
          <w:rFonts w:ascii="Calibri" w:hAnsi="Calibri"/>
          <w:b w:val="0"/>
          <w:color w:val="5D6B80"/>
          <w:sz w:val="22"/>
        </w:rPr>
        <w:t>Para profesionales de la salud que participan como anotadores clínicos</w:t>
      </w:r>
    </w:p>
    <w:p>
      <w:pPr>
        <w:spacing w:after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DF"/>
            <w:tcBorders>
              <w:top w:val="single" w:sz="6" w:color="E6D498"/>
              <w:left w:val="single" w:sz="6" w:color="E6D498"/>
              <w:bottom w:val="single" w:sz="6" w:color="E6D498"/>
              <w:right w:val="single" w:sz="6" w:color="E6D49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7A5A00"/>
                <w:sz w:val="21"/>
              </w:rPr>
              <w:t xml:space="preserve">Antes de empezar: 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t>esta herramienta se utiliza únicamente para investigación y docencia. No es un sistema de atención médica ni se utiliza para tomar decisiones asistenciales.</w:t>
            </w:r>
          </w:p>
        </w:tc>
      </w:tr>
    </w:tbl>
    <w:p>
      <w:pPr>
        <w:spacing w:after="60"/>
      </w:pPr>
    </w:p>
    <w:p>
      <w:pPr>
        <w:pStyle w:val="Body"/>
      </w:pPr>
      <w:r>
        <w:rPr>
          <w:rFonts w:ascii="Calibri" w:hAnsi="Calibri"/>
          <w:color w:val="24344D"/>
        </w:rPr>
        <w:t>Esta guía acompaña el uso de SemantIAr App en la página web y en Android. Explica qué hacer en cada pantalla, cómo guardar el avance y qué revisar si una nota no se puede cerrar.</w:t>
      </w:r>
    </w:p>
    <w:p>
      <w:pPr>
        <w:pStyle w:val="Heading1"/>
        <w:keepNext/>
      </w:pPr>
      <w:r>
        <w:t>El recorrido, en una mirada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32"/>
            <w:shd w:fill="EAF3FB"/>
            <w:tcBorders>
              <w:top w:val="single" w:sz="6" w:color="BDD4E9"/>
              <w:left w:val="single" w:sz="6" w:color="BDD4E9"/>
              <w:bottom w:val="single" w:sz="6" w:color="BDD4E9"/>
              <w:right w:val="single" w:sz="6" w:color="BDD4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1</w:t>
              <w:br/>
            </w:r>
            <w:r>
              <w:rPr>
                <w:rFonts w:ascii="Calibri" w:hAnsi="Calibri"/>
                <w:b/>
                <w:color w:val="163B63"/>
                <w:sz w:val="19"/>
              </w:rPr>
              <w:t>Cargar JSON</w:t>
            </w:r>
          </w:p>
        </w:tc>
        <w:tc>
          <w:tcPr>
            <w:tcW w:type="dxa" w:w="2332"/>
            <w:shd w:fill="EAF3FB"/>
            <w:tcBorders>
              <w:top w:val="single" w:sz="6" w:color="BDD4E9"/>
              <w:left w:val="single" w:sz="6" w:color="BDD4E9"/>
              <w:bottom w:val="single" w:sz="6" w:color="BDD4E9"/>
              <w:right w:val="single" w:sz="6" w:color="BDD4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2</w:t>
              <w:br/>
            </w:r>
            <w:r>
              <w:rPr>
                <w:rFonts w:ascii="Calibri" w:hAnsi="Calibri"/>
                <w:b/>
                <w:color w:val="163B63"/>
                <w:sz w:val="19"/>
              </w:rPr>
              <w:t>Revisar</w:t>
            </w:r>
          </w:p>
        </w:tc>
        <w:tc>
          <w:tcPr>
            <w:tcW w:type="dxa" w:w="2332"/>
            <w:shd w:fill="EAF3FB"/>
            <w:tcBorders>
              <w:top w:val="single" w:sz="6" w:color="BDD4E9"/>
              <w:left w:val="single" w:sz="6" w:color="BDD4E9"/>
              <w:bottom w:val="single" w:sz="6" w:color="BDD4E9"/>
              <w:right w:val="single" w:sz="6" w:color="BDD4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3</w:t>
              <w:br/>
            </w:r>
            <w:r>
              <w:rPr>
                <w:rFonts w:ascii="Calibri" w:hAnsi="Calibri"/>
                <w:b/>
                <w:color w:val="163B63"/>
                <w:sz w:val="19"/>
              </w:rPr>
              <w:t>Cerrar nota</w:t>
            </w:r>
          </w:p>
        </w:tc>
        <w:tc>
          <w:tcPr>
            <w:tcW w:type="dxa" w:w="2332"/>
            <w:shd w:fill="EAF3FB"/>
            <w:tcBorders>
              <w:top w:val="single" w:sz="6" w:color="BDD4E9"/>
              <w:left w:val="single" w:sz="6" w:color="BDD4E9"/>
              <w:bottom w:val="single" w:sz="6" w:color="BDD4E9"/>
              <w:right w:val="single" w:sz="6" w:color="BDD4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4</w:t>
              <w:br/>
            </w:r>
            <w:r>
              <w:rPr>
                <w:rFonts w:ascii="Calibri" w:hAnsi="Calibri"/>
                <w:b/>
                <w:color w:val="163B63"/>
                <w:sz w:val="19"/>
              </w:rPr>
              <w:t>Guardar avance</w:t>
            </w:r>
          </w:p>
        </w:tc>
      </w:tr>
    </w:tbl>
    <w:p>
      <w:pPr>
        <w:pStyle w:val="Body"/>
      </w:pPr>
      <w:r>
        <w:rPr>
          <w:rFonts w:ascii="Calibri" w:hAnsi="Calibri"/>
          <w:color w:val="24344D"/>
        </w:rPr>
        <w:t>La aplicación registra cada selección dentro de la sesión actual. El archivo JSON descargado es el que conserva el trabajo para continuarlo o entregarlo.</w:t>
      </w:r>
    </w:p>
    <w:p>
      <w:r>
        <w:br w:type="page"/>
      </w:r>
    </w:p>
    <w:p>
      <w:pPr>
        <w:pStyle w:val="Heading1"/>
        <w:keepNext/>
      </w:pPr>
      <w:r>
        <w:t>1. Abrir la aplicación</w:t>
      </w:r>
    </w:p>
    <w:p>
      <w:pPr>
        <w:pStyle w:val="Body"/>
      </w:pPr>
      <w:r>
        <w:rPr>
          <w:rFonts w:ascii="Calibri" w:hAnsi="Calibri"/>
          <w:color w:val="24344D"/>
        </w:rPr>
        <w:t>Podés trabajar desde la página web o desde la aplicación Android. El contenido y el archivo JSON de avance son compatibles entre ambas opciones para los lotes de anotación asistida.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shd w:fill="F5F8FC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Página web</w:t>
              <w:br/>
            </w:r>
            <w:r>
              <w:rPr>
                <w:rFonts w:ascii="Calibri" w:hAnsi="Calibri"/>
                <w:b w:val="0"/>
                <w:color w:val="24344D"/>
                <w:sz w:val="20"/>
              </w:rPr>
              <w:t>Abrí https://manwithbarba.github.io/semantiar_anotador/ desde una computadora o el navegador del celular.</w:t>
            </w:r>
          </w:p>
        </w:tc>
        <w:tc>
          <w:tcPr>
            <w:tcW w:type="dxa" w:w="4680"/>
            <w:shd w:fill="F5F8FC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Android</w:t>
              <w:br/>
            </w:r>
            <w:r>
              <w:rPr>
                <w:rFonts w:ascii="Calibri" w:hAnsi="Calibri"/>
                <w:b w:val="0"/>
                <w:color w:val="24344D"/>
                <w:sz w:val="20"/>
              </w:rPr>
              <w:t>Descargá la versión tester desde GitHub Releases. Instalá el APK y abrí SemantIAr App desde el ícono del teléfono.</w:t>
            </w:r>
          </w:p>
        </w:tc>
      </w:tr>
    </w:tbl>
    <w:p>
      <w:pPr>
        <w:pStyle w:val="Heading2"/>
        <w:keepNext/>
      </w:pPr>
      <w:r>
        <w:t>Pantalla de inicio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4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ar-inicio-mov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D6B80"/>
          <w:sz w:val="18"/>
        </w:rPr>
        <w:t>Captura 1. Pantalla inicial en un teléfono. El primer paso es tocar Cargar JSON.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DF"/>
            <w:tcBorders>
              <w:top w:val="single" w:sz="6" w:color="E6D498"/>
              <w:left w:val="single" w:sz="6" w:color="E6D498"/>
              <w:bottom w:val="single" w:sz="6" w:color="E6D498"/>
              <w:right w:val="single" w:sz="6" w:color="E6D49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7A5A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t>cargá solamente el JSON que te fue asignado. No incorpores datos identificatorios de pacientes.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2. Cargar el archivo asignado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1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Tocá Cargar JSON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Está en la parte superior de la pantalla inicial. En Android puede mostrarse como Cargar archivo JSON.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2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Elegí tu archivo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Buscá el archivo .json que recibiste del equipo de investigación. Verificá que sea el correspondiente a tu identificador de anotador.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3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Comprobá que se cargó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Vas a ver el nombre del caso o de la primera nota y el progreso. Si retomás un trabajo, elegí el último JSON de avance que descargaste.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Revisar una nota</w:t>
      </w:r>
    </w:p>
    <w:p>
      <w:pPr>
        <w:pStyle w:val="Body"/>
      </w:pPr>
      <w:r>
        <w:rPr>
          <w:rFonts w:ascii="Calibri" w:hAnsi="Calibri"/>
          <w:color w:val="24344D"/>
        </w:rPr>
        <w:t>La pantalla está organizada para avanzar de forma ordenada. Los accesos superiores Nota, Formas, Conceptos y Cierre son enlaces: al tocarlos vas directamente a esa sección del caso actual.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1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Leé la nota completa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No te limites a los términos resaltados. El objetivo es revisar exhaustivamente el texto clínico.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2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Revisá las formas breves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Cada tarjeta corresponde a una abreviatura, sigla o acrónimo. Indicá cómo está escrita, si el significado se puede resolver y el papel que cumple en la nota. Si el contexto no alcanza, la ambigüedad o la abstención son respuestas válidas.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3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Revisá los conceptos clínicos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Para cada mención relevante, elegí la jerarquía (Hallazgo clínico, Procedimiento o Fármaco), buscá el concepto y completá su contexto: polaridad, certeza, temporalidad y sujeto.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4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Agregá una mención omitida si hace falta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En celular usá Agregar mención clínica: escribí la expresión tal como aparece y elegí la aparición correcta. Esto evita tener que arrastrar con precisión sobre la pantalla táctil.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7F0"/>
            <w:tcBorders>
              <w:top w:val="single" w:sz="6" w:color="E6D498"/>
              <w:left w:val="single" w:sz="6" w:color="E6D498"/>
              <w:bottom w:val="single" w:sz="6" w:color="E6D498"/>
              <w:right w:val="single" w:sz="6" w:color="E6D49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7A5A00"/>
                <w:sz w:val="21"/>
              </w:rPr>
              <w:t xml:space="preserve">Qué significan los resaltados: 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t>son candidatos de revisión, no decisiones ya tomadas. Podés aceptarlos, ajustar sus límites, descartarlos o agregar menciones que falten.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Cerrar la nota</w:t>
      </w:r>
    </w:p>
    <w:p>
      <w:pPr>
        <w:pStyle w:val="Body"/>
      </w:pPr>
      <w:r>
        <w:rPr>
          <w:rFonts w:ascii="Calibri" w:hAnsi="Calibri"/>
          <w:color w:val="24344D"/>
        </w:rPr>
        <w:t>La nota queda registrada durante la edición, pero recién cuenta como completada cuando elegís un estado de cierre. Por eso el número de pendientes baja en este paso.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4344D"/>
          <w:sz w:val="21"/>
        </w:rPr>
        <w:t>Elegí Revisada con conceptos cuando registraste uno o más conceptos clínicos.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4344D"/>
          <w:sz w:val="21"/>
        </w:rPr>
        <w:t>Elegí Sin conceptos anotables cuando terminaste la revisión y no hay conceptos elegibles.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4344D"/>
          <w:sz w:val="21"/>
        </w:rPr>
        <w:t>Si cambiás una nota ya cerrada, vuelve a pendiente para que puedas revisarla y cerrarla nuevamente.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DF"/>
            <w:tcBorders>
              <w:top w:val="single" w:sz="6" w:color="E6D498"/>
              <w:left w:val="single" w:sz="6" w:color="E6D498"/>
              <w:bottom w:val="single" w:sz="6" w:color="E6D498"/>
              <w:right w:val="single" w:sz="6" w:color="E6D49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7A5A00"/>
                <w:sz w:val="21"/>
              </w:rPr>
              <w:t xml:space="preserve">Si no podés cerrar: 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t>revisá si quedan formas breves pendientes o si falta confirmar la revisión de formas. Después volvé a la sección Cierre.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5. Pasar de una nota a otra</w:t>
      </w:r>
    </w:p>
    <w:p>
      <w:pPr>
        <w:pStyle w:val="Body"/>
      </w:pPr>
      <w:r>
        <w:rPr>
          <w:rFonts w:ascii="Calibri" w:hAnsi="Calibri"/>
          <w:color w:val="24344D"/>
        </w:rPr>
        <w:t>Usá el selector Ir a una nota para cambiar de caso. Si el archivo contiene 10, 11 o más notas, el selector mostrará todas. El progreso se calcula sobre el total del archivo, no sobre un número fijo de casos.</w:t>
      </w:r>
    </w:p>
    <w:p>
      <w:r>
        <w:br w:type="page"/>
      </w:r>
    </w:p>
    <w:p>
      <w:pPr>
        <w:pStyle w:val="Heading1"/>
        <w:keepNext/>
      </w:pPr>
      <w:r>
        <w:t>6. Guardar, continuar y entregar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1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Guardá el avance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Tocá Guardar avance con frecuencia. En la página web se descarga el archivo; en Android se abre el selector del sistema para guardarlo o compartirlo.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2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Retomá otro día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Para continuar, abrí nuevamente SemantIAr App y cargá el último JSON de avance. Podés pasar de Android a la web, o de la web a Android, con el mismo archivo de anotación asistida.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E7F1F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5D96"/>
                <w:sz w:val="30"/>
              </w:rPr>
              <w:t>3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2"/>
              </w:rPr>
              <w:t>Entregá el resultado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br/>
              <w:t>Cuando todas las notas estén cerradas, descargá el JSON final y envialo por el canal indicado por el equipo investigador.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DF"/>
            <w:tcBorders>
              <w:top w:val="single" w:sz="6" w:color="E6D498"/>
              <w:left w:val="single" w:sz="6" w:color="E6D498"/>
              <w:bottom w:val="single" w:sz="6" w:color="E6D498"/>
              <w:right w:val="single" w:sz="6" w:color="E6D49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7A5A00"/>
                <w:sz w:val="21"/>
              </w:rPr>
              <w:t xml:space="preserve">No se guarda automáticamente en línea: 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t>mientras no descargues el JSON, los cambios quedan solamente en la sesión del dispositivo o navegador. No cierres ni borres el archivo de avance hasta comprobar que se guardó correctamente.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Preguntas frecuentes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951"/>
            <w:shd w:fill="E8EEF5"/>
            <w:tcBorders>
              <w:top w:val="single" w:sz="6" w:color="C9D7E5"/>
              <w:left w:val="single" w:sz="6" w:color="C9D7E5"/>
              <w:bottom w:val="single" w:sz="6" w:color="C9D7E5"/>
              <w:right w:val="single" w:sz="6" w:color="C9D7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0"/>
              </w:rPr>
              <w:t>Situación</w:t>
            </w:r>
          </w:p>
        </w:tc>
        <w:tc>
          <w:tcPr>
            <w:tcW w:type="dxa" w:w="6408"/>
            <w:shd w:fill="E8EEF5"/>
            <w:tcBorders>
              <w:top w:val="single" w:sz="6" w:color="C9D7E5"/>
              <w:left w:val="single" w:sz="6" w:color="C9D7E5"/>
              <w:bottom w:val="single" w:sz="6" w:color="C9D7E5"/>
              <w:right w:val="single" w:sz="6" w:color="C9D7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63B63"/>
                <w:sz w:val="20"/>
              </w:rPr>
              <w:t>Qué hacer</w:t>
            </w:r>
          </w:p>
        </w:tc>
      </w:tr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24344D"/>
                <w:sz w:val="19"/>
              </w:rPr>
              <w:t>El contador no baja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24344D"/>
                <w:sz w:val="19"/>
              </w:rPr>
              <w:t>Completá lo requerido y elegí una opción de cierre en la sección Cierre.</w:t>
            </w:r>
          </w:p>
        </w:tc>
      </w:tr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24344D"/>
                <w:sz w:val="19"/>
              </w:rPr>
              <w:t>No puedo cerrar la nota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24344D"/>
                <w:sz w:val="19"/>
              </w:rPr>
              <w:t>Revisá las formas breves pendientes y confirmá la revisión de formas.</w:t>
            </w:r>
          </w:p>
        </w:tc>
      </w:tr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24344D"/>
                <w:sz w:val="19"/>
              </w:rPr>
              <w:t>No encuentro una mención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24344D"/>
                <w:sz w:val="19"/>
              </w:rPr>
              <w:t>Usá Agregar mención clínica y escribí la expresión tal como aparece en el texto.</w:t>
            </w:r>
          </w:p>
        </w:tc>
      </w:tr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24344D"/>
                <w:sz w:val="19"/>
              </w:rPr>
              <w:t>La búsqueda no responde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24344D"/>
                <w:sz w:val="19"/>
              </w:rPr>
              <w:t>Comprobá la conexión. Si el problema continúa, anotá lo ocurrido y avisá al equipo investigador.</w:t>
            </w:r>
          </w:p>
        </w:tc>
      </w:tr>
      <w:tr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24344D"/>
                <w:sz w:val="19"/>
              </w:rPr>
              <w:t>Perdí la pantalla o cerré la app</w:t>
            </w:r>
          </w:p>
        </w:tc>
        <w:tc>
          <w:tcPr>
            <w:tcW w:type="dxa" w:w="4896"/>
            <w:tcBorders>
              <w:top w:val="single" w:sz="6" w:color="D7E3F0"/>
              <w:left w:val="single" w:sz="6" w:color="D7E3F0"/>
              <w:bottom w:val="single" w:sz="6" w:color="D7E3F0"/>
              <w:right w:val="single" w:sz="6" w:color="D7E3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24344D"/>
                <w:sz w:val="19"/>
              </w:rPr>
              <w:t>Buscá el último JSON de avance descargado y volvé a cargarlo.</w:t>
            </w:r>
          </w:p>
        </w:tc>
      </w:tr>
    </w:tbl>
    <w:p>
      <w:pPr>
        <w:pStyle w:val="Heading1"/>
        <w:keepNext/>
      </w:pPr>
      <w:r>
        <w:t>8. Privacidad, alcance y ayuda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4344D"/>
          <w:sz w:val="21"/>
        </w:rPr>
        <w:t>No cargues nombres, documentos, direcciones ni otros datos que identifiquen a personas.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4344D"/>
          <w:sz w:val="21"/>
        </w:rPr>
        <w:t>La aplicación es una versión tester pública, destinada exclusivamente a investigación y docencia.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4344D"/>
          <w:sz w:val="21"/>
        </w:rPr>
        <w:t>Los lotes Core Blind son de uso del investigador principal en la página web; no se abren en la aplicación Android.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24344D"/>
          <w:sz w:val="21"/>
        </w:rPr>
        <w:t>Si detectás una dificultad, guardá el JSON de avance y comunicá el caso al equipo investigador.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7F0"/>
            <w:tcBorders>
              <w:top w:val="single" w:sz="6" w:color="E6D498"/>
              <w:left w:val="single" w:sz="6" w:color="E6D498"/>
              <w:bottom w:val="single" w:sz="6" w:color="E6D498"/>
              <w:right w:val="single" w:sz="6" w:color="E6D49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7A5A00"/>
                <w:sz w:val="21"/>
              </w:rPr>
              <w:t xml:space="preserve">Checklist antes de entregar: </w:t>
            </w:r>
            <w:r>
              <w:rPr>
                <w:rFonts w:ascii="Calibri" w:hAnsi="Calibri"/>
                <w:b w:val="0"/>
                <w:color w:val="24344D"/>
                <w:sz w:val="21"/>
              </w:rPr>
              <w:t>todas las notas cerradas · JSON final descargado · archivo conservado hasta recibir confirmación de entrega.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B80"/>
        <w:sz w:val="16"/>
      </w:rPr>
      <w:t>SemantIAr App · guía práctica para anotadores</w:t>
    </w:r>
    <w:r>
      <w:t xml:space="preserve">        </w:t>
    </w:r>
    <w:r>
      <w:rPr>
        <w:rFonts w:ascii="Calibri" w:hAnsi="Calibri"/>
        <w:color w:val="5D6B80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434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5D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6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after="120" w:line="283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práctico de SemantIAr App</dc:title>
  <dc:subject>Guía paso a paso para anotadores clínicos</dc:subject>
  <dc:creator>Proyecto SEMANTIAR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