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0"/>
      </w:pPr>
    </w:p>
    <w:p>
      <w:pPr>
        <w:spacing w:after="360"/>
        <w:jc w:val="center"/>
      </w:pPr>
      <w:r>
        <w:rPr>
          <w:rFonts w:ascii="Calibri" w:hAnsi="Calibri"/>
          <w:b/>
          <w:color w:val="6941A5"/>
          <w:sz w:val="20"/>
        </w:rPr>
        <w:t>SEMANTIAR  |  PROTOCOLO OPERATIVO</w:t>
      </w:r>
    </w:p>
    <w:p>
      <w:pPr>
        <w:pStyle w:val="ManualTitle"/>
      </w:pPr>
      <w:r>
        <w:t>Manual práctico del anotador - SemantIAr v2</w:t>
      </w:r>
    </w:p>
    <w:p>
      <w:pPr>
        <w:pStyle w:val="ManualSubtitle"/>
      </w:pPr>
      <w:r>
        <w:t>Guía sencilla para revisar formas breves y conceptos clínicos por aparición</w:t>
      </w:r>
    </w:p>
    <w:p>
      <w:pPr>
        <w:spacing w:after="520"/>
        <w:jc w:val="center"/>
      </w:pPr>
      <w:r>
        <w:rPr>
          <w:color w:val="5D6875"/>
          <w:sz w:val="22"/>
        </w:rPr>
        <w:t>Versión 2.2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6941A5"/>
          <w:start w:val="single" w:sz="6" w:space="0" w:color="6941A5"/>
          <w:bottom w:val="single" w:sz="6" w:space="0" w:color="6941A5"/>
          <w:end w:val="single" w:sz="6" w:space="0" w:color="6941A5"/>
          <w:insideH w:val="single" w:sz="6" w:space="0" w:color="6941A5"/>
          <w:insideV w:val="single" w:sz="6" w:space="0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spacing w:after="0"/>
              <w:jc w:val="center"/>
            </w:pPr>
            <w:r>
              <w:rPr>
                <w:b/>
                <w:color w:val="2D3E5F"/>
                <w:sz w:val="20"/>
              </w:rPr>
              <w:t>Destinatarios: personas responsables de la anotación de notas clínicas.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Cómo usar este manual</w:t>
      </w:r>
    </w:p>
    <w:p>
      <w:r>
        <w:t>Lea primero la explicación de las dos capas y el recorrido completo de una nota. Durante la tarea, mantenga abiertas la guía rápida y los ejemplos. Los casos son sintéticos y enseñan el método; no constituyen reglas de expansión automática.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En una frase. </w:t>
            </w:r>
            <w:r>
              <w:t>Revise toda la nota, decida cada aparición con evidencia, anote por separado la forma léxica y el concepto clínico, y absténgase cuando el contexto no alcance.</w:t>
            </w:r>
          </w:p>
        </w:tc>
      </w:tr>
    </w:tbl>
    <w:p>
      <w:pPr>
        <w:spacing w:after="20"/>
      </w:pPr>
    </w:p>
    <w:p>
      <w:pPr>
        <w:pStyle w:val="Heading2"/>
      </w:pPr>
      <w:r>
        <w:t>Contenido</w:t>
      </w:r>
    </w:p>
    <w:p>
      <w:pPr>
        <w:pStyle w:val="ListNumber"/>
        <w:numPr>
          <w:ilvl w:val="0"/>
          <w:numId w:val="10"/>
        </w:numPr>
      </w:pPr>
      <w:r>
        <w:t>Qué significa «léxico» en este manual</w:t>
      </w:r>
    </w:p>
    <w:p>
      <w:pPr>
        <w:pStyle w:val="ListNumber"/>
        <w:numPr>
          <w:ilvl w:val="0"/>
          <w:numId w:val="10"/>
        </w:numPr>
      </w:pPr>
      <w:r>
        <w:t>Qué es una forma breve</w:t>
      </w:r>
    </w:p>
    <w:p>
      <w:pPr>
        <w:pStyle w:val="ListNumber"/>
        <w:numPr>
          <w:ilvl w:val="0"/>
          <w:numId w:val="10"/>
        </w:numPr>
      </w:pPr>
      <w:r>
        <w:t>Qué hará como anotador</w:t>
      </w:r>
    </w:p>
    <w:p>
      <w:pPr>
        <w:pStyle w:val="ListNumber"/>
        <w:numPr>
          <w:ilvl w:val="0"/>
          <w:numId w:val="10"/>
        </w:numPr>
      </w:pPr>
      <w:r>
        <w:t>Cómo revisar una nota de principio a fin</w:t>
      </w:r>
    </w:p>
    <w:p>
      <w:pPr>
        <w:pStyle w:val="ListNumber"/>
        <w:numPr>
          <w:ilvl w:val="0"/>
          <w:numId w:val="10"/>
        </w:numPr>
      </w:pPr>
      <w:r>
        <w:t>Cómo completar una tarjeta léxica</w:t>
      </w:r>
    </w:p>
    <w:p>
      <w:pPr>
        <w:pStyle w:val="ListNumber"/>
        <w:numPr>
          <w:ilvl w:val="0"/>
          <w:numId w:val="10"/>
        </w:numPr>
      </w:pPr>
      <w:r>
        <w:t>Cómo decidir el significado</w:t>
      </w:r>
    </w:p>
    <w:p>
      <w:pPr>
        <w:pStyle w:val="ListNumber"/>
        <w:numPr>
          <w:ilvl w:val="0"/>
          <w:numId w:val="10"/>
        </w:numPr>
      </w:pPr>
      <w:r>
        <w:t>Función, sección, pistas y comentario</w:t>
      </w:r>
    </w:p>
    <w:p>
      <w:pPr>
        <w:pStyle w:val="ListNumber"/>
        <w:numPr>
          <w:ilvl w:val="0"/>
          <w:numId w:val="10"/>
        </w:numPr>
      </w:pPr>
      <w:r>
        <w:t>Cómo revisar la información clínica</w:t>
      </w:r>
    </w:p>
    <w:p>
      <w:pPr>
        <w:pStyle w:val="ListNumber"/>
        <w:numPr>
          <w:ilvl w:val="0"/>
          <w:numId w:val="10"/>
        </w:numPr>
      </w:pPr>
      <w:r>
        <w:t>Ejemplos concretos</w:t>
      </w:r>
    </w:p>
    <w:p>
      <w:pPr>
        <w:pStyle w:val="ListNumber"/>
        <w:numPr>
          <w:ilvl w:val="0"/>
          <w:numId w:val="10"/>
        </w:numPr>
      </w:pPr>
      <w:r>
        <w:t>Caso de práctica de alta densidad</w:t>
      </w:r>
    </w:p>
    <w:p>
      <w:pPr>
        <w:pStyle w:val="ListNumber"/>
        <w:numPr>
          <w:ilvl w:val="0"/>
          <w:numId w:val="10"/>
        </w:numPr>
      </w:pPr>
      <w:r>
        <w:t>Cierre, exportación y problemas frecuentes</w:t>
      </w:r>
    </w:p>
    <w:p>
      <w:pPr>
        <w:pStyle w:val="ListNumber"/>
        <w:numPr>
          <w:ilvl w:val="0"/>
          <w:numId w:val="10"/>
        </w:numPr>
      </w:pPr>
      <w:r>
        <w:t>Guía rápida durante la anotación</w:t>
      </w:r>
    </w:p>
    <w:p>
      <w:pPr>
        <w:pStyle w:val="ListNumber"/>
        <w:numPr>
          <w:ilvl w:val="0"/>
          <w:numId w:val="10"/>
        </w:numPr>
      </w:pPr>
      <w:r>
        <w:t>Anexo A. Equivalencias técnicas de la interfaz</w:t>
      </w:r>
    </w:p>
    <w:p>
      <w:pPr>
        <w:pStyle w:val="ListNumber"/>
        <w:numPr>
          <w:ilvl w:val="0"/>
          <w:numId w:val="10"/>
        </w:numPr>
      </w:pPr>
      <w:r>
        <w:t>Anexo B. Códigos de pistas contextuales</w:t>
      </w:r>
    </w:p>
    <w:p>
      <w:pPr>
        <w:pStyle w:val="Heading1"/>
        <w:pageBreakBefore/>
      </w:pPr>
      <w:r>
        <w:t>1. Qué significa «léxico» en este manual</w:t>
      </w:r>
    </w:p>
    <w:p>
      <w:r>
        <w:t xml:space="preserve">En lenguaje sencillo, </w:t>
      </w:r>
      <w:r>
        <w:rPr>
          <w:b/>
        </w:rPr>
        <w:t>léxico</w:t>
      </w:r>
      <w:r>
        <w:t xml:space="preserve"> se refiere a las palabras y a las formas que se usan para escribirlas. En este manual, la </w:t>
      </w:r>
      <w:r>
        <w:rPr>
          <w:b/>
        </w:rPr>
        <w:t>capa léxica</w:t>
      </w:r>
      <w:r>
        <w:t xml:space="preserve"> revisa abreviaturas, siglas, iniciales, códigos y combinaciones de letras, números o símbolos. Su objetivo es reconocer qué significa cada forma en el lugar exacto donde aparece; todavía no decide qué enfermedad, procedimiento o dato clínico debe normalizarse.</w:t>
      </w:r>
    </w:p>
    <w:p>
      <w:pPr>
        <w:pStyle w:val="Heading2"/>
      </w:pPr>
      <w:r>
        <w:t>1.1 Léxico y clínico: dos preguntas diferentes</w:t>
      </w:r>
    </w:p>
    <w:p>
      <w:r>
        <w:t xml:space="preserve">La aplicación separa dos tareas. La primera se refiere a la </w:t>
      </w:r>
      <w:r>
        <w:rPr>
          <w:b/>
        </w:rPr>
        <w:t>forma léxica</w:t>
      </w:r>
      <w:r>
        <w:t xml:space="preserve">: qué significa una abreviatura, sigla o código en esa aparición. La segunda se refiere a la </w:t>
      </w:r>
      <w:r>
        <w:rPr>
          <w:b/>
        </w:rPr>
        <w:t>información clínica</w:t>
      </w:r>
      <w:r>
        <w:t>: qué concepto expresa el fragmento y si corresponde normalizarlo con SNOMED CT.</w:t>
      </w:r>
    </w:p>
    <w:p>
      <w:pPr>
        <w:spacing w:before="100" w:after="80"/>
      </w:pPr>
      <w:r>
        <w:rPr>
          <w:b/>
          <w:color w:val="5D6875"/>
          <w:sz w:val="18"/>
        </w:rPr>
        <w:t>La misma porción de texto puede requerir dos anotaciones independientes.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100"/>
        <w:gridCol w:w="3560"/>
        <w:gridCol w:w="3700"/>
      </w:tblGrid>
      <w:tr>
        <w:trPr>
          <w:tblHeader w:val="true"/>
          <w:cantSplit w:val="true"/>
        </w:trPr>
        <w:tc>
          <w:tcPr>
            <w:tcW w:type="dxa" w:w="21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Ejemplo sintético</w:t>
            </w:r>
          </w:p>
        </w:tc>
        <w:tc>
          <w:tcPr>
            <w:tcW w:type="dxa" w:w="35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se revisa en la capa léxica</w:t>
            </w:r>
          </w:p>
        </w:tc>
        <w:tc>
          <w:tcPr>
            <w:tcW w:type="dxa" w:w="37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se revisa en la capa clínica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TA 150/90 mmHg</w:t>
            </w:r>
          </w:p>
        </w:tc>
        <w:tc>
          <w:tcPr>
            <w:tcW w:type="dxa" w:w="3560"/>
          </w:tcPr>
          <w:p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  <w:sz w:val="18"/>
              </w:rPr>
              <w:t>TA</w:t>
            </w:r>
            <w:r>
              <w:t xml:space="preserve"> significa tensión arterial en este contexto.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El valor se interpreta como hipertensión arterial y se registra como hallazgo clínico, de acuerdo con el criterio del protocolo.</w:t>
            </w:r>
          </w:p>
        </w:tc>
      </w:tr>
      <w:tr>
        <w:trPr>
          <w:cantSplit w:val="true"/>
        </w:trPr>
        <w:tc>
          <w:tcPr>
            <w:tcW w:type="dxa" w:w="210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AP: ASMA</w:t>
            </w:r>
          </w:p>
        </w:tc>
        <w:tc>
          <w:tcPr>
            <w:tcW w:type="dxa" w:w="3560"/>
            <w:shd w:fill="F7F8FA"/>
          </w:tcPr>
          <w:p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  <w:sz w:val="18"/>
              </w:rPr>
              <w:t>AP</w:t>
            </w:r>
            <w:r>
              <w:t xml:space="preserve"> funciona como encabezado de antecedentes personales.</w:t>
            </w:r>
          </w:p>
        </w:tc>
        <w:tc>
          <w:tcPr>
            <w:tcW w:type="dxa" w:w="370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ASMA</w:t>
            </w:r>
            <w:r>
              <w:t xml:space="preserve"> expresa un antecedente clínico del paciente.</w:t>
            </w:r>
          </w:p>
        </w:tc>
      </w:tr>
      <w:tr>
        <w:trPr>
          <w:cantSplit w:val="true"/>
        </w:trPr>
        <w:tc>
          <w:tcPr>
            <w:tcW w:type="dxa" w:w="21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SG 29</w:t>
            </w:r>
            <w:r>
              <w:t xml:space="preserve"> en una nota obstétrica</w:t>
            </w:r>
          </w:p>
        </w:tc>
        <w:tc>
          <w:tcPr>
            <w:tcW w:type="dxa" w:w="3560"/>
          </w:tcPr>
          <w:p>
            <w:pPr>
              <w:pStyle w:val="TableText"/>
            </w:pPr>
            <w:r>
              <w:t xml:space="preserve">Si </w:t>
            </w:r>
            <w:r>
              <w:rPr>
                <w:rFonts w:ascii="Consolas" w:hAnsi="Consolas"/>
                <w:color w:val="6941A5"/>
                <w:sz w:val="18"/>
              </w:rPr>
              <w:t>SG</w:t>
            </w:r>
            <w:r>
              <w:t xml:space="preserve"> significa semanas de gestación en esa aparición.</w:t>
            </w:r>
          </w:p>
        </w:tc>
        <w:tc>
          <w:tcPr>
            <w:tcW w:type="dxa" w:w="3700"/>
          </w:tcPr>
          <w:p>
            <w:pPr>
              <w:pStyle w:val="TableText"/>
            </w:pPr>
            <w:r>
              <w:t>El conjunto expresa una gestación de 29 semanas. La capa clínica registra esa información si la categoría correspondiente está habilitada.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No confundir expansión con concepto. </w:t>
            </w:r>
            <w:r>
              <w:t xml:space="preserve">La </w:t>
            </w:r>
            <w:r>
              <w:rPr>
                <w:b/>
              </w:rPr>
              <w:t>expansión</w:t>
            </w:r>
            <w:r>
              <w:t xml:space="preserve"> de </w:t>
            </w:r>
            <w:r>
              <w:rPr>
                <w:rFonts w:ascii="Consolas" w:hAnsi="Consolas"/>
                <w:color w:val="6941A5"/>
                <w:sz w:val="18"/>
              </w:rPr>
              <w:t>TA</w:t>
            </w:r>
            <w:r>
              <w:t xml:space="preserve"> es tensión arterial. El </w:t>
            </w:r>
            <w:r>
              <w:rPr>
                <w:b/>
              </w:rPr>
              <w:t>hallazgo clínico</w:t>
            </w:r>
            <w:r>
              <w:t xml:space="preserve"> expresado por </w:t>
            </w:r>
            <w:r>
              <w:rPr>
                <w:rFonts w:ascii="Consolas" w:hAnsi="Consolas"/>
                <w:color w:val="6941A5"/>
                <w:sz w:val="18"/>
              </w:rPr>
              <w:t>TA 150/90 mmHg</w:t>
            </w:r>
            <w:r>
              <w:t xml:space="preserve"> es hipertensión arterial según el criterio establecido por este protocolo. Son dos decisiones relacionadas, pero se registran por separado.</w:t>
            </w:r>
          </w:p>
        </w:tc>
      </w:tr>
    </w:tbl>
    <w:p>
      <w:pPr>
        <w:spacing w:after="20"/>
      </w:pPr>
    </w:p>
    <w:p>
      <w:pPr>
        <w:pStyle w:val="Heading1"/>
      </w:pPr>
      <w:r>
        <w:t>2. Qué es una forma breve</w:t>
      </w:r>
    </w:p>
    <w:p>
      <w:r>
        <w:t xml:space="preserve">Una </w:t>
      </w:r>
      <w:r>
        <w:rPr>
          <w:b/>
        </w:rPr>
        <w:t>forma breve</w:t>
      </w:r>
      <w:r>
        <w:t xml:space="preserve"> es una manera reducida o convencional de escribir una palabra, una expresión o un dato. Para comprenderla puede ser necesario recuperar una expansión, reconocer un código o mirar el contexto.</w:t>
      </w:r>
    </w:p>
    <w:p>
      <w:r>
        <w:t xml:space="preserve">Una </w:t>
      </w:r>
      <w:r>
        <w:rPr>
          <w:b/>
        </w:rPr>
        <w:t>expansión</w:t>
      </w:r>
      <w:r>
        <w:t xml:space="preserve"> es la expresión completa que corresponde a la forma breve: por ejemplo, la expansión de </w:t>
      </w:r>
      <w:r>
        <w:rPr>
          <w:rFonts w:ascii="Consolas" w:hAnsi="Consolas"/>
          <w:color w:val="6941A5"/>
          <w:sz w:val="18"/>
        </w:rPr>
        <w:t>TA</w:t>
      </w:r>
      <w:r>
        <w:t xml:space="preserve"> es tensión arterial. Un </w:t>
      </w:r>
      <w:r>
        <w:rPr>
          <w:b/>
        </w:rPr>
        <w:t>encabezado</w:t>
      </w:r>
      <w:r>
        <w:t xml:space="preserve"> es una etiqueta que anuncia qué información viene después: por ejemplo, </w:t>
      </w:r>
      <w:r>
        <w:rPr>
          <w:rFonts w:ascii="Consolas" w:hAnsi="Consolas"/>
          <w:color w:val="6941A5"/>
          <w:sz w:val="18"/>
        </w:rPr>
        <w:t>AP:</w:t>
      </w:r>
      <w:r>
        <w:t xml:space="preserve"> delante de </w:t>
      </w:r>
      <w:r>
        <w:rPr>
          <w:rFonts w:ascii="Consolas" w:hAnsi="Consolas"/>
          <w:color w:val="6941A5"/>
          <w:sz w:val="18"/>
        </w:rPr>
        <w:t>ASMA</w:t>
      </w:r>
      <w:r>
        <w:t xml:space="preserve"> presenta el apartado de antecedentes personales. El encabezado organiza la nota y no necesariamente es un concepto clínico.</w:t>
      </w:r>
    </w:p>
    <w:p>
      <w:pPr>
        <w:spacing w:before="100" w:after="80"/>
      </w:pPr>
      <w:r>
        <w:rPr>
          <w:b/>
          <w:color w:val="5D6875"/>
          <w:sz w:val="18"/>
        </w:rPr>
        <w:t>Tipos de forma disponibles.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300"/>
        <w:gridCol w:w="4300"/>
        <w:gridCol w:w="2760"/>
      </w:tblGrid>
      <w:tr>
        <w:trPr>
          <w:tblHeader w:val="true"/>
          <w:cantSplit w:val="true"/>
        </w:trPr>
        <w:tc>
          <w:tcPr>
            <w:tcW w:type="dxa" w:w="23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Tipo</w:t>
            </w:r>
          </w:p>
        </w:tc>
        <w:tc>
          <w:tcPr>
            <w:tcW w:type="dxa" w:w="43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Definición sencilla</w:t>
            </w:r>
          </w:p>
        </w:tc>
        <w:tc>
          <w:tcPr>
            <w:tcW w:type="dxa" w:w="27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Ejemplo orientativo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Abreviatura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t>Acortamiento escrito de una palabra o expresión.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tto.</w:t>
            </w:r>
            <w:r>
              <w:t xml:space="preserve"> por tratamiento.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Acrónimo pronunciable</w:t>
            </w:r>
          </w:p>
        </w:tc>
        <w:tc>
          <w:tcPr>
            <w:tcW w:type="dxa" w:w="4300"/>
            <w:shd w:fill="F7F8FA"/>
          </w:tcPr>
          <w:p>
            <w:pPr>
              <w:pStyle w:val="TableText"/>
            </w:pPr>
            <w:r>
              <w:t>Varias letras que se leen juntas como una palabra, sin nombrar cada letra.</w:t>
            </w:r>
          </w:p>
        </w:tc>
        <w:tc>
          <w:tcPr>
            <w:tcW w:type="dxa" w:w="27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EPOC</w:t>
            </w:r>
            <w:r>
              <w:t>, pronunciado «epoc».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Sigla / inicialismo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t>Sigla formada por las letras iniciales de una expresión. Cuando se pronuncia letra por letra, es un inicialismo.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BT</w:t>
            </w:r>
            <w:r>
              <w:t xml:space="preserve">, leído «be-te»; </w:t>
            </w:r>
            <w:r>
              <w:rPr>
                <w:rFonts w:ascii="Consolas" w:hAnsi="Consolas"/>
                <w:color w:val="6941A5"/>
                <w:sz w:val="18"/>
              </w:rPr>
              <w:t>FC</w:t>
            </w:r>
            <w:r>
              <w:t>, leído «efe-ce».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Forma alfanumérica</w:t>
            </w:r>
          </w:p>
        </w:tc>
        <w:tc>
          <w:tcPr>
            <w:tcW w:type="dxa" w:w="4300"/>
            <w:shd w:fill="F7F8FA"/>
          </w:tcPr>
          <w:p>
            <w:pPr>
              <w:pStyle w:val="TableText"/>
            </w:pPr>
            <w:r>
              <w:t>Combina letras y números con un uso convencional.</w:t>
            </w:r>
          </w:p>
        </w:tc>
        <w:tc>
          <w:tcPr>
            <w:tcW w:type="dxa" w:w="27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G2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T4</w:t>
            </w:r>
            <w:r>
              <w:t>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Abreviatura simbólica</w:t>
            </w:r>
          </w:p>
        </w:tc>
        <w:tc>
          <w:tcPr>
            <w:tcW w:type="dxa" w:w="4300"/>
          </w:tcPr>
          <w:p>
            <w:pPr>
              <w:pStyle w:val="TableText"/>
            </w:pPr>
            <w:r>
              <w:t>Usa barras, signos u otros símbolos para abreviar.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c/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s/p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+/-</w:t>
            </w:r>
            <w:r>
              <w:t>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Otra forma léxica</w:t>
            </w:r>
          </w:p>
        </w:tc>
        <w:tc>
          <w:tcPr>
            <w:tcW w:type="dxa" w:w="4300"/>
            <w:shd w:fill="F7F8FA"/>
          </w:tcPr>
          <w:p>
            <w:pPr>
              <w:pStyle w:val="TableText"/>
            </w:pPr>
            <w:r>
              <w:t>Forma breve pertinente que no encaja en las anteriores.</w:t>
            </w:r>
          </w:p>
        </w:tc>
        <w:tc>
          <w:tcPr>
            <w:tcW w:type="dxa" w:w="2760"/>
            <w:shd w:fill="F7F8FA"/>
          </w:tcPr>
          <w:p>
            <w:pPr>
              <w:pStyle w:val="TableText"/>
            </w:pPr>
            <w:r>
              <w:t>Explique brevemente por qué la incluyó.</w:t>
            </w:r>
          </w:p>
        </w:tc>
      </w:tr>
    </w:tbl>
    <w:p>
      <w:pPr>
        <w:spacing w:after="20"/>
      </w:pPr>
    </w:p>
    <w:p>
      <w:pPr>
        <w:pStyle w:val="Heading2"/>
      </w:pPr>
      <w:r>
        <w:t>2.1 Incluya</w:t>
      </w:r>
    </w:p>
    <w:p>
      <w:pPr>
        <w:pStyle w:val="ListBullet"/>
        <w:spacing w:after="80" w:line="300" w:lineRule="auto"/>
      </w:pPr>
      <w:r>
        <w:t>Formas breves cuyo significado debe recuperarse por contexto.</w:t>
      </w:r>
    </w:p>
    <w:p>
      <w:pPr>
        <w:pStyle w:val="ListBullet"/>
        <w:spacing w:after="80" w:line="300" w:lineRule="auto"/>
      </w:pPr>
      <w:r>
        <w:t>Encabezados abreviados, aunque no sean una entidad clínica.</w:t>
      </w:r>
    </w:p>
    <w:p>
      <w:pPr>
        <w:pStyle w:val="ListBullet"/>
        <w:spacing w:after="80" w:line="300" w:lineRule="auto"/>
      </w:pPr>
      <w:r>
        <w:t xml:space="preserve">Códigos alfanuméricos que transmiten información clínica, por ejemplo </w:t>
      </w:r>
      <w:r>
        <w:rPr>
          <w:rFonts w:ascii="Consolas" w:hAnsi="Consolas"/>
          <w:color w:val="6941A5"/>
          <w:sz w:val="18"/>
        </w:rPr>
        <w:t>P0</w:t>
      </w:r>
      <w:r>
        <w:t>.</w:t>
      </w:r>
    </w:p>
    <w:p>
      <w:pPr>
        <w:pStyle w:val="ListBullet"/>
        <w:spacing w:after="80" w:line="300" w:lineRule="auto"/>
      </w:pPr>
      <w:r>
        <w:t>Formas dudosas o corruptas que parecen intentos de abreviación.</w:t>
      </w:r>
    </w:p>
    <w:p>
      <w:pPr>
        <w:pStyle w:val="Heading2"/>
      </w:pPr>
      <w:r>
        <w:t>2.2 Habitualmente no incluya</w:t>
      </w:r>
    </w:p>
    <w:p>
      <w:pPr>
        <w:pStyle w:val="ListBullet"/>
        <w:spacing w:after="80" w:line="300" w:lineRule="auto"/>
      </w:pPr>
      <w:r>
        <w:t>Palabras completas sin abreviación.</w:t>
      </w:r>
    </w:p>
    <w:p>
      <w:pPr>
        <w:pStyle w:val="ListBullet"/>
        <w:spacing w:after="80" w:line="300" w:lineRule="auto"/>
      </w:pPr>
      <w:r>
        <w:t>Números aislados sin una convención asociada.</w:t>
      </w:r>
    </w:p>
    <w:p>
      <w:pPr>
        <w:pStyle w:val="ListBullet"/>
        <w:spacing w:after="80" w:line="300" w:lineRule="auto"/>
      </w:pPr>
      <w:r>
        <w:t>Puntuación o separadores que solo ordenan la nota.</w:t>
      </w:r>
    </w:p>
    <w:p>
      <w:pPr>
        <w:pStyle w:val="ListBullet"/>
        <w:spacing w:after="80" w:line="300" w:lineRule="auto"/>
      </w:pPr>
      <w:r>
        <w:t>Unidades comunes, salvo que el protocolo indique lo contrario o su uso sea ambiguo.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Mayúsculas y números solo orientan. </w:t>
            </w:r>
            <w:r>
              <w:t xml:space="preserve">La aplicación puede sugerir </w:t>
            </w:r>
            <w:r>
              <w:rPr>
                <w:b/>
              </w:rPr>
              <w:t>Sigla / inicialismo</w:t>
            </w:r>
            <w:r>
              <w:t xml:space="preserve"> por las mayúsculas o </w:t>
            </w:r>
            <w:r>
              <w:rPr>
                <w:b/>
              </w:rPr>
              <w:t>Forma alfanumérica</w:t>
            </w:r>
            <w:r>
              <w:t xml:space="preserve"> por la presencia de dígitos. Son ayudas provisionales: confirme cómo funciona la cadena en la nota y corrija la sugerencia si corresponde.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Por qué la opción dice Sigla / inicialismo. </w:t>
            </w:r>
            <w:r>
              <w:rPr>
                <w:b/>
              </w:rPr>
              <w:t>Sigla (concepto amplio):</w:t>
            </w:r>
            <w:r>
              <w:t xml:space="preserve"> cualquier abreviación formada por las letras iniciales de los términos de una expresión compleja.</w:t>
              <w:br/>
              <w:br/>
            </w:r>
            <w:r>
              <w:rPr>
                <w:b/>
              </w:rPr>
              <w:t>Inicialismo (subtipo):</w:t>
            </w:r>
            <w:r>
              <w:t xml:space="preserve"> aquellas siglas cuya estructura silábica o combinación de consonantes no permite leerlas directamente como una palabra; por eso se pronuncian las letras una a una (deletreo).</w:t>
              <w:br/>
              <w:br/>
              <w:t xml:space="preserve">La aplicación agrupa </w:t>
            </w:r>
            <w:r>
              <w:rPr>
                <w:b/>
              </w:rPr>
              <w:t>Sigla / inicialismo</w:t>
            </w:r>
            <w:r>
              <w:t xml:space="preserve"> en una misma opción porque, en la lingüística moderna y en la práctica lexicográfica, un inicialismo es una </w:t>
            </w:r>
            <w:r>
              <w:rPr>
                <w:b/>
              </w:rPr>
              <w:t>sigla deletreada</w:t>
            </w:r>
            <w:r>
              <w:t>.</w:t>
            </w:r>
          </w:p>
        </w:tc>
      </w:tr>
    </w:tbl>
    <w:p>
      <w:pPr>
        <w:spacing w:after="20"/>
      </w:pPr>
    </w:p>
    <w:p>
      <w:pPr>
        <w:pStyle w:val="Heading2"/>
      </w:pPr>
      <w:r>
        <w:t>2.3 Cómo se ve el tipo de forma en la aplicación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97779"/>
            <wp:docPr id="1" name="Picture 1" descr="Menú de la aplicación para elegir cómo está escrita la forma breve, con definiciones y ejemplos de abreviatura, acrónimo pronunciable, sigla o inicialismo y forma alfanumérica." title="Figura 1. El menú explica cómo está escrita la forma. En el ejemplo, BT debe revisarse por su uso real; las mayúsculas por sí solas no determinan la categor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enu_tipo_form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97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875"/>
          <w:sz w:val="18"/>
        </w:rPr>
        <w:t>Figura 1. El menú explica cómo está escrita la forma. En el ejemplo, BT debe revisarse por su uso real; las mayúsculas por sí solas no determinan la categoría.</w:t>
      </w:r>
    </w:p>
    <w:p>
      <w:pPr>
        <w:pStyle w:val="Heading1"/>
      </w:pPr>
      <w:r>
        <w:t>3. Qué hará como anotador</w:t>
      </w:r>
    </w:p>
    <w:p>
      <w:r>
        <w:t>Este manual se aplica a las notas que recibirá para anotar. Su tarea es revisar cada nota completa, agregar lo que falte, dejar una decisión clara para cada forma breve y cada concepto clínico y, en caso de recibir devoluciones del investigador principal, corregir los puntos señalados.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Idea principal. </w:t>
            </w:r>
            <w:r>
              <w:t xml:space="preserve">Una misma sigla puede significar cosas distintas. Decida </w:t>
            </w:r>
            <w:r>
              <w:rPr>
                <w:b/>
              </w:rPr>
              <w:t>cada aparición</w:t>
            </w:r>
            <w:r>
              <w:t xml:space="preserve"> por separado, según la sección, las palabras cercanas y el resto de la nota.</w:t>
            </w:r>
          </w:p>
        </w:tc>
      </w:tr>
    </w:tbl>
    <w:p>
      <w:pPr>
        <w:spacing w:after="20"/>
      </w:pPr>
    </w:p>
    <w:p>
      <w:pPr>
        <w:pStyle w:val="Heading2"/>
      </w:pPr>
      <w:r>
        <w:t>3.1 Orden básico de trabajo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b/>
        </w:rPr>
        <w:t>Primero, encuentre las formas breves.</w:t>
      </w:r>
      <w:r>
        <w:t xml:space="preserve"> Revise las sugeridas por la aplicación y agregue las que falten.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b/>
        </w:rPr>
        <w:t>Después, decida qué significa cada forma breve.</w:t>
      </w:r>
      <w:r>
        <w:t xml:space="preserve"> Use la sección, las palabras cercanas y el resto de la nota.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b/>
        </w:rPr>
        <w:t>Luego, encuentre los conceptos clínicos.</w:t>
      </w:r>
      <w:r>
        <w:t xml:space="preserve"> Revise los candidatos y agregue las menciones clínicas omitidas.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b/>
        </w:rPr>
        <w:t>Revise cada concepto clínico.</w:t>
      </w:r>
      <w:r>
        <w:t xml:space="preserve"> Delimite la mención, elija la categoría y normalice lo expresado por la nota.</w:t>
      </w:r>
    </w:p>
    <w:p>
      <w:pPr>
        <w:pStyle w:val="ListNumber"/>
        <w:numPr>
          <w:ilvl w:val="0"/>
          <w:numId w:val="11"/>
        </w:numPr>
        <w:spacing w:after="80" w:line="300" w:lineRule="auto"/>
      </w:pPr>
      <w:r>
        <w:rPr>
          <w:b/>
        </w:rPr>
        <w:t>Al final, compruebe la nota completa.</w:t>
      </w:r>
      <w:r>
        <w:t xml:space="preserve"> Verifique que no queden omisiones ni campos obligatorios pendientes.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Abstenerse también es correcto. </w:t>
            </w:r>
            <w:r>
              <w:t xml:space="preserve">Si dos o más significados continúan siendo posibles después de leer la nota, seleccione </w:t>
            </w:r>
            <w:r>
              <w:rPr>
                <w:b/>
              </w:rPr>
              <w:t>Ambigua aun con contexto</w:t>
            </w:r>
            <w:r>
              <w:t xml:space="preserve">. Si la nota no ofrece información suficiente para sostener ningún significado, seleccione </w:t>
            </w:r>
            <w:r>
              <w:rPr>
                <w:b/>
              </w:rPr>
              <w:t>No puedo determinarla</w:t>
            </w:r>
            <w:r>
              <w:t xml:space="preserve">. Ambas son respuestas finales válidas: expresan que revisó la aparición y decidió no adivinar. No las deje como </w:t>
            </w:r>
            <w:r>
              <w:rPr>
                <w:b/>
              </w:rPr>
              <w:t>Pendiente</w:t>
            </w:r>
            <w:r>
              <w:t>, porque Pendiente significa que todavía no realizó la revisión.</w:t>
            </w:r>
          </w:p>
        </w:tc>
      </w:tr>
    </w:tbl>
    <w:p>
      <w:pPr>
        <w:spacing w:after="20"/>
      </w:pPr>
    </w:p>
    <w:p>
      <w:pPr>
        <w:pStyle w:val="Heading2"/>
      </w:pPr>
      <w:r>
        <w:t>3.2 Identificador e independencia</w:t>
      </w:r>
    </w:p>
    <w:p>
      <w:r>
        <w:t xml:space="preserve">Cada anotador recibirá un </w:t>
      </w:r>
      <w:r>
        <w:rPr>
          <w:b/>
        </w:rPr>
        <w:t>código individual</w:t>
      </w:r>
      <w:r>
        <w:t xml:space="preserve">, por ejemplo </w:t>
      </w:r>
      <w:r>
        <w:rPr>
          <w:rFonts w:ascii="Consolas" w:hAnsi="Consolas"/>
          <w:color w:val="6941A5"/>
          <w:sz w:val="18"/>
        </w:rPr>
        <w:t>A002</w:t>
      </w:r>
      <w:r>
        <w:t>. Escríbalo exactamente como fue informado. No use el código de otra persona, no lo comparta y no intercambie archivos JSON con otros anotadores.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Anotación ciega entre profesionales. </w:t>
            </w:r>
            <w:r>
              <w:t>Durante la fase de anotación, trabaje de manera independiente: no consulte, compare ni comente sus decisiones con otro anotador. Cada profesional debe resolver las mismas notas sin conocer las respuestas de los demás. Las correcciones o devoluciones posteriores serán comunicadas por el investigador principal.</w:t>
            </w:r>
          </w:p>
        </w:tc>
      </w:tr>
    </w:tbl>
    <w:p>
      <w:pPr>
        <w:spacing w:after="20"/>
      </w:pPr>
    </w:p>
    <w:p>
      <w:pPr>
        <w:pStyle w:val="Heading1"/>
      </w:pPr>
      <w:r>
        <w:t>4. Cómo revisar una nota de principio a fin</w:t>
      </w:r>
    </w:p>
    <w:p>
      <w:pPr>
        <w:pStyle w:val="Heading2"/>
      </w:pPr>
      <w:r>
        <w:t>4.1 Antes de comenzar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Confirme que recibió el archivo y las notas que le corresponden.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Ingrese el identificador de anotador indicado por el estudio.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Trabaje únicamente en el equipo, navegador y carpeta autorizados.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No copie notas, nombres ni identificadores en mensajes, buscadores o herramientas externas.</w:t>
      </w:r>
    </w:p>
    <w:p>
      <w:pPr>
        <w:pStyle w:val="Heading2"/>
      </w:pPr>
      <w:r>
        <w:t>4.2 Orden recomendado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Lea la nota completa.</w:t>
      </w:r>
      <w:r>
        <w:t xml:space="preserve"> Reconozca su estructura antes de decidir una sigla aislada.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Revise las formas breves.</w:t>
      </w:r>
      <w:r>
        <w:t xml:space="preserve"> Complete una decisión para cada candidato léxico.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Agregue omisiones léxicas.</w:t>
      </w:r>
      <w:r>
        <w:t xml:space="preserve"> Incluya abreviaturas, siglas, códigos y encabezados no detectados.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Resuelva cada forma breve.</w:t>
      </w:r>
      <w:r>
        <w:t xml:space="preserve"> Determine su tipo, significado, función, sección y pistas.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Revise las sugerencias clínicas.</w:t>
      </w:r>
      <w:r>
        <w:t xml:space="preserve"> Acepte, corrija los límites o descarte cada candidato.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Agregue omisiones clínicas.</w:t>
      </w:r>
      <w:r>
        <w:t xml:space="preserve"> Marque manualmente todo concepto elegible que falte.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Revise la doble capa.</w:t>
      </w:r>
      <w:r>
        <w:t xml:space="preserve"> Compruebe si alguna forma breve también integra una mención clínica.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Normalice los conceptos clínicos.</w:t>
      </w:r>
      <w:r>
        <w:t xml:space="preserve"> Elija categoría, concepto y atributos sin agregar inferencias no previstas por el protocolo.</w:t>
      </w:r>
    </w:p>
    <w:p>
      <w:pPr>
        <w:pStyle w:val="ListNumber"/>
        <w:numPr>
          <w:ilvl w:val="0"/>
          <w:numId w:val="12"/>
        </w:numPr>
        <w:spacing w:after="80" w:line="300" w:lineRule="auto"/>
      </w:pPr>
      <w:r>
        <w:rPr>
          <w:b/>
        </w:rPr>
        <w:t>Cierre y exporte.</w:t>
      </w:r>
      <w:r>
        <w:t xml:space="preserve"> Finalice solo después de los controles de calidad.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Las sugerencias no son respuestas. </w:t>
            </w:r>
            <w:r>
              <w:t>Una sugerencia puede tener límites incorrectos, un sentido equivocado o ser un falso positivo. También puede faltar una mención. Revise siempre contra el texto.</w:t>
            </w:r>
          </w:p>
        </w:tc>
      </w:tr>
    </w:tbl>
    <w:p>
      <w:pPr>
        <w:spacing w:after="20"/>
      </w:pPr>
    </w:p>
    <w:p>
      <w:pPr>
        <w:pStyle w:val="Heading2"/>
      </w:pPr>
      <w:r>
        <w:t>4.3 Qué significan los resaltados</w:t>
      </w:r>
    </w:p>
    <w:p>
      <w:r>
        <w:t xml:space="preserve">Una </w:t>
      </w:r>
      <w:r>
        <w:rPr>
          <w:b/>
        </w:rPr>
        <w:t>mención premarcada</w:t>
      </w:r>
      <w:r>
        <w:t xml:space="preserve"> es un fragmento que la aplicación señaló para que usted lo revise. En la figura, </w:t>
      </w:r>
      <w:r>
        <w:rPr>
          <w:rFonts w:ascii="Consolas" w:hAnsi="Consolas"/>
          <w:color w:val="6941A5"/>
          <w:sz w:val="18"/>
        </w:rPr>
        <w:t>capilaroscopia</w:t>
      </w:r>
      <w:r>
        <w:t xml:space="preserve"> aparece en verde. El color indica </w:t>
      </w:r>
      <w:r>
        <w:rPr>
          <w:b/>
        </w:rPr>
        <w:t>dónde mirar</w:t>
      </w:r>
      <w:r>
        <w:t>; no confirma que la selección sea correcta, que sus límites sean exactos ni que deba aceptar un concepto determinado.</w:t>
      </w:r>
    </w:p>
    <w:p>
      <w:pPr>
        <w:pStyle w:val="ListBullet"/>
        <w:spacing w:after="80" w:line="300" w:lineRule="auto"/>
      </w:pPr>
      <w:r>
        <w:rPr>
          <w:b/>
        </w:rPr>
        <w:t>Premarcado en verde:</w:t>
      </w:r>
      <w:r>
        <w:t xml:space="preserve"> revise la mención, confirme si corresponde, ajuste sus límites si están mal o descártela si es irrelevante.</w:t>
      </w:r>
    </w:p>
    <w:p>
      <w:pPr>
        <w:pStyle w:val="ListBullet"/>
        <w:spacing w:after="80" w:line="300" w:lineRule="auto"/>
      </w:pPr>
      <w:r>
        <w:rPr>
          <w:b/>
        </w:rPr>
        <w:t>Selección hecha por usted:</w:t>
      </w:r>
      <w:r>
        <w:t xml:space="preserve"> arrastre el cursor sobre el texto omitido. En la figura, </w:t>
      </w:r>
      <w:r>
        <w:rPr>
          <w:rFonts w:ascii="Consolas" w:hAnsi="Consolas"/>
          <w:color w:val="6941A5"/>
          <w:sz w:val="18"/>
        </w:rPr>
        <w:t>caídas</w:t>
      </w:r>
      <w:r>
        <w:t xml:space="preserve"> está seleccionado en azul.</w:t>
      </w:r>
    </w:p>
    <w:p>
      <w:pPr>
        <w:pStyle w:val="ListBullet"/>
        <w:spacing w:after="80" w:line="300" w:lineRule="auto"/>
      </w:pPr>
      <w:r>
        <w:rPr>
          <w:b/>
        </w:rPr>
        <w:t>Incorporar mención omitida:</w:t>
      </w:r>
      <w:r>
        <w:t xml:space="preserve"> use este botón cuando el fragmento expresa un concepto clínico elegible de alguna de las tres jerarquías: hallazgo clínico, procedimiento o fármaco.</w:t>
      </w:r>
    </w:p>
    <w:p>
      <w:pPr>
        <w:pStyle w:val="ListBullet"/>
        <w:spacing w:after="80" w:line="300" w:lineRule="auto"/>
      </w:pPr>
      <w:r>
        <w:rPr>
          <w:b/>
        </w:rPr>
        <w:t>Incorporar forma breve:</w:t>
      </w:r>
      <w:r>
        <w:t xml:space="preserve"> use este botón cuando el fragmento seleccionado es una abreviatura, sigla, código u otra forma breve que no había sido detectada.</w:t>
      </w:r>
    </w:p>
    <w:p>
      <w:pPr>
        <w:pStyle w:val="ListBullet"/>
        <w:spacing w:after="80" w:line="300" w:lineRule="auto"/>
      </w:pPr>
      <w:r>
        <w:t>Una misma expresión puede requerir revisión en las dos capas. En ese caso, registre por separado la forma breve y la mención clínica.</w:t>
      </w:r>
    </w:p>
    <w:p>
      <w:r>
        <w:t xml:space="preserve">El nombre visible del segundo botón es </w:t>
      </w:r>
      <w:r>
        <w:rPr>
          <w:b/>
        </w:rPr>
        <w:t>Incorporar forma breve</w:t>
      </w:r>
      <w:r>
        <w:t>. No agrega un comentario libre: incorpora el fragmento seleccionado a la capa léxica para que después pueda completar su significado.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4036113"/>
            <wp:docPr id="2" name="Picture 2" descr="Interfaz de anotación con capilaroscopia premarcada en verde y caídas seleccionada manualmente en azul; debajo se muestran los botones Incorporar mención omitida e Incorporar forma breve." title="Figura 5. `capilaroscopia` es una sugerencia premarcada que debe revisarse. `caídas` fue seleccionada por el anotador y puede incorporarse como mención clínica omitida. Si el texto seleccionado fuera una abreviatura o sigla omitida, se usaría Incorporar forma brev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spans_premarcado_y_omit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36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875"/>
          <w:sz w:val="18"/>
        </w:rPr>
        <w:t>Figura 5. `capilaroscopia` es una sugerencia premarcada que debe revisarse. `caídas` fue seleccionada por el anotador y puede incorporarse como mención clínica omitida. Si el texto seleccionado fuera una abreviatura o sigla omitida, se usaría Incorporar forma breve.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Evitar aceptar por inercia. </w:t>
            </w:r>
            <w:r>
              <w:t>Ver un fragmento premarcado puede llevar a aceptarlo sin revisarlo. Para reducir ese riesgo, lea la nota completa, confirme o corrija cada resaltado, descarte los irrelevantes y agregue todo lo que falte. La aplicación guarda esas acciones para poder auditar el proceso y la cobertura; ese registro, por sí solo, no demuestra que el posible sesgo haya desaparecido.</w:t>
            </w:r>
          </w:p>
        </w:tc>
      </w:tr>
    </w:tbl>
    <w:p>
      <w:pPr>
        <w:spacing w:after="20"/>
      </w:pPr>
    </w:p>
    <w:p>
      <w:pPr>
        <w:pStyle w:val="Heading2"/>
      </w:pPr>
      <w:r>
        <w:t>4.4 Guardar y continuar más tarde</w:t>
      </w:r>
    </w:p>
    <w:p>
      <w:r>
        <w:t xml:space="preserve">El archivo JSON se puede </w:t>
      </w:r>
      <w:r>
        <w:rPr>
          <w:b/>
        </w:rPr>
        <w:t>descargar y volver a cargar múltiples veces</w:t>
      </w:r>
      <w:r>
        <w:t>. Cada descarga conserva los cambios realizados hasta ese momento. Para continuar otro día, guarde el archivo en la carpeta autorizada y cargue la copia más reciente en la aplicación. No modifique el contenido del JSON manualmente: los cambios deben hacerse desde la interfaz.</w:t>
      </w:r>
    </w:p>
    <w:p>
      <w:pPr>
        <w:pStyle w:val="Heading1"/>
      </w:pPr>
      <w:r>
        <w:t>5. Cómo completar una tarjeta léxica</w:t>
      </w:r>
    </w:p>
    <w:p>
      <w:r>
        <w:t>Cada tarjeta corresponde a una aparición exacta. Complete los campos respondiendo estas preguntas. No necesita memorizar nombres técnicos ni códigos internos.</w:t>
      </w:r>
    </w:p>
    <w:p>
      <w:pPr>
        <w:spacing w:before="100" w:after="80"/>
      </w:pPr>
      <w:r>
        <w:rPr>
          <w:b/>
          <w:color w:val="5D6875"/>
          <w:sz w:val="18"/>
        </w:rPr>
        <w:t>Lectura sencilla de los campos de la tarjeta.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200"/>
        <w:gridCol w:w="3900"/>
        <w:gridCol w:w="3260"/>
      </w:tblGrid>
      <w:tr>
        <w:trPr>
          <w:tblHeader w:val="true"/>
          <w:cantSplit w:val="true"/>
        </w:trPr>
        <w:tc>
          <w:tcPr>
            <w:tcW w:type="dxa" w:w="22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Campo</w:t>
            </w:r>
          </w:p>
        </w:tc>
        <w:tc>
          <w:tcPr>
            <w:tcW w:type="dxa" w:w="39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Pregunta que debe responder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Ejemplo breve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</w:pPr>
            <w:r>
              <w:t>Tipo de forma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t>¿Cómo está escrita?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P0</w:t>
            </w:r>
            <w:r>
              <w:t xml:space="preserve"> es una forma alfanumérica.</w:t>
            </w:r>
          </w:p>
        </w:tc>
      </w:tr>
      <w:tr>
        <w:trPr>
          <w:cantSplit w:val="true"/>
        </w:trPr>
        <w:tc>
          <w:tcPr>
            <w:tcW w:type="dxa" w:w="2200"/>
            <w:shd w:fill="F7F8FA"/>
          </w:tcPr>
          <w:p>
            <w:pPr>
              <w:pStyle w:val="TableText"/>
            </w:pPr>
            <w:r>
              <w:t>Decisión contextual</w:t>
            </w:r>
          </w:p>
        </w:tc>
        <w:tc>
          <w:tcPr>
            <w:tcW w:type="dxa" w:w="3900"/>
            <w:shd w:fill="F7F8FA"/>
          </w:tcPr>
          <w:p>
            <w:pPr>
              <w:pStyle w:val="TableText"/>
            </w:pPr>
            <w:r>
              <w:t>¿Podés saber qué significa aquí?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TA</w:t>
            </w:r>
            <w:r>
              <w:t xml:space="preserve"> junto a </w:t>
            </w:r>
            <w:r>
              <w:rPr>
                <w:rFonts w:ascii="Consolas" w:hAnsi="Consolas"/>
                <w:color w:val="6941A5"/>
                <w:sz w:val="18"/>
              </w:rPr>
              <w:t>150/90 mmHg</w:t>
            </w:r>
            <w:r>
              <w:t xml:space="preserve"> puede resolverse.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</w:pPr>
            <w:r>
              <w:t>Sentido observado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t>¿Qué significa aquí?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t>Elija tensión arterial solo si la nota lo confirma.</w:t>
            </w:r>
          </w:p>
        </w:tc>
      </w:tr>
      <w:tr>
        <w:trPr>
          <w:cantSplit w:val="true"/>
        </w:trPr>
        <w:tc>
          <w:tcPr>
            <w:tcW w:type="dxa" w:w="2200"/>
            <w:shd w:fill="F7F8FA"/>
          </w:tcPr>
          <w:p>
            <w:pPr>
              <w:pStyle w:val="TableText"/>
            </w:pPr>
            <w:r>
              <w:t>Función</w:t>
            </w:r>
          </w:p>
        </w:tc>
        <w:tc>
          <w:tcPr>
            <w:tcW w:type="dxa" w:w="3900"/>
            <w:shd w:fill="F7F8FA"/>
          </w:tcPr>
          <w:p>
            <w:pPr>
              <w:pStyle w:val="TableText"/>
            </w:pPr>
            <w:r>
              <w:t>¿Qué papel cumple en esta parte de la nota?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AP:</w:t>
            </w:r>
            <w:r>
              <w:t xml:space="preserve"> puede funcionar como encabezado.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</w:pPr>
            <w:r>
              <w:t>Sección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t>¿En qué parte de la nota aparece?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t>Antecedentes personales, estudios o plan.</w:t>
            </w:r>
          </w:p>
        </w:tc>
      </w:tr>
      <w:tr>
        <w:trPr>
          <w:cantSplit w:val="true"/>
        </w:trPr>
        <w:tc>
          <w:tcPr>
            <w:tcW w:type="dxa" w:w="2200"/>
            <w:shd w:fill="F7F8FA"/>
          </w:tcPr>
          <w:p>
            <w:pPr>
              <w:pStyle w:val="TableText"/>
            </w:pPr>
            <w:r>
              <w:t>Señales contextuales</w:t>
            </w:r>
          </w:p>
        </w:tc>
        <w:tc>
          <w:tcPr>
            <w:tcW w:type="dxa" w:w="3900"/>
            <w:shd w:fill="F7F8FA"/>
          </w:tcPr>
          <w:p>
            <w:pPr>
              <w:pStyle w:val="TableText"/>
            </w:pPr>
            <w:r>
              <w:t>¿Qué pistas usaste?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t>Encabezado cercano, valor, medicación o negación.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pStyle w:val="TableText"/>
            </w:pPr>
            <w:r>
              <w:t>Comentario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t>¿Quedó algo importante sin registrar?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t>Dos sentidos siguen siendo posibles por falta de contexto.</w:t>
            </w:r>
          </w:p>
        </w:tc>
      </w:tr>
    </w:tbl>
    <w:p>
      <w:pPr>
        <w:spacing w:after="20"/>
      </w:pPr>
    </w:p>
    <w:p>
      <w:pPr>
        <w:pStyle w:val="Heading2"/>
      </w:pPr>
      <w:r>
        <w:t>5.1 Sentidos sugeridos</w:t>
      </w:r>
    </w:p>
    <w:p>
      <w:r>
        <w:t xml:space="preserve">Los sentidos mostrados son posibilidades recuperadas del inventario. </w:t>
      </w:r>
      <w:r>
        <w:rPr>
          <w:b/>
        </w:rPr>
        <w:t>No están ordenados por probabilidad.</w:t>
      </w:r>
      <w:r>
        <w:t xml:space="preserve"> Compare todos con la nota y no elija el primero por costumbre.</w:t>
      </w:r>
    </w:p>
    <w:p>
      <w:pPr>
        <w:pStyle w:val="Heading2"/>
      </w:pPr>
      <w:r>
        <w:t>5.2 Literal y posición</w:t>
      </w:r>
    </w:p>
    <w:p>
      <w:r>
        <w:t xml:space="preserve">El </w:t>
      </w:r>
      <w:r>
        <w:rPr>
          <w:b/>
        </w:rPr>
        <w:t>literal</w:t>
      </w:r>
      <w:r>
        <w:t xml:space="preserve"> es la forma tal como está escrita en la nota. Si el texto dice </w:t>
      </w:r>
      <w:r>
        <w:rPr>
          <w:rFonts w:ascii="Consolas" w:hAnsi="Consolas"/>
          <w:color w:val="6941A5"/>
          <w:sz w:val="18"/>
        </w:rPr>
        <w:t>BT 0.27</w:t>
      </w:r>
      <w:r>
        <w:t xml:space="preserve">, el literal es </w:t>
      </w:r>
      <w:r>
        <w:rPr>
          <w:rFonts w:ascii="Consolas" w:hAnsi="Consolas"/>
          <w:color w:val="6941A5"/>
          <w:sz w:val="18"/>
        </w:rPr>
        <w:t>BT</w:t>
      </w:r>
      <w:r>
        <w:t xml:space="preserve">: no escriba bilirrubina total en su lugar y no incluya el valor </w:t>
      </w:r>
      <w:r>
        <w:rPr>
          <w:rFonts w:ascii="Consolas" w:hAnsi="Consolas"/>
          <w:color w:val="6941A5"/>
          <w:sz w:val="18"/>
        </w:rPr>
        <w:t>0.27</w:t>
      </w:r>
      <w:r>
        <w:t xml:space="preserve">. La </w:t>
      </w:r>
      <w:r>
        <w:rPr>
          <w:b/>
        </w:rPr>
        <w:t>posición</w:t>
      </w:r>
      <w:r>
        <w:t xml:space="preserve"> es el lugar exacto que ocupa esa forma dentro de la nota. La aplicación la identifica automáticamente; usted no tiene que contar caracteres.</w:t>
      </w:r>
    </w:p>
    <w:p>
      <w:r>
        <w:t xml:space="preserve">Revise que el resaltado abarque únicamente la forma breve. Si falta una letra, sobra un espacio, se incluyó un signo que no pertenece o quedó parte de la forma afuera, corrija el inicio o el final de la selección desde la interfaz. Si la nota contiene un error de escritura, conserve el literal original y registre la corrección en </w:t>
      </w:r>
      <w:r>
        <w:rPr>
          <w:b/>
        </w:rPr>
        <w:t>Forma errónea o corrupta</w:t>
      </w:r>
      <w:r>
        <w:t>.</w:t>
      </w:r>
    </w:p>
    <w:p>
      <w:pPr>
        <w:pStyle w:val="Heading2"/>
      </w:pPr>
      <w:r>
        <w:t>5.3 Vista general de una tarjeta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942372"/>
            <wp:docPr id="3" name="Picture 3" descr="Vista completa de la revisión de formas breves en la aplicación, con la forma BT y los campos de tipo, decisión contextual, función, sección, pistas y comentario." title="Figura 2. Cada tarjeta corresponde a una sola aparición. En BT se revisan, de izquierda a derecha, cómo está escrita, si puede conocerse su significado, qué papel cumple, dónde aparece, qué pistas se usaron y si hace falta un coment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jeta_lexica_comple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42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875"/>
          <w:sz w:val="18"/>
        </w:rPr>
        <w:t>Figura 2. Cada tarjeta corresponde a una sola aparición. En BT se revisan, de izquierda a derecha, cómo está escrita, si puede conocerse su significado, qué papel cumple, dónde aparece, qué pistas se usaron y si hace falta un comentario.</w:t>
      </w:r>
    </w:p>
    <w:p>
      <w:pPr>
        <w:pStyle w:val="Heading1"/>
      </w:pPr>
      <w:r>
        <w:t>6. Cómo decidir el significado</w:t>
      </w:r>
    </w:p>
    <w:p>
      <w:r>
        <w:t>Lea la sección, las palabras cercanas y el resto de la nota. Luego elija la opción que mejor describa lo que realmente puede afirmarse.</w:t>
      </w:r>
    </w:p>
    <w:p>
      <w:pPr>
        <w:pStyle w:val="Heading2"/>
      </w:pPr>
      <w:r>
        <w:t>6.1 Opciones de decisión</w:t>
      </w:r>
    </w:p>
    <w:p>
      <w:pPr>
        <w:pStyle w:val="ListBullet"/>
        <w:spacing w:after="80" w:line="300" w:lineRule="auto"/>
      </w:pPr>
      <w:r>
        <w:rPr>
          <w:b/>
        </w:rPr>
        <w:t>Pendiente.</w:t>
      </w:r>
      <w:r>
        <w:t xml:space="preserve"> La aparición todavía no fue revisada. No es una respuesta final y bloquea el cierre.</w:t>
      </w:r>
    </w:p>
    <w:p>
      <w:pPr>
        <w:pStyle w:val="ListBullet"/>
        <w:spacing w:after="80" w:line="300" w:lineRule="auto"/>
      </w:pPr>
      <w:r>
        <w:rPr>
          <w:b/>
        </w:rPr>
        <w:t>Sentido resuelto.</w:t>
      </w:r>
      <w:r>
        <w:t xml:space="preserve"> Un significado queda claramente respaldado. Seleccione el sentido observado.</w:t>
      </w:r>
    </w:p>
    <w:p>
      <w:pPr>
        <w:pStyle w:val="ListBullet"/>
        <w:spacing w:after="80" w:line="300" w:lineRule="auto"/>
      </w:pPr>
      <w:r>
        <w:rPr>
          <w:b/>
        </w:rPr>
        <w:t>Ambigua aun con contexto.</w:t>
      </w:r>
      <w:r>
        <w:t xml:space="preserve"> Dos o más significados siguen siendo posibles después de revisar la nota.</w:t>
      </w:r>
    </w:p>
    <w:p>
      <w:pPr>
        <w:pStyle w:val="ListBullet"/>
        <w:spacing w:after="80" w:line="300" w:lineRule="auto"/>
      </w:pPr>
      <w:r>
        <w:rPr>
          <w:b/>
        </w:rPr>
        <w:t>No puedo determinarla.</w:t>
      </w:r>
      <w:r>
        <w:t xml:space="preserve"> No hay evidencia suficiente para proponer un significado defendible.</w:t>
      </w:r>
    </w:p>
    <w:p>
      <w:pPr>
        <w:pStyle w:val="ListBullet"/>
        <w:spacing w:after="80" w:line="300" w:lineRule="auto"/>
      </w:pPr>
      <w:r>
        <w:rPr>
          <w:b/>
        </w:rPr>
        <w:t>Proponer sentido nuevo.</w:t>
      </w:r>
      <w:r>
        <w:t xml:space="preserve"> El significado es claro, pero no aparece entre las opciones. Escriba una expansión breve.</w:t>
      </w:r>
    </w:p>
    <w:p>
      <w:pPr>
        <w:pStyle w:val="ListBullet"/>
        <w:spacing w:after="80" w:line="300" w:lineRule="auto"/>
      </w:pPr>
      <w:r>
        <w:rPr>
          <w:b/>
        </w:rPr>
        <w:t>Forma errónea o corrupta.</w:t>
      </w:r>
      <w:r>
        <w:t xml:space="preserve"> La forma contiene un error comprobable. Registre la corrección mínima sin cambiar el original.</w:t>
      </w:r>
    </w:p>
    <w:p>
      <w:pPr>
        <w:pStyle w:val="ListBullet"/>
        <w:spacing w:after="80" w:line="300" w:lineRule="auto"/>
      </w:pPr>
      <w:r>
        <w:rPr>
          <w:b/>
        </w:rPr>
        <w:t>Uso no clínico/estructural.</w:t>
      </w:r>
      <w:r>
        <w:t xml:space="preserve"> La forma organiza el texto o la plantilla, pero no expresa una entidad clínica en esa aparición.</w:t>
      </w:r>
    </w:p>
    <w:p>
      <w:pPr>
        <w:pStyle w:val="ListBullet"/>
        <w:spacing w:after="80" w:line="300" w:lineRule="auto"/>
      </w:pPr>
      <w:r>
        <w:rPr>
          <w:b/>
        </w:rPr>
        <w:t>No es abreviatura ni acrónimo.</w:t>
      </w:r>
      <w:r>
        <w:t xml:space="preserve"> El candidato fue un falso positivo y no pertenece a la capa léxica.</w:t>
      </w:r>
    </w:p>
    <w:p>
      <w:pPr>
        <w:pStyle w:val="Heading2"/>
      </w:pPr>
      <w:r>
        <w:t>6.2 Diferencias importantes</w:t>
      </w:r>
    </w:p>
    <w:p>
      <w:pPr>
        <w:spacing w:before="100" w:after="80"/>
      </w:pPr>
      <w:r>
        <w:rPr>
          <w:b/>
          <w:color w:val="5D6875"/>
          <w:sz w:val="18"/>
        </w:rPr>
        <w:t>Cómo distinguir las decisiones que suelen confundirse.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3150"/>
        <w:gridCol w:w="2850"/>
        <w:gridCol w:w="3360"/>
      </w:tblGrid>
      <w:tr>
        <w:trPr>
          <w:tblHeader w:val="true"/>
          <w:cantSplit w:val="true"/>
        </w:trPr>
        <w:tc>
          <w:tcPr>
            <w:tcW w:type="dxa" w:w="315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Situación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seleccionar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3150"/>
          </w:tcPr>
          <w:p>
            <w:pPr>
              <w:pStyle w:val="TableText"/>
            </w:pPr>
            <w:r>
              <w:t>Dos significados continúan siendo posibles.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t>Ambigua aun con contexto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ACO</w:t>
            </w:r>
            <w:r>
              <w:t xml:space="preserve"> aparece solo, sin medicación ni referencia anticonceptiva: podría significar anticoagulante o anticonceptivo oral.</w:t>
            </w:r>
          </w:p>
        </w:tc>
      </w:tr>
      <w:tr>
        <w:trPr>
          <w:cantSplit w:val="true"/>
        </w:trPr>
        <w:tc>
          <w:tcPr>
            <w:tcW w:type="dxa" w:w="3150"/>
            <w:shd w:fill="F7F8FA"/>
          </w:tcPr>
          <w:p>
            <w:pPr>
              <w:pStyle w:val="TableText"/>
            </w:pPr>
            <w:r>
              <w:t>No se puede sostener ningún significado.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t>No puedo determinarla</w:t>
            </w:r>
          </w:p>
        </w:tc>
        <w:tc>
          <w:tcPr>
            <w:tcW w:type="dxa" w:w="33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XQ</w:t>
            </w:r>
            <w:r>
              <w:t xml:space="preserve"> aparece solo en una plantilla local; no figura una expansión y la nota no aporta ninguna pista.</w:t>
            </w:r>
          </w:p>
        </w:tc>
      </w:tr>
      <w:tr>
        <w:trPr>
          <w:cantSplit w:val="true"/>
        </w:trPr>
        <w:tc>
          <w:tcPr>
            <w:tcW w:type="dxa" w:w="3150"/>
          </w:tcPr>
          <w:p>
            <w:pPr>
              <w:pStyle w:val="TableText"/>
            </w:pPr>
            <w:r>
              <w:t>El significado es claro, pero falta en la lista.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t>Proponer sentido nuevo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  <w:sz w:val="18"/>
              </w:rPr>
              <w:t>Laboratorio: BT 0.27</w:t>
            </w:r>
            <w:r>
              <w:t>, el contexto confirma bilirrubina total, pero esa expansión no aparece entre los sentidos ofrecidos.</w:t>
            </w:r>
          </w:p>
        </w:tc>
      </w:tr>
      <w:tr>
        <w:trPr>
          <w:cantSplit w:val="true"/>
        </w:trPr>
        <w:tc>
          <w:tcPr>
            <w:tcW w:type="dxa" w:w="3150"/>
            <w:shd w:fill="F7F8FA"/>
          </w:tcPr>
          <w:p>
            <w:pPr>
              <w:pStyle w:val="TableText"/>
            </w:pPr>
            <w:r>
              <w:t>La forma solo presenta una parte de la nota.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t>Uso no clínico/estructural</w:t>
            </w:r>
          </w:p>
        </w:tc>
        <w:tc>
          <w:tcPr>
            <w:tcW w:type="dxa" w:w="3360"/>
            <w:shd w:fill="F7F8FA"/>
          </w:tcPr>
          <w:p>
            <w:pPr>
              <w:pStyle w:val="TableText"/>
            </w:pPr>
            <w:r>
              <w:t xml:space="preserve">En </w:t>
            </w:r>
            <w:r>
              <w:rPr>
                <w:rFonts w:ascii="Consolas" w:hAnsi="Consolas"/>
                <w:color w:val="6941A5"/>
                <w:sz w:val="18"/>
              </w:rPr>
              <w:t>AP: ASMA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AP:</w:t>
            </w:r>
            <w:r>
              <w:t xml:space="preserve"> funciona como encabezado de antecedentes personales; </w:t>
            </w:r>
            <w:r>
              <w:rPr>
                <w:rFonts w:ascii="Consolas" w:hAnsi="Consolas"/>
                <w:color w:val="6941A5"/>
                <w:sz w:val="18"/>
              </w:rPr>
              <w:t>ASMA</w:t>
            </w:r>
            <w:r>
              <w:t xml:space="preserve"> se revisa por separado.</w:t>
            </w:r>
          </w:p>
        </w:tc>
      </w:tr>
      <w:tr>
        <w:trPr>
          <w:cantSplit w:val="true"/>
        </w:trPr>
        <w:tc>
          <w:tcPr>
            <w:tcW w:type="dxa" w:w="3150"/>
          </w:tcPr>
          <w:p>
            <w:pPr>
              <w:pStyle w:val="TableText"/>
            </w:pPr>
            <w:r>
              <w:t>El sistema marcó una palabra completa.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t>No es abreviatura ni acrónimo</w:t>
            </w:r>
          </w:p>
        </w:tc>
        <w:tc>
          <w:tcPr>
            <w:tcW w:type="dxa" w:w="33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capilaroscopia</w:t>
            </w:r>
            <w:r>
              <w:t xml:space="preserve"> fue sugerida como forma breve, pero está escrita completa y debe descartarse de la capa léxica.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Qué impide cerrar. </w:t>
            </w:r>
            <w:r>
              <w:t xml:space="preserve">No podrá completar la revisión si queda una decisión </w:t>
            </w:r>
            <w:r>
              <w:rPr>
                <w:b/>
              </w:rPr>
              <w:t>Pendiente</w:t>
            </w:r>
            <w:r>
              <w:t xml:space="preserve">, un </w:t>
            </w:r>
            <w:r>
              <w:rPr>
                <w:b/>
              </w:rPr>
              <w:t>Sentido resuelto</w:t>
            </w:r>
            <w:r>
              <w:t xml:space="preserve"> sin sentido seleccionado, </w:t>
            </w:r>
            <w:r>
              <w:rPr>
                <w:b/>
              </w:rPr>
              <w:t>Proponer sentido nuevo</w:t>
            </w:r>
            <w:r>
              <w:t xml:space="preserve"> sin expansión o </w:t>
            </w:r>
            <w:r>
              <w:rPr>
                <w:b/>
              </w:rPr>
              <w:t>Forma errónea o corrupta</w:t>
            </w:r>
            <w:r>
              <w:t xml:space="preserve"> sin corrección.</w:t>
            </w:r>
          </w:p>
        </w:tc>
      </w:tr>
    </w:tbl>
    <w:p>
      <w:pPr>
        <w:spacing w:after="20"/>
      </w:pPr>
    </w:p>
    <w:p>
      <w:pPr>
        <w:pStyle w:val="Heading2"/>
      </w:pPr>
      <w:r>
        <w:t>6.3 Cómo se ven las decisiones en la aplicación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2533454"/>
            <wp:docPr id="4" name="Picture 4" descr="Menú de decisión contextual de la aplicación con las opciones Pendiente, Sentido resuelto, Ambigua aun con contexto y No puedo determinarla." title="Figura 3. Pendiente significa que la revisión todavía no se hizo. Ambigua aun con contexto y No puedo determinarla son respuestas finales válidas cuando la nota no permite resolver un único significad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enu_decision_contex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33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875"/>
          <w:sz w:val="18"/>
        </w:rPr>
        <w:t>Figura 3. Pendiente significa que la revisión todavía no se hizo. Ambigua aun con contexto y No puedo determinarla son respuestas finales válidas cuando la nota no permite resolver un único significado.</w:t>
      </w:r>
    </w:p>
    <w:p>
      <w:pPr>
        <w:pStyle w:val="Heading1"/>
      </w:pPr>
      <w:r>
        <w:t>7. Función, sección, pistas y comentario</w:t>
      </w:r>
    </w:p>
    <w:p>
      <w:pPr>
        <w:pStyle w:val="Heading2"/>
      </w:pPr>
      <w:r>
        <w:t>7.1 Función: qué papel cumple aquí</w:t>
      </w:r>
    </w:p>
    <w:p>
      <w:pPr>
        <w:spacing w:before="100" w:after="80"/>
      </w:pPr>
      <w:r>
        <w:rPr>
          <w:b/>
          <w:color w:val="5D6875"/>
          <w:sz w:val="18"/>
        </w:rPr>
        <w:t>La función pertenece a la aparición, no a la sigla en general.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150"/>
        <w:gridCol w:w="4100"/>
        <w:gridCol w:w="3110"/>
      </w:tblGrid>
      <w:tr>
        <w:trPr>
          <w:tblHeader w:val="true"/>
          <w:cantSplit w:val="true"/>
        </w:trPr>
        <w:tc>
          <w:tcPr>
            <w:tcW w:type="dxa" w:w="215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Función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Cuándo usarla</w:t>
            </w:r>
          </w:p>
        </w:tc>
        <w:tc>
          <w:tcPr>
            <w:tcW w:type="dxa" w:w="311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2150"/>
          </w:tcPr>
          <w:p>
            <w:pPr>
              <w:pStyle w:val="TableText"/>
            </w:pPr>
            <w:r>
              <w:t>Sin clasificar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Todavía no se asignó una función o la nota no permite decidirla.</w:t>
            </w:r>
          </w:p>
        </w:tc>
        <w:tc>
          <w:tcPr>
            <w:tcW w:type="dxa" w:w="3110"/>
          </w:tcPr>
          <w:p>
            <w:pPr>
              <w:pStyle w:val="TableText"/>
            </w:pPr>
            <w:r>
              <w:t>Úsela solo si el papel de la forma realmente no puede decidirse.</w:t>
            </w:r>
          </w:p>
        </w:tc>
      </w:tr>
      <w:tr>
        <w:trPr>
          <w:cantSplit w:val="true"/>
        </w:trPr>
        <w:tc>
          <w:tcPr>
            <w:tcW w:type="dxa" w:w="2150"/>
            <w:shd w:fill="F7F8FA"/>
          </w:tcPr>
          <w:p>
            <w:pPr>
              <w:pStyle w:val="TableText"/>
            </w:pPr>
            <w:r>
              <w:t>Encabezado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>Abre una sección o un campo temático.</w:t>
            </w:r>
          </w:p>
        </w:tc>
        <w:tc>
          <w:tcPr>
            <w:tcW w:type="dxa" w:w="311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AP:</w:t>
            </w:r>
            <w:r>
              <w:t xml:space="preserve"> antes de los antecedentes personales.</w:t>
            </w:r>
          </w:p>
        </w:tc>
      </w:tr>
      <w:tr>
        <w:trPr>
          <w:cantSplit w:val="true"/>
        </w:trPr>
        <w:tc>
          <w:tcPr>
            <w:tcW w:type="dxa" w:w="2150"/>
          </w:tcPr>
          <w:p>
            <w:pPr>
              <w:pStyle w:val="TableText"/>
            </w:pPr>
            <w:r>
              <w:t>Entidad clínica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Representa una entidad clínica en esa aparición.</w:t>
            </w:r>
          </w:p>
        </w:tc>
        <w:tc>
          <w:tcPr>
            <w:tcW w:type="dxa" w:w="311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FC</w:t>
            </w:r>
            <w:r>
              <w:t xml:space="preserve"> como frecuencia cardíaca en una medición.</w:t>
            </w:r>
          </w:p>
        </w:tc>
      </w:tr>
      <w:tr>
        <w:trPr>
          <w:cantSplit w:val="true"/>
        </w:trPr>
        <w:tc>
          <w:tcPr>
            <w:tcW w:type="dxa" w:w="2150"/>
            <w:shd w:fill="F7F8FA"/>
          </w:tcPr>
          <w:p>
            <w:pPr>
              <w:pStyle w:val="TableText"/>
            </w:pPr>
            <w:r>
              <w:t>Valor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>Expresa un grado, estadio, paridad u otro valor.</w:t>
            </w:r>
          </w:p>
        </w:tc>
        <w:tc>
          <w:tcPr>
            <w:tcW w:type="dxa" w:w="311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P0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G2</w:t>
            </w:r>
            <w:r>
              <w:t>.</w:t>
            </w:r>
          </w:p>
        </w:tc>
      </w:tr>
      <w:tr>
        <w:trPr>
          <w:cantSplit w:val="true"/>
        </w:trPr>
        <w:tc>
          <w:tcPr>
            <w:tcW w:type="dxa" w:w="2150"/>
          </w:tcPr>
          <w:p>
            <w:pPr>
              <w:pStyle w:val="TableText"/>
            </w:pPr>
            <w:r>
              <w:t>Resultado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Resume la salida de una prueba o evaluación.</w:t>
            </w:r>
          </w:p>
        </w:tc>
        <w:tc>
          <w:tcPr>
            <w:tcW w:type="dxa" w:w="311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NEG</w:t>
            </w:r>
            <w:r>
              <w:t xml:space="preserve"> en un estudio.</w:t>
            </w:r>
          </w:p>
        </w:tc>
      </w:tr>
      <w:tr>
        <w:trPr>
          <w:cantSplit w:val="true"/>
        </w:trPr>
        <w:tc>
          <w:tcPr>
            <w:tcW w:type="dxa" w:w="2150"/>
            <w:shd w:fill="F7F8FA"/>
          </w:tcPr>
          <w:p>
            <w:pPr>
              <w:pStyle w:val="TableText"/>
            </w:pPr>
            <w:r>
              <w:t>Modificador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>Cambia o restringe otra mención.</w:t>
            </w:r>
          </w:p>
        </w:tc>
        <w:tc>
          <w:tcPr>
            <w:tcW w:type="dxa" w:w="3110"/>
            <w:shd w:fill="F7F8FA"/>
          </w:tcPr>
          <w:p>
            <w:pPr>
              <w:pStyle w:val="TableText"/>
            </w:pPr>
            <w:r>
              <w:t>Abreviatura de lateralidad junto a una región anatómica.</w:t>
            </w:r>
          </w:p>
        </w:tc>
      </w:tr>
      <w:tr>
        <w:trPr>
          <w:cantSplit w:val="true"/>
        </w:trPr>
        <w:tc>
          <w:tcPr>
            <w:tcW w:type="dxa" w:w="2150"/>
          </w:tcPr>
          <w:p>
            <w:pPr>
              <w:pStyle w:val="TableText"/>
            </w:pPr>
            <w:r>
              <w:t>Marca estructural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Ordena una plantilla o lista sin abrir un tema clínico.</w:t>
            </w:r>
          </w:p>
        </w:tc>
        <w:tc>
          <w:tcPr>
            <w:tcW w:type="dxa" w:w="3110"/>
          </w:tcPr>
          <w:p>
            <w:pPr>
              <w:pStyle w:val="TableText"/>
            </w:pPr>
            <w:r>
              <w:t>Código de campo o transición.</w:t>
            </w:r>
          </w:p>
        </w:tc>
      </w:tr>
      <w:tr>
        <w:trPr>
          <w:cantSplit w:val="true"/>
        </w:trPr>
        <w:tc>
          <w:tcPr>
            <w:tcW w:type="dxa" w:w="2150"/>
            <w:shd w:fill="F7F8FA"/>
          </w:tcPr>
          <w:p>
            <w:pPr>
              <w:pStyle w:val="TableText"/>
            </w:pPr>
            <w:r>
              <w:t>Otra función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>La función se reconoce, pero no encaja en las anteriores.</w:t>
            </w:r>
          </w:p>
        </w:tc>
        <w:tc>
          <w:tcPr>
            <w:tcW w:type="dxa" w:w="3110"/>
            <w:shd w:fill="F7F8FA"/>
          </w:tcPr>
          <w:p>
            <w:pPr>
              <w:pStyle w:val="TableText"/>
            </w:pPr>
            <w:r>
              <w:t>Descríbala en el comentario.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Sin clasificar no significa Otra función. </w:t>
            </w:r>
            <w:r>
              <w:rPr>
                <w:b/>
              </w:rPr>
              <w:t>Sin clasificar</w:t>
            </w:r>
            <w:r>
              <w:t xml:space="preserve"> indica que no hay una decisión funcional. </w:t>
            </w:r>
            <w:r>
              <w:rPr>
                <w:b/>
              </w:rPr>
              <w:t>Otra función</w:t>
            </w:r>
            <w:r>
              <w:t xml:space="preserve"> indica que sí la hay, pero no está representada por las opciones disponibles.</w:t>
            </w:r>
          </w:p>
        </w:tc>
      </w:tr>
    </w:tbl>
    <w:p>
      <w:pPr>
        <w:spacing w:after="20"/>
      </w:pPr>
    </w:p>
    <w:p>
      <w:pPr>
        <w:pStyle w:val="Heading3"/>
      </w:pPr>
      <w:r>
        <w:t>Ejemplo visual: elegir la función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15000" cy="3278147"/>
            <wp:docPr id="5" name="Picture 5" descr="Menú de función de la aplicación con las opciones Sin clasificar, Encabezado, Entidad clínica y Valor." title="Figura 4. La función describe el papel de esa aparición. En BT bajo Laboratorio, la opción depende de lo que BT represente allí; Sin clasificar solo se conserva cuando el papel todavía no pudo decidir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nu_fun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78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i/>
          <w:color w:val="5D6875"/>
          <w:sz w:val="18"/>
        </w:rPr>
        <w:t>Figura 4. La función describe el papel de esa aparición. En BT bajo Laboratorio, la opción depende de lo que BT represente allí; Sin clasificar solo se conserva cuando el papel todavía no pudo decidirse.</w:t>
      </w:r>
    </w:p>
    <w:p>
      <w:pPr>
        <w:pStyle w:val="Heading2"/>
      </w:pPr>
      <w:r>
        <w:t>7.2 Sección: dónde aparece</w:t>
      </w:r>
    </w:p>
    <w:p>
      <w:r>
        <w:t>Registre la parte local de la nota: motivo de consulta, antecedentes personales, antecedentes familiares, medicación, examen físico, estudios, evolución, plan, procedimiento, alta u otra. La especialidad general de la nota no reemplaza este dato.</w:t>
      </w:r>
    </w:p>
    <w:p>
      <w:pPr>
        <w:pStyle w:val="Heading2"/>
      </w:pPr>
      <w:r>
        <w:t>7.3 Pistas: por qué tomó la decisión</w:t>
      </w:r>
    </w:p>
    <w:p>
      <w:pPr>
        <w:pStyle w:val="ListBullet"/>
        <w:spacing w:after="80" w:line="300" w:lineRule="auto"/>
      </w:pPr>
      <w:r>
        <w:rPr>
          <w:b/>
        </w:rPr>
        <w:t>Estructura:</w:t>
      </w:r>
      <w:r>
        <w:t xml:space="preserve"> encabezado cercano o posición fija de la plantilla.</w:t>
      </w:r>
    </w:p>
    <w:p>
      <w:pPr>
        <w:pStyle w:val="ListBullet"/>
        <w:spacing w:after="80" w:line="300" w:lineRule="auto"/>
      </w:pPr>
      <w:r>
        <w:rPr>
          <w:b/>
        </w:rPr>
        <w:t>Palabras vecinas:</w:t>
      </w:r>
      <w:r>
        <w:t xml:space="preserve"> términos, verbos o unidades inmediatamente cercanos.</w:t>
      </w:r>
    </w:p>
    <w:p>
      <w:pPr>
        <w:pStyle w:val="ListBullet"/>
        <w:spacing w:after="80" w:line="300" w:lineRule="auto"/>
      </w:pPr>
      <w:r>
        <w:rPr>
          <w:b/>
        </w:rPr>
        <w:t>Contexto clínico:</w:t>
      </w:r>
      <w:r>
        <w:t xml:space="preserve"> medicación, laboratorio, anatomía, procedimiento, obstetricia, cardiología o cirugía.</w:t>
      </w:r>
    </w:p>
    <w:p>
      <w:pPr>
        <w:pStyle w:val="ListBullet"/>
        <w:spacing w:after="80" w:line="300" w:lineRule="auto"/>
      </w:pPr>
      <w:r>
        <w:rPr>
          <w:b/>
        </w:rPr>
        <w:t>Patrones:</w:t>
      </w:r>
      <w:r>
        <w:t xml:space="preserve"> dosis, vía, fecha, negación, número, unidad o formato esperado.</w:t>
      </w:r>
    </w:p>
    <w:p>
      <w:pPr>
        <w:pStyle w:val="ListBullet"/>
        <w:spacing w:after="80" w:line="300" w:lineRule="auto"/>
      </w:pPr>
      <w:r>
        <w:rPr>
          <w:b/>
        </w:rPr>
        <w:t>Atribución:</w:t>
      </w:r>
      <w:r>
        <w:t xml:space="preserve"> antecedente personal o familiar.</w:t>
      </w:r>
    </w:p>
    <w:p>
      <w:r>
        <w:t>Seleccione o escriba los códigos correspondientes que muestra la aplicación. En el anexo encontrará su equivalencia. Los códigos se separan por comas; no pegue fragmentos de la nota.</w:t>
      </w:r>
    </w:p>
    <w:p>
      <w:pPr>
        <w:pStyle w:val="Heading2"/>
      </w:pPr>
      <w:r>
        <w:t>7.4 Comentario: solo cuando agrega valor</w:t>
      </w:r>
    </w:p>
    <w:p>
      <w:pPr>
        <w:pStyle w:val="ListBullet"/>
        <w:spacing w:after="80" w:line="300" w:lineRule="auto"/>
      </w:pPr>
      <w:r>
        <w:t>Explique una ambigüedad difícil, una inconsistencia de plantilla o una opción faltante.</w:t>
      </w:r>
    </w:p>
    <w:p>
      <w:pPr>
        <w:pStyle w:val="ListBullet"/>
        <w:spacing w:after="80" w:line="300" w:lineRule="auto"/>
      </w:pPr>
      <w:r>
        <w:t>No repita la sección, la función ni las pistas ya registradas.</w:t>
      </w:r>
    </w:p>
    <w:p>
      <w:pPr>
        <w:pStyle w:val="ListBullet"/>
        <w:spacing w:after="80" w:line="300" w:lineRule="auto"/>
      </w:pPr>
      <w:r>
        <w:t>No copie nombres, identificadores ni fragmentos clínicos largos.</w:t>
      </w:r>
    </w:p>
    <w:p>
      <w:pPr>
        <w:pStyle w:val="ListBullet"/>
        <w:spacing w:after="80" w:line="300" w:lineRule="auto"/>
      </w:pPr>
      <w:r>
        <w:t>Escriba una frase breve, objetiva y suficiente para que otra persona comprenda la decisión.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Posibilidad semántica fuera de las categorías. </w:t>
            </w:r>
            <w:r>
              <w:t>Si existe un significado clínico plausible pero la categoría no está habilitada, escriba en Comentario: «Posible significado clínico no representado: &lt;descripción breve&gt;. Motivo: la categoría no está disponible». Esto registra la observación, pero no crea una categoría nueva. La marca estandarizada para el archivo se encuentra en el Anexo B.</w:t>
            </w:r>
          </w:p>
        </w:tc>
      </w:tr>
    </w:tbl>
    <w:p>
      <w:pPr>
        <w:spacing w:after="20"/>
      </w:pPr>
    </w:p>
    <w:p>
      <w:pPr>
        <w:pStyle w:val="Heading1"/>
      </w:pPr>
      <w:r>
        <w:t>8. Cómo revisar la información clínica</w:t>
      </w:r>
    </w:p>
    <w:p>
      <w:r>
        <w:t>Después de resolver la forma breve, pregunte si el fragmento expresa un concepto clínico que debe normalizarse. Trabaje con lo que la nota afirma; no complete información por conocimiento médico.</w:t>
      </w:r>
    </w:p>
    <w:p>
      <w:pPr>
        <w:pStyle w:val="Heading2"/>
      </w:pPr>
      <w:r>
        <w:t>8.1 Qué es una selección textual o span</w:t>
      </w:r>
    </w:p>
    <w:p>
      <w:r>
        <w:t xml:space="preserve">Una </w:t>
      </w:r>
      <w:r>
        <w:rPr>
          <w:b/>
        </w:rPr>
        <w:t>selección textual</w:t>
      </w:r>
      <w:r>
        <w:t xml:space="preserve">, también llamada </w:t>
      </w:r>
      <w:r>
        <w:rPr>
          <w:b/>
        </w:rPr>
        <w:t>span</w:t>
      </w:r>
      <w:r>
        <w:t xml:space="preserve">, es el fragmento exacto y continuo de la nota que queda resaltado para sostener una anotación clínica. Es el lugar del texto al que queda unido el concepto. Por ejemplo, en </w:t>
      </w:r>
      <w:r>
        <w:rPr>
          <w:rFonts w:ascii="Consolas" w:hAnsi="Consolas"/>
          <w:color w:val="6941A5"/>
          <w:sz w:val="18"/>
        </w:rPr>
        <w:t>AP: ASMA</w:t>
      </w:r>
      <w:r>
        <w:t xml:space="preserve">, la mención clínica es </w:t>
      </w:r>
      <w:r>
        <w:rPr>
          <w:rFonts w:ascii="Consolas" w:hAnsi="Consolas"/>
          <w:color w:val="6941A5"/>
          <w:sz w:val="18"/>
        </w:rPr>
        <w:t>ASMA</w:t>
      </w:r>
      <w:r>
        <w:t xml:space="preserve">; </w:t>
      </w:r>
      <w:r>
        <w:rPr>
          <w:rFonts w:ascii="Consolas" w:hAnsi="Consolas"/>
          <w:color w:val="6941A5"/>
          <w:sz w:val="18"/>
        </w:rPr>
        <w:t>AP:</w:t>
      </w:r>
      <w:r>
        <w:t xml:space="preserve"> se revisa aparte como forma breve y encabezado.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Regla de anclaje. </w:t>
            </w:r>
            <w:r>
              <w:t>Si hay una mención clínica explícita, debe existir una selección textual. No alcanza con elegir solo un concepto SNOMED CT sin mostrar qué palabras de la nota lo expresan.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t>La selección debe copiar exactamente lo escrito, incluso si contiene una abreviatura o un error.</w:t>
      </w:r>
    </w:p>
    <w:p>
      <w:pPr>
        <w:pStyle w:val="ListBullet"/>
        <w:spacing w:after="80" w:line="300" w:lineRule="auto"/>
      </w:pPr>
      <w:r>
        <w:t>Si la misma entidad aparece dos veces, cree dos selecciones: una para cada aparición.</w:t>
      </w:r>
    </w:p>
    <w:p>
      <w:pPr>
        <w:pStyle w:val="ListBullet"/>
        <w:spacing w:after="80" w:line="300" w:lineRule="auto"/>
      </w:pPr>
      <w:r>
        <w:t>No corrija ni expanda el texto dentro de la selección; la normalización se realiza después.</w:t>
      </w:r>
    </w:p>
    <w:p>
      <w:pPr>
        <w:pStyle w:val="ListBullet"/>
        <w:spacing w:after="80" w:line="300" w:lineRule="auto"/>
      </w:pPr>
      <w:r>
        <w:t>Una selección premarcada y una agregada manualmente tienen el mismo valor una vez revisadas.</w:t>
      </w:r>
    </w:p>
    <w:p>
      <w:pPr>
        <w:pStyle w:val="Heading2"/>
      </w:pPr>
      <w:r>
        <w:t>8.2 Cómo elegir el límite</w:t>
      </w:r>
    </w:p>
    <w:p>
      <w:pPr>
        <w:pStyle w:val="ListBullet"/>
        <w:spacing w:after="80" w:line="300" w:lineRule="auto"/>
      </w:pPr>
      <w:r>
        <w:t xml:space="preserve">Seleccione el </w:t>
      </w:r>
      <w:r>
        <w:rPr>
          <w:b/>
        </w:rPr>
        <w:t>menor tramo textual completo</w:t>
      </w:r>
      <w:r>
        <w:t xml:space="preserve"> que expresa la mención clínica.</w:t>
      </w:r>
    </w:p>
    <w:p>
      <w:pPr>
        <w:pStyle w:val="ListBullet"/>
        <w:spacing w:after="80" w:line="300" w:lineRule="auto"/>
      </w:pPr>
      <w:r>
        <w:t>Incluya los modificadores que forman parte de lo que desea conservar, pero no palabras ajenas, encabezados puramente estructurales ni puntuación externa.</w:t>
      </w:r>
    </w:p>
    <w:p>
      <w:pPr>
        <w:pStyle w:val="ListBullet"/>
        <w:spacing w:after="80" w:line="300" w:lineRule="auto"/>
      </w:pPr>
      <w:r>
        <w:t>No marque solo un número cuando el nombre del dato es necesario para comprenderlo.</w:t>
      </w:r>
    </w:p>
    <w:p>
      <w:pPr>
        <w:pStyle w:val="ListBullet"/>
        <w:spacing w:after="80" w:line="300" w:lineRule="auto"/>
      </w:pPr>
      <w:r>
        <w:t>No cree varias selecciones anidadas para representar distintos niveles de detalle de una misma mención.</w:t>
      </w:r>
    </w:p>
    <w:p>
      <w:pPr>
        <w:spacing w:before="100" w:after="80"/>
      </w:pPr>
      <w:r>
        <w:rPr>
          <w:b/>
          <w:color w:val="5D6875"/>
          <w:sz w:val="18"/>
        </w:rPr>
        <w:t>Ejemplos para encontrar un límite textual reproducible.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600"/>
        <w:gridCol w:w="3260"/>
        <w:gridCol w:w="3500"/>
      </w:tblGrid>
      <w:tr>
        <w:trPr>
          <w:tblHeader w:val="true"/>
          <w:cantSplit w:val="true"/>
        </w:trPr>
        <w:tc>
          <w:tcPr>
            <w:tcW w:type="dxa" w:w="26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Texto de la nota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Selección recomendada</w:t>
            </w:r>
          </w:p>
        </w:tc>
        <w:tc>
          <w:tcPr>
            <w:tcW w:type="dxa" w:w="35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Por qué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leve ictericia de piel y mucosas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t>Toda la expresión.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t>La intensidad y los sitios forman parte de la mención clínica que se desea conservar.</w:t>
            </w:r>
          </w:p>
        </w:tc>
      </w:tr>
      <w:tr>
        <w:trPr>
          <w:cantSplit w:val="true"/>
        </w:trPr>
        <w:tc>
          <w:tcPr>
            <w:tcW w:type="dxa" w:w="260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se realizó examen físico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examen físico</w:t>
            </w:r>
            <w:r>
              <w:t>, si el esquema lo incluye como procedimiento.</w:t>
            </w:r>
          </w:p>
        </w:tc>
        <w:tc>
          <w:tcPr>
            <w:tcW w:type="dxa" w:w="3500"/>
            <w:shd w:fill="F7F8FA"/>
          </w:tcPr>
          <w:p>
            <w:pPr>
              <w:pStyle w:val="TableText"/>
            </w:pPr>
            <w:r>
              <w:t>El verbo introductorio no es necesario; el nombre del procedimiento sí.</w:t>
            </w:r>
          </w:p>
        </w:tc>
      </w:tr>
      <w:tr>
        <w:trPr>
          <w:cantSplit w:val="true"/>
        </w:trPr>
        <w:tc>
          <w:tcPr>
            <w:tcW w:type="dxa" w:w="26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LDL 153</w:t>
            </w:r>
            <w:r>
              <w:t xml:space="preserve"> o </w:t>
            </w:r>
            <w:r>
              <w:rPr>
                <w:rFonts w:ascii="Consolas" w:hAnsi="Consolas"/>
                <w:color w:val="6941A5"/>
                <w:sz w:val="18"/>
              </w:rPr>
              <w:t>glucemia 100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t>Analito y valor juntos, solo si esa medición es elegible para el esquema.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t>El número aislado no identifica el dato. Si la medición no es elegible, no se crea una mención.</w:t>
            </w:r>
          </w:p>
        </w:tc>
      </w:tr>
      <w:tr>
        <w:trPr>
          <w:cantSplit w:val="true"/>
        </w:trPr>
        <w:tc>
          <w:tcPr>
            <w:tcW w:type="dxa" w:w="260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radiografía de tórax frente sin infiltrados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radiografía de tórax frente</w:t>
            </w:r>
            <w:r>
              <w:t xml:space="preserve"> para el procedimiento; </w:t>
            </w:r>
            <w:r>
              <w:rPr>
                <w:rFonts w:ascii="Consolas" w:hAnsi="Consolas"/>
                <w:color w:val="6941A5"/>
                <w:sz w:val="18"/>
              </w:rPr>
              <w:t>sin infiltrados</w:t>
            </w:r>
            <w:r>
              <w:t xml:space="preserve"> se revisa aparte como resultado si corresponde.</w:t>
            </w:r>
          </w:p>
        </w:tc>
        <w:tc>
          <w:tcPr>
            <w:tcW w:type="dxa" w:w="3500"/>
            <w:shd w:fill="F7F8FA"/>
          </w:tcPr>
          <w:p>
            <w:pPr>
              <w:pStyle w:val="TableText"/>
            </w:pPr>
            <w:r>
              <w:t>La región y la proyección completan el procedimiento; el resultado expresa otra mención.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Dónde cortar en una radiografía. </w:t>
            </w:r>
            <w:r>
              <w:t xml:space="preserve">En </w:t>
            </w:r>
            <w:r>
              <w:rPr>
                <w:rFonts w:ascii="Consolas" w:hAnsi="Consolas"/>
                <w:color w:val="6941A5"/>
                <w:sz w:val="18"/>
              </w:rPr>
              <w:t>radiografía de tórax frente</w:t>
            </w:r>
            <w:r>
              <w:t xml:space="preserve">, corte después de </w:t>
            </w:r>
            <w:r>
              <w:rPr>
                <w:rFonts w:ascii="Consolas" w:hAnsi="Consolas"/>
                <w:color w:val="6941A5"/>
                <w:sz w:val="18"/>
              </w:rPr>
              <w:t>frente</w:t>
            </w:r>
            <w:r>
              <w:t xml:space="preserve"> si esa palabra expresa la proyección documentada. No cree tres selecciones superpuestas para </w:t>
            </w:r>
            <w:r>
              <w:rPr>
                <w:rFonts w:ascii="Consolas" w:hAnsi="Consolas"/>
                <w:color w:val="6941A5"/>
                <w:sz w:val="18"/>
              </w:rPr>
              <w:t>radiografía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radiografía de tórax</w:t>
            </w:r>
            <w:r>
              <w:t xml:space="preserve"> y </w:t>
            </w:r>
            <w:r>
              <w:rPr>
                <w:rFonts w:ascii="Consolas" w:hAnsi="Consolas"/>
                <w:color w:val="6941A5"/>
                <w:sz w:val="18"/>
              </w:rPr>
              <w:t>radiografía de tórax frente</w:t>
            </w:r>
            <w:r>
              <w:t>. Conserve una sola mención completa.</w:t>
            </w:r>
          </w:p>
        </w:tc>
      </w:tr>
    </w:tbl>
    <w:p>
      <w:pPr>
        <w:spacing w:after="20"/>
      </w:pPr>
    </w:p>
    <w:p>
      <w:pPr>
        <w:pStyle w:val="Heading2"/>
      </w:pPr>
      <w:r>
        <w:t>8.3 El span fija el texto; no decide la granularidad</w:t>
      </w:r>
    </w:p>
    <w:p>
      <w:r>
        <w:t>Primero delimite lo escrito. Después elija el concepto más específico que esté respaldado por toda esa selección. No alargue ni acorte el texto solo para hacer coincidir un código, y no agregue un detalle que la nota no contiene.</w:t>
      </w:r>
    </w:p>
    <w:p>
      <w:pPr>
        <w:pStyle w:val="ListBullet"/>
        <w:spacing w:after="80" w:line="300" w:lineRule="auto"/>
      </w:pPr>
      <w:r>
        <w:t xml:space="preserve">Si el texto dice </w:t>
      </w:r>
      <w:r>
        <w:rPr>
          <w:rFonts w:ascii="Consolas" w:hAnsi="Consolas"/>
          <w:color w:val="6941A5"/>
          <w:sz w:val="18"/>
        </w:rPr>
        <w:t>radiografía</w:t>
      </w:r>
      <w:r>
        <w:t>, no elija un concepto que agregue tórax o proyección frontal.</w:t>
      </w:r>
    </w:p>
    <w:p>
      <w:pPr>
        <w:pStyle w:val="ListBullet"/>
        <w:spacing w:after="80" w:line="300" w:lineRule="auto"/>
      </w:pPr>
      <w:r>
        <w:t xml:space="preserve">Si dice </w:t>
      </w:r>
      <w:r>
        <w:rPr>
          <w:rFonts w:ascii="Consolas" w:hAnsi="Consolas"/>
          <w:color w:val="6941A5"/>
          <w:sz w:val="18"/>
        </w:rPr>
        <w:t>radiografía de tórax frente</w:t>
      </w:r>
      <w:r>
        <w:t>, puede elegir el concepto específico correspondiente cuando esté disponible.</w:t>
      </w:r>
    </w:p>
    <w:p>
      <w:pPr>
        <w:pStyle w:val="ListBullet"/>
        <w:spacing w:after="80" w:line="300" w:lineRule="auto"/>
      </w:pPr>
      <w:r>
        <w:t>Si no encuentra una coincidencia exacta, no invente información ni cambie el span: use la opción más específica permitida por el protocolo y deje un comentario o solicite adjudicación.</w:t>
      </w:r>
    </w:p>
    <w:p>
      <w:pPr>
        <w:pStyle w:val="ListBullet"/>
        <w:spacing w:after="80" w:line="300" w:lineRule="auto"/>
      </w:pPr>
      <w:r>
        <w:t>La selección fija reduce una fuente de desacuerdo, pero no resuelve por sí sola qué nivel de la jerarquía SNOMED CT corresponde.</w:t>
      </w:r>
    </w:p>
    <w:p>
      <w:pPr>
        <w:pStyle w:val="Heading2"/>
      </w:pPr>
      <w:r>
        <w:t>8.4 Elegir categoría y concepto</w:t>
      </w:r>
    </w:p>
    <w:p>
      <w:pPr>
        <w:pStyle w:val="ListBullet"/>
        <w:spacing w:after="80" w:line="300" w:lineRule="auto"/>
      </w:pPr>
      <w:r>
        <w:rPr>
          <w:b/>
        </w:rPr>
        <w:t>Hallazgo clínico:</w:t>
      </w:r>
      <w:r>
        <w:t xml:space="preserve"> enfermedad, síntoma, signo o estado afirmado en el texto.</w:t>
      </w:r>
    </w:p>
    <w:p>
      <w:pPr>
        <w:pStyle w:val="ListBullet"/>
        <w:spacing w:after="80" w:line="300" w:lineRule="auto"/>
      </w:pPr>
      <w:r>
        <w:rPr>
          <w:b/>
        </w:rPr>
        <w:t>Procedimiento:</w:t>
      </w:r>
      <w:r>
        <w:t xml:space="preserve"> acción diagnóstica o terapéutica realizada, indicada o planificada.</w:t>
      </w:r>
    </w:p>
    <w:p>
      <w:pPr>
        <w:pStyle w:val="ListBullet"/>
        <w:spacing w:after="80" w:line="300" w:lineRule="auto"/>
      </w:pPr>
      <w:r>
        <w:rPr>
          <w:b/>
        </w:rPr>
        <w:t>Fármaco:</w:t>
      </w:r>
      <w:r>
        <w:t xml:space="preserve"> sustancia o producto medicinal mencionado.</w:t>
      </w:r>
    </w:p>
    <w:p>
      <w:pPr>
        <w:pStyle w:val="ListBullet"/>
        <w:spacing w:after="80" w:line="300" w:lineRule="auto"/>
      </w:pPr>
      <w:r>
        <w:t>Busque el término necesario, revise el concepto y el identificador, y elija el que representa lo dicho sin agregar gravedad, causa ni diagnóstico.</w:t>
      </w:r>
    </w:p>
    <w:p>
      <w:pPr>
        <w:pStyle w:val="Heading2"/>
      </w:pPr>
      <w:r>
        <w:t>8.5 Conservar el contexto</w:t>
      </w:r>
    </w:p>
    <w:p>
      <w:pPr>
        <w:spacing w:before="100" w:after="80"/>
      </w:pPr>
      <w:r>
        <w:rPr>
          <w:b/>
          <w:color w:val="5D6875"/>
          <w:sz w:val="18"/>
        </w:rPr>
        <w:t>Atributos que deben corresponder al texto.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450"/>
        <w:gridCol w:w="6910"/>
      </w:tblGrid>
      <w:tr>
        <w:trPr>
          <w:tblHeader w:val="true"/>
          <w:cantSplit w:val="true"/>
        </w:trPr>
        <w:tc>
          <w:tcPr>
            <w:tcW w:type="dxa" w:w="245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Dato</w:t>
            </w:r>
          </w:p>
        </w:tc>
        <w:tc>
          <w:tcPr>
            <w:tcW w:type="dxa" w:w="691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</w:tr>
      <w:tr>
        <w:trPr>
          <w:cantSplit w:val="true"/>
        </w:trPr>
        <w:tc>
          <w:tcPr>
            <w:tcW w:type="dxa" w:w="2450"/>
          </w:tcPr>
          <w:p>
            <w:pPr>
              <w:pStyle w:val="TableText"/>
            </w:pPr>
            <w:r>
              <w:t>Polaridad</w:t>
            </w:r>
          </w:p>
        </w:tc>
        <w:tc>
          <w:tcPr>
            <w:tcW w:type="dxa" w:w="6910"/>
          </w:tcPr>
          <w:p>
            <w:pPr>
              <w:pStyle w:val="TableText"/>
            </w:pPr>
            <w:r>
              <w:t>¿La nota afirma o niega la entidad?</w:t>
            </w:r>
          </w:p>
        </w:tc>
      </w:tr>
      <w:tr>
        <w:trPr>
          <w:cantSplit w:val="true"/>
        </w:trPr>
        <w:tc>
          <w:tcPr>
            <w:tcW w:type="dxa" w:w="2450"/>
            <w:shd w:fill="F7F8FA"/>
          </w:tcPr>
          <w:p>
            <w:pPr>
              <w:pStyle w:val="TableText"/>
            </w:pPr>
            <w:r>
              <w:t>Certeza</w:t>
            </w:r>
          </w:p>
        </w:tc>
        <w:tc>
          <w:tcPr>
            <w:tcW w:type="dxa" w:w="6910"/>
            <w:shd w:fill="F7F8FA"/>
          </w:tcPr>
          <w:p>
            <w:pPr>
              <w:pStyle w:val="TableText"/>
            </w:pPr>
            <w:r>
              <w:t>¿Está confirmada, sospechada o planteada como diferencial?</w:t>
            </w:r>
          </w:p>
        </w:tc>
      </w:tr>
      <w:tr>
        <w:trPr>
          <w:cantSplit w:val="true"/>
        </w:trPr>
        <w:tc>
          <w:tcPr>
            <w:tcW w:type="dxa" w:w="2450"/>
          </w:tcPr>
          <w:p>
            <w:pPr>
              <w:pStyle w:val="TableText"/>
            </w:pPr>
            <w:r>
              <w:t>Temporalidad</w:t>
            </w:r>
          </w:p>
        </w:tc>
        <w:tc>
          <w:tcPr>
            <w:tcW w:type="dxa" w:w="6910"/>
          </w:tcPr>
          <w:p>
            <w:pPr>
              <w:pStyle w:val="TableText"/>
            </w:pPr>
            <w:r>
              <w:t>¿Es actual o histórica?</w:t>
            </w:r>
          </w:p>
        </w:tc>
      </w:tr>
      <w:tr>
        <w:trPr>
          <w:cantSplit w:val="true"/>
        </w:trPr>
        <w:tc>
          <w:tcPr>
            <w:tcW w:type="dxa" w:w="2450"/>
            <w:shd w:fill="F7F8FA"/>
          </w:tcPr>
          <w:p>
            <w:pPr>
              <w:pStyle w:val="TableText"/>
            </w:pPr>
            <w:r>
              <w:t>Sujeto</w:t>
            </w:r>
          </w:p>
        </w:tc>
        <w:tc>
          <w:tcPr>
            <w:tcW w:type="dxa" w:w="6910"/>
            <w:shd w:fill="F7F8FA"/>
          </w:tcPr>
          <w:p>
            <w:pPr>
              <w:pStyle w:val="TableText"/>
            </w:pPr>
            <w:r>
              <w:t>¿Corresponde al paciente o a un familiar?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Aplicar únicamente las interpretaciones previstas. </w:t>
            </w:r>
            <w:r>
              <w:t xml:space="preserve">Use una interpretación derivada de un valor solo cuando el protocolo la haya definido. En este manual, </w:t>
            </w:r>
            <w:r>
              <w:rPr>
                <w:rFonts w:ascii="Consolas" w:hAnsi="Consolas"/>
                <w:color w:val="6941A5"/>
                <w:sz w:val="18"/>
              </w:rPr>
              <w:t>TA 150/90 mmHg</w:t>
            </w:r>
            <w:r>
              <w:t xml:space="preserve"> se interpreta como hipertensión arterial y se registra como hallazgo clínico. Fuera de una regla explícita, no agregue diagnósticos por conocimiento médico.</w:t>
            </w:r>
          </w:p>
        </w:tc>
      </w:tr>
    </w:tbl>
    <w:p>
      <w:pPr>
        <w:spacing w:after="20"/>
      </w:pPr>
    </w:p>
    <w:p>
      <w:pPr>
        <w:pStyle w:val="Heading1"/>
      </w:pPr>
      <w:r>
        <w:t>9. Ejemplos concretos</w:t>
      </w:r>
    </w:p>
    <w:p>
      <w:pPr>
        <w:pStyle w:val="Heading2"/>
      </w:pPr>
      <w:r>
        <w:t>9.1 TA 150/90 mmHg</w:t>
      </w:r>
    </w:p>
    <w:p>
      <w:pPr>
        <w:pStyle w:val="ListBullet"/>
        <w:spacing w:after="80" w:line="300" w:lineRule="auto"/>
      </w:pPr>
      <w:r>
        <w:rPr>
          <w:b/>
        </w:rPr>
        <w:t>Selección léxica:</w:t>
      </w:r>
      <w:r>
        <w:t xml:space="preserve"> </w:t>
      </w:r>
      <w:r>
        <w:rPr>
          <w:rFonts w:ascii="Consolas" w:hAnsi="Consolas"/>
          <w:color w:val="6941A5"/>
          <w:sz w:val="18"/>
        </w:rPr>
        <w:t>TA</w:t>
      </w:r>
      <w:r>
        <w:t>, sigla / inicialismo.</w:t>
      </w:r>
    </w:p>
    <w:p>
      <w:pPr>
        <w:pStyle w:val="ListBullet"/>
        <w:spacing w:after="80" w:line="300" w:lineRule="auto"/>
      </w:pPr>
      <w:r>
        <w:rPr>
          <w:b/>
        </w:rPr>
        <w:t>Decisión léxica:</w:t>
      </w:r>
      <w:r>
        <w:t xml:space="preserve"> Sentido resuelto como tensión arterial si el valor, la unidad y la sección lo confirman.</w:t>
      </w:r>
    </w:p>
    <w:p>
      <w:pPr>
        <w:pStyle w:val="ListBullet"/>
        <w:spacing w:after="80" w:line="300" w:lineRule="auto"/>
      </w:pPr>
      <w:r>
        <w:rPr>
          <w:b/>
        </w:rPr>
        <w:t>Pistas:</w:t>
      </w:r>
      <w:r>
        <w:t xml:space="preserve"> patrón de valor, unidad y contexto cardiovascular.</w:t>
      </w:r>
    </w:p>
    <w:p>
      <w:pPr>
        <w:pStyle w:val="ListBullet"/>
        <w:spacing w:after="80" w:line="300" w:lineRule="auto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TA 150/90 mmHg</w:t>
      </w:r>
      <w:r>
        <w:t>; no seleccione solo el número.</w:t>
      </w:r>
    </w:p>
    <w:p>
      <w:pPr>
        <w:pStyle w:val="ListBullet"/>
        <w:spacing w:after="80" w:line="300" w:lineRule="auto"/>
      </w:pPr>
      <w:r>
        <w:rPr>
          <w:b/>
        </w:rPr>
        <w:t>Capa clínica:</w:t>
      </w:r>
      <w:r>
        <w:t xml:space="preserve"> registre hipertensión arterial como hallazgo clínico, de acuerdo con el criterio de interpretación establecido por este protocolo.</w:t>
      </w:r>
    </w:p>
    <w:p>
      <w:pPr>
        <w:pStyle w:val="Heading2"/>
      </w:pPr>
      <w:r>
        <w:t>9.2 AP: ASMA</w:t>
      </w:r>
    </w:p>
    <w:p>
      <w:pPr>
        <w:pStyle w:val="ListBullet"/>
        <w:spacing w:after="80" w:line="300" w:lineRule="auto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AP</w:t>
      </w:r>
      <w:r>
        <w:t>, usada como encabezado.</w:t>
      </w:r>
    </w:p>
    <w:p>
      <w:pPr>
        <w:pStyle w:val="ListBullet"/>
        <w:spacing w:after="80" w:line="300" w:lineRule="auto"/>
      </w:pPr>
      <w:r>
        <w:rPr>
          <w:b/>
        </w:rPr>
        <w:t>Decisión léxica:</w:t>
      </w:r>
      <w:r>
        <w:t xml:space="preserve"> Uso no clínico/estructural si su función es organizar antecedentes personales.</w:t>
      </w:r>
    </w:p>
    <w:p>
      <w:pPr>
        <w:pStyle w:val="ListBullet"/>
        <w:spacing w:after="80" w:line="300" w:lineRule="auto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ASMA</w:t>
      </w:r>
      <w:r>
        <w:t xml:space="preserve"> se anota por separado como antecedente del paciente.</w:t>
      </w:r>
    </w:p>
    <w:p>
      <w:pPr>
        <w:pStyle w:val="Heading2"/>
      </w:pPr>
      <w:r>
        <w:t>9.3 SG 29</w:t>
      </w:r>
    </w:p>
    <w:p>
      <w:pPr>
        <w:pStyle w:val="ListBullet"/>
        <w:spacing w:after="80" w:line="300" w:lineRule="auto"/>
      </w:pPr>
      <w:r>
        <w:rPr>
          <w:b/>
        </w:rPr>
        <w:t>Situación:</w:t>
      </w:r>
      <w:r>
        <w:t xml:space="preserve"> la expresión aparece en una evolución obstétrica que describe una gestación en curso.</w:t>
      </w:r>
    </w:p>
    <w:p>
      <w:pPr>
        <w:pStyle w:val="ListBullet"/>
        <w:spacing w:after="80" w:line="300" w:lineRule="auto"/>
      </w:pPr>
      <w:r>
        <w:rPr>
          <w:b/>
        </w:rPr>
        <w:t>Forma breve:</w:t>
      </w:r>
      <w:r>
        <w:t xml:space="preserve"> </w:t>
      </w:r>
      <w:r>
        <w:rPr>
          <w:rFonts w:ascii="Consolas" w:hAnsi="Consolas"/>
          <w:color w:val="6941A5"/>
          <w:sz w:val="18"/>
        </w:rPr>
        <w:t>SG</w:t>
      </w:r>
      <w:r>
        <w:t xml:space="preserve"> es una sigla / inicialismo y </w:t>
      </w:r>
      <w:r>
        <w:rPr>
          <w:rFonts w:ascii="Consolas" w:hAnsi="Consolas"/>
          <w:color w:val="6941A5"/>
          <w:sz w:val="18"/>
        </w:rPr>
        <w:t>29</w:t>
      </w:r>
      <w:r>
        <w:t xml:space="preserve"> indica la cantidad de semanas.</w:t>
      </w:r>
    </w:p>
    <w:p>
      <w:pPr>
        <w:pStyle w:val="ListBullet"/>
        <w:spacing w:after="80" w:line="300" w:lineRule="auto"/>
      </w:pPr>
      <w:r>
        <w:rPr>
          <w:b/>
        </w:rPr>
        <w:t>Decisión léxica:</w:t>
      </w:r>
      <w:r>
        <w:t xml:space="preserve"> resuelva </w:t>
      </w:r>
      <w:r>
        <w:rPr>
          <w:rFonts w:ascii="Consolas" w:hAnsi="Consolas"/>
          <w:color w:val="6941A5"/>
          <w:sz w:val="18"/>
        </w:rPr>
        <w:t>SG</w:t>
      </w:r>
      <w:r>
        <w:t xml:space="preserve"> como semanas de gestación porque la sección obstétrica y el número respaldan esa lectura.</w:t>
      </w:r>
    </w:p>
    <w:p>
      <w:pPr>
        <w:pStyle w:val="ListBullet"/>
        <w:spacing w:after="80" w:line="300" w:lineRule="auto"/>
      </w:pPr>
      <w:r>
        <w:rPr>
          <w:b/>
        </w:rPr>
        <w:t>Selección clínica:</w:t>
      </w:r>
      <w:r>
        <w:t xml:space="preserve"> </w:t>
      </w:r>
      <w:r>
        <w:rPr>
          <w:rFonts w:ascii="Consolas" w:hAnsi="Consolas"/>
          <w:color w:val="6941A5"/>
          <w:sz w:val="18"/>
        </w:rPr>
        <w:t>SG 29</w:t>
      </w:r>
      <w:r>
        <w:t xml:space="preserve"> expresa una gestación de 29 semanas. Registre esa información si la categoría correspondiente está habilitada.</w:t>
      </w:r>
    </w:p>
    <w:p>
      <w:pPr>
        <w:pStyle w:val="ListBullet"/>
        <w:spacing w:after="80" w:line="300" w:lineRule="auto"/>
      </w:pPr>
      <w:r>
        <w:rPr>
          <w:b/>
        </w:rPr>
        <w:t>Si falta el contexto obstétrico:</w:t>
      </w:r>
      <w:r>
        <w:t xml:space="preserve"> no suponga este significado; conserve la ambigüedad o indique que no puede determinarlo.</w:t>
      </w:r>
    </w:p>
    <w:p>
      <w:pPr>
        <w:pStyle w:val="Heading2"/>
      </w:pPr>
      <w:r>
        <w:t>9.4 ACO suspendido</w:t>
      </w:r>
    </w:p>
    <w:p>
      <w:pPr>
        <w:pStyle w:val="ListBullet"/>
        <w:spacing w:after="80" w:line="300" w:lineRule="auto"/>
      </w:pPr>
      <w:r>
        <w:rPr>
          <w:b/>
        </w:rPr>
        <w:t>Con medicación claramente identificable:</w:t>
      </w:r>
      <w:r>
        <w:t xml:space="preserve"> puede resolverse el sentido léxico y anotarse el fármaco documentado.</w:t>
      </w:r>
    </w:p>
    <w:p>
      <w:pPr>
        <w:pStyle w:val="ListBullet"/>
        <w:spacing w:after="80" w:line="300" w:lineRule="auto"/>
      </w:pPr>
      <w:r>
        <w:rPr>
          <w:b/>
        </w:rPr>
        <w:t>Sin contexto suficiente:</w:t>
      </w:r>
      <w:r>
        <w:t xml:space="preserve"> seleccione Ambigua aun con contexto; la especialidad por sí sola no decide.</w:t>
      </w:r>
    </w:p>
    <w:p>
      <w:pPr>
        <w:pStyle w:val="Heading2"/>
      </w:pPr>
      <w:r>
        <w:t>9.5 Forma corrupta</w:t>
      </w:r>
    </w:p>
    <w:p>
      <w:r>
        <w:t xml:space="preserve">Si una cadena parece una abreviatura conocida pero contiene un error evidente, seleccione </w:t>
      </w:r>
      <w:r>
        <w:rPr>
          <w:b/>
        </w:rPr>
        <w:t>Forma errónea o corrupta</w:t>
      </w:r>
      <w:r>
        <w:t xml:space="preserve"> y escriba únicamente la corrección mínima. El texto original debe conservarse.</w:t>
      </w:r>
    </w:p>
    <w:p>
      <w:pPr>
        <w:pStyle w:val="Heading1"/>
      </w:pPr>
      <w:r>
        <w:t>10. Caso de práctica de alta densidad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Texto sintético. </w:t>
            </w:r>
            <w:r>
              <w:t>Este fragmento sirve para practicar el método. No es una plantilla de respuestas ni debe memorizarse.</w:t>
            </w:r>
          </w:p>
        </w:tc>
      </w:tr>
    </w:tbl>
    <w:p>
      <w:pPr>
        <w:spacing w:after="20"/>
      </w:pPr>
    </w:p>
    <w:p>
      <w:pPr>
        <w:pStyle w:val="CodeBlock"/>
        <w:keepLines/>
        <w:shd w:fill="EEF1F4"/>
      </w:pPr>
      <w:r>
        <w:t>29 GI P0 1C  FUM:  MAC ACO  AQ: CESAREA  AP: ASMA</w:t>
        <w:br/>
        <w:t>AO: ABO CA GSTRICO  // EX MAMARIO: NORMAL AXILAS NEG</w:t>
        <w:br/>
        <w:t>// TRAE ECOTV /(1/23): DLN  // PAP PENDIENTE</w:t>
      </w:r>
    </w:p>
    <w:p>
      <w:pPr>
        <w:pStyle w:val="Heading2"/>
      </w:pPr>
      <w:r>
        <w:t>10.1 Cómo abordarlo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Separe las apariciones</w:t>
      </w:r>
      <w:r>
        <w:t xml:space="preserve"> sin expandir todavía: </w:t>
      </w:r>
      <w:r>
        <w:rPr>
          <w:rFonts w:ascii="Consolas" w:hAnsi="Consolas"/>
          <w:color w:val="6941A5"/>
          <w:sz w:val="18"/>
        </w:rPr>
        <w:t>GI</w:t>
      </w:r>
      <w:r>
        <w:t xml:space="preserve">, </w:t>
      </w:r>
      <w:r>
        <w:rPr>
          <w:rFonts w:ascii="Consolas" w:hAnsi="Consolas"/>
          <w:color w:val="6941A5"/>
          <w:sz w:val="18"/>
        </w:rPr>
        <w:t>P0</w:t>
      </w:r>
      <w:r>
        <w:t xml:space="preserve">, </w:t>
      </w:r>
      <w:r>
        <w:rPr>
          <w:rFonts w:ascii="Consolas" w:hAnsi="Consolas"/>
          <w:color w:val="6941A5"/>
          <w:sz w:val="18"/>
        </w:rPr>
        <w:t>1C</w:t>
      </w:r>
      <w:r>
        <w:t xml:space="preserve">, </w:t>
      </w:r>
      <w:r>
        <w:rPr>
          <w:rFonts w:ascii="Consolas" w:hAnsi="Consolas"/>
          <w:color w:val="6941A5"/>
          <w:sz w:val="18"/>
        </w:rPr>
        <w:t>FUM</w:t>
      </w:r>
      <w:r>
        <w:t xml:space="preserve">, </w:t>
      </w:r>
      <w:r>
        <w:rPr>
          <w:rFonts w:ascii="Consolas" w:hAnsi="Consolas"/>
          <w:color w:val="6941A5"/>
          <w:sz w:val="18"/>
        </w:rPr>
        <w:t>MAC</w:t>
      </w:r>
      <w:r>
        <w:t xml:space="preserve">, </w:t>
      </w:r>
      <w:r>
        <w:rPr>
          <w:rFonts w:ascii="Consolas" w:hAnsi="Consolas"/>
          <w:color w:val="6941A5"/>
          <w:sz w:val="18"/>
        </w:rPr>
        <w:t>ACO</w:t>
      </w:r>
      <w:r>
        <w:t xml:space="preserve">, </w:t>
      </w:r>
      <w:r>
        <w:rPr>
          <w:rFonts w:ascii="Consolas" w:hAnsi="Consolas"/>
          <w:color w:val="6941A5"/>
          <w:sz w:val="18"/>
        </w:rPr>
        <w:t>AQ</w:t>
      </w:r>
      <w:r>
        <w:t xml:space="preserve">, </w:t>
      </w:r>
      <w:r>
        <w:rPr>
          <w:rFonts w:ascii="Consolas" w:hAnsi="Consolas"/>
          <w:color w:val="6941A5"/>
          <w:sz w:val="18"/>
        </w:rPr>
        <w:t>AP</w:t>
      </w:r>
      <w:r>
        <w:t xml:space="preserve">, </w:t>
      </w:r>
      <w:r>
        <w:rPr>
          <w:rFonts w:ascii="Consolas" w:hAnsi="Consolas"/>
          <w:color w:val="6941A5"/>
          <w:sz w:val="18"/>
        </w:rPr>
        <w:t>AO</w:t>
      </w:r>
      <w:r>
        <w:t xml:space="preserve">, </w:t>
      </w:r>
      <w:r>
        <w:rPr>
          <w:rFonts w:ascii="Consolas" w:hAnsi="Consolas"/>
          <w:color w:val="6941A5"/>
          <w:sz w:val="18"/>
        </w:rPr>
        <w:t>ABO</w:t>
      </w:r>
      <w:r>
        <w:t xml:space="preserve">, </w:t>
      </w:r>
      <w:r>
        <w:rPr>
          <w:rFonts w:ascii="Consolas" w:hAnsi="Consolas"/>
          <w:color w:val="6941A5"/>
          <w:sz w:val="18"/>
        </w:rPr>
        <w:t>CA</w:t>
      </w:r>
      <w:r>
        <w:t xml:space="preserve">, </w:t>
      </w:r>
      <w:r>
        <w:rPr>
          <w:rFonts w:ascii="Consolas" w:hAnsi="Consolas"/>
          <w:color w:val="6941A5"/>
          <w:sz w:val="18"/>
        </w:rPr>
        <w:t>EX</w:t>
      </w:r>
      <w:r>
        <w:t xml:space="preserve">, </w:t>
      </w:r>
      <w:r>
        <w:rPr>
          <w:rFonts w:ascii="Consolas" w:hAnsi="Consolas"/>
          <w:color w:val="6941A5"/>
          <w:sz w:val="18"/>
        </w:rPr>
        <w:t>NEG</w:t>
      </w:r>
      <w:r>
        <w:t xml:space="preserve">, </w:t>
      </w:r>
      <w:r>
        <w:rPr>
          <w:rFonts w:ascii="Consolas" w:hAnsi="Consolas"/>
          <w:color w:val="6941A5"/>
          <w:sz w:val="18"/>
        </w:rPr>
        <w:t>ECOTV</w:t>
      </w:r>
      <w:r>
        <w:t xml:space="preserve">, </w:t>
      </w:r>
      <w:r>
        <w:rPr>
          <w:rFonts w:ascii="Consolas" w:hAnsi="Consolas"/>
          <w:color w:val="6941A5"/>
          <w:sz w:val="18"/>
        </w:rPr>
        <w:t>DLN</w:t>
      </w:r>
      <w:r>
        <w:t xml:space="preserve"> y </w:t>
      </w:r>
      <w:r>
        <w:rPr>
          <w:rFonts w:ascii="Consolas" w:hAnsi="Consolas"/>
          <w:color w:val="6941A5"/>
          <w:sz w:val="18"/>
        </w:rPr>
        <w:t>PAP</w:t>
      </w:r>
      <w:r>
        <w:t>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Identifique la función:</w:t>
      </w:r>
      <w:r>
        <w:t xml:space="preserve"> encabezado, entidad, valor, resultado, modificador o marca estructural.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Ubique cada forma en su sección local.</w:t>
      </w:r>
      <w:r>
        <w:t xml:space="preserve"> No aplique un diccionario gineco-obstétrico a toda la nota.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Use las pistas cercanas:</w:t>
      </w:r>
      <w:r>
        <w:t xml:space="preserve"> dos puntos, números, palabras vecinas, negación, estructura y posición.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Resuelva solo lo suficientemente respaldado.</w:t>
      </w:r>
      <w:r>
        <w:t xml:space="preserve"> Mantenga el resto como ambiguo o desconocido.</w:t>
      </w:r>
    </w:p>
    <w:p>
      <w:pPr>
        <w:pStyle w:val="ListNumber"/>
        <w:numPr>
          <w:ilvl w:val="0"/>
          <w:numId w:val="13"/>
        </w:numPr>
        <w:spacing w:after="80" w:line="300" w:lineRule="auto"/>
      </w:pPr>
      <w:r>
        <w:rPr>
          <w:b/>
        </w:rPr>
        <w:t>Evalúe después la capa clínica.</w:t>
      </w:r>
      <w:r>
        <w:t xml:space="preserve"> Los encabezados no son conceptos; las palabras completas y las expresiones clínicas se revisan por separado.</w:t>
      </w:r>
    </w:p>
    <w:p>
      <w:pPr>
        <w:pStyle w:val="Heading2"/>
      </w:pPr>
      <w:r>
        <w:t>10.2 Ejemplos de decisiones defendibles</w:t>
      </w:r>
    </w:p>
    <w:p>
      <w:pPr>
        <w:spacing w:before="100" w:after="80"/>
      </w:pPr>
      <w:r>
        <w:rPr>
          <w:b/>
          <w:color w:val="5D6875"/>
          <w:sz w:val="18"/>
        </w:rPr>
        <w:t>Lectura prudente del caso: enseña qué anclar y dónde abstenerse; no es una clave automática de expansiones.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1850"/>
        <w:gridCol w:w="4100"/>
        <w:gridCol w:w="3410"/>
      </w:tblGrid>
      <w:tr>
        <w:trPr>
          <w:tblHeader w:val="true"/>
          <w:cantSplit w:val="true"/>
        </w:trPr>
        <w:tc>
          <w:tcPr>
            <w:tcW w:type="dxa" w:w="185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Fragmento</w:t>
            </w:r>
          </w:p>
        </w:tc>
        <w:tc>
          <w:tcPr>
            <w:tcW w:type="dxa" w:w="41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conviene registrar</w:t>
            </w:r>
          </w:p>
        </w:tc>
        <w:tc>
          <w:tcPr>
            <w:tcW w:type="dxa" w:w="341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no debe suponerse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29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Consérvelo como dato contextual. Trátelo como edad solo si la posición o la plantilla lo establece de manera inequívoca.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>No agregue la palabra «años» al texto ni cree un hallazgo solo por el número aislado.</w:t>
            </w:r>
          </w:p>
        </w:tc>
      </w:tr>
      <w:tr>
        <w:trPr>
          <w:cantSplit w:val="true"/>
        </w:trPr>
        <w:tc>
          <w:tcPr>
            <w:tcW w:type="dxa" w:w="1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GI P0 1C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 xml:space="preserve">Revise tres apariciones por separado. </w:t>
            </w:r>
            <w:r>
              <w:rPr>
                <w:rFonts w:ascii="Consolas" w:hAnsi="Consolas"/>
                <w:color w:val="6941A5"/>
                <w:sz w:val="18"/>
              </w:rPr>
              <w:t>P0</w:t>
            </w:r>
            <w:r>
              <w:t xml:space="preserve"> y </w:t>
            </w:r>
            <w:r>
              <w:rPr>
                <w:rFonts w:ascii="Consolas" w:hAnsi="Consolas"/>
                <w:color w:val="6941A5"/>
                <w:sz w:val="18"/>
              </w:rPr>
              <w:t>1C</w:t>
            </w:r>
            <w:r>
              <w:t xml:space="preserve"> pueden funcionar como valores de una historia obstétrica si la convención local lo confirma.</w:t>
            </w:r>
          </w:p>
        </w:tc>
        <w:tc>
          <w:tcPr>
            <w:tcW w:type="dxa" w:w="3410"/>
            <w:shd w:fill="F7F8FA"/>
          </w:tcPr>
          <w:p>
            <w:pPr>
              <w:pStyle w:val="TableText"/>
            </w:pPr>
            <w:r>
              <w:t xml:space="preserve">No cambie silenciosamente </w:t>
            </w:r>
            <w:r>
              <w:rPr>
                <w:rFonts w:ascii="Consolas" w:hAnsi="Consolas"/>
                <w:color w:val="6941A5"/>
                <w:sz w:val="18"/>
              </w:rPr>
              <w:t>GI</w:t>
            </w:r>
            <w:r>
              <w:t xml:space="preserve"> por </w:t>
            </w:r>
            <w:r>
              <w:rPr>
                <w:rFonts w:ascii="Consolas" w:hAnsi="Consolas"/>
                <w:color w:val="6941A5"/>
                <w:sz w:val="18"/>
              </w:rPr>
              <w:t>G1</w:t>
            </w:r>
            <w:r>
              <w:t>. Si se comprueba una confusión entre letra y número, use Forma errónea o corrupta. La combinación requiere confirmar la convención de la plantilla.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FUM: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Puede resolverse léxicamente como encabezado si la plantilla confirma su uso.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>Después de los dos puntos no hay un valor interpretable; no invente una fecha de última menstruación.</w:t>
            </w:r>
          </w:p>
        </w:tc>
      </w:tr>
      <w:tr>
        <w:trPr>
          <w:cantSplit w:val="true"/>
        </w:trPr>
        <w:tc>
          <w:tcPr>
            <w:tcW w:type="dxa" w:w="1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MAC ACO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 xml:space="preserve">El patrón local puede respaldar método anticonceptivo y anticonceptivos orales. Registre las dos formas por aparición y anote </w:t>
            </w:r>
            <w:r>
              <w:rPr>
                <w:rFonts w:ascii="Consolas" w:hAnsi="Consolas"/>
                <w:color w:val="6941A5"/>
                <w:sz w:val="18"/>
              </w:rPr>
              <w:t>ACO</w:t>
            </w:r>
            <w:r>
              <w:t xml:space="preserve"> clínicamente si el esquema lo incluye.</w:t>
            </w:r>
          </w:p>
        </w:tc>
        <w:tc>
          <w:tcPr>
            <w:tcW w:type="dxa" w:w="3410"/>
            <w:shd w:fill="F7F8FA"/>
          </w:tcPr>
          <w:p>
            <w:pPr>
              <w:pStyle w:val="TableText"/>
            </w:pPr>
            <w:r>
              <w:t>No elija esa expansión solo porque la nota es gineco-obstétrica; confirme el campo o mantenga la ambigüedad.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AQ: CESAREA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AQ:</w:t>
            </w:r>
            <w:r>
              <w:t xml:space="preserve"> puede funcionar como encabezado. </w:t>
            </w:r>
            <w:r>
              <w:rPr>
                <w:rFonts w:ascii="Consolas" w:hAnsi="Consolas"/>
                <w:color w:val="6941A5"/>
                <w:sz w:val="18"/>
              </w:rPr>
              <w:t>CESAREA</w:t>
            </w:r>
            <w:r>
              <w:t xml:space="preserve"> es una mención clínica explícita y se selecciona como procedimiento histórico.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 xml:space="preserve">No incluya el encabezado dentro del span de </w:t>
            </w:r>
            <w:r>
              <w:rPr>
                <w:rFonts w:ascii="Consolas" w:hAnsi="Consolas"/>
                <w:color w:val="6941A5"/>
                <w:sz w:val="18"/>
              </w:rPr>
              <w:t>CESAREA</w:t>
            </w:r>
            <w:r>
              <w:t xml:space="preserve"> ni agregue fecha o indicación.</w:t>
            </w:r>
          </w:p>
        </w:tc>
      </w:tr>
      <w:tr>
        <w:trPr>
          <w:cantSplit w:val="true"/>
        </w:trPr>
        <w:tc>
          <w:tcPr>
            <w:tcW w:type="dxa" w:w="1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AP: ASMA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AP:</w:t>
            </w:r>
            <w:r>
              <w:t xml:space="preserve"> se revisa como encabezado. </w:t>
            </w:r>
            <w:r>
              <w:rPr>
                <w:rFonts w:ascii="Consolas" w:hAnsi="Consolas"/>
                <w:color w:val="6941A5"/>
                <w:sz w:val="18"/>
              </w:rPr>
              <w:t>ASMA</w:t>
            </w:r>
            <w:r>
              <w:t xml:space="preserve"> es una mención clínica explícita del antecedente personal.</w:t>
            </w:r>
          </w:p>
        </w:tc>
        <w:tc>
          <w:tcPr>
            <w:tcW w:type="dxa" w:w="3410"/>
            <w:shd w:fill="F7F8FA"/>
          </w:tcPr>
          <w:p>
            <w:pPr>
              <w:pStyle w:val="TableText"/>
            </w:pPr>
            <w:r>
              <w:t>No la convierta en asma activa si la nota no documenta actividad actual.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AO: ABO CA GSTRICO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CA GSTRICO</w:t>
            </w:r>
            <w:r>
              <w:t xml:space="preserve"> puede seleccionarse como mención de cáncer gástrico. Revise </w:t>
            </w:r>
            <w:r>
              <w:rPr>
                <w:rFonts w:ascii="Consolas" w:hAnsi="Consolas"/>
                <w:color w:val="6941A5"/>
                <w:sz w:val="18"/>
              </w:rPr>
              <w:t>AO</w:t>
            </w:r>
            <w:r>
              <w:t xml:space="preserve"> y </w:t>
            </w:r>
            <w:r>
              <w:rPr>
                <w:rFonts w:ascii="Consolas" w:hAnsi="Consolas"/>
                <w:color w:val="6941A5"/>
                <w:sz w:val="18"/>
              </w:rPr>
              <w:t>ABO</w:t>
            </w:r>
            <w:r>
              <w:t xml:space="preserve"> como formas breves.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>No asigne automáticamente el antecedente a un abuelo o a otro familiar sin confirmar la convención local; conserve el sujeto como incierto si la nota no alcanza.</w:t>
            </w:r>
          </w:p>
        </w:tc>
      </w:tr>
      <w:tr>
        <w:trPr>
          <w:cantSplit w:val="true"/>
        </w:trPr>
        <w:tc>
          <w:tcPr>
            <w:tcW w:type="dxa" w:w="1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EX MAMARIO: NORMAL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 xml:space="preserve">Si el esquema conserva la evaluación completa, seleccione </w:t>
            </w:r>
            <w:r>
              <w:rPr>
                <w:rFonts w:ascii="Consolas" w:hAnsi="Consolas"/>
                <w:color w:val="6941A5"/>
                <w:sz w:val="18"/>
              </w:rPr>
              <w:t>EX MAMARIO: NORMAL</w:t>
            </w:r>
            <w:r>
              <w:t xml:space="preserve"> como una mención clínica con resultado normal.</w:t>
            </w:r>
          </w:p>
        </w:tc>
        <w:tc>
          <w:tcPr>
            <w:tcW w:type="dxa" w:w="3410"/>
            <w:shd w:fill="F7F8FA"/>
          </w:tcPr>
          <w:p>
            <w:pPr>
              <w:pStyle w:val="TableText"/>
            </w:pPr>
            <w:r>
              <w:t xml:space="preserve">No seleccione </w:t>
            </w:r>
            <w:r>
              <w:rPr>
                <w:rFonts w:ascii="Consolas" w:hAnsi="Consolas"/>
                <w:color w:val="6941A5"/>
                <w:sz w:val="18"/>
              </w:rPr>
              <w:t>NORMAL</w:t>
            </w:r>
            <w:r>
              <w:t xml:space="preserve"> solo: fuera de la expresión no indica qué fue evaluado.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AXILAS NEG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Seleccione la expresión completa como resultado negativo si es elegible.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 xml:space="preserve">No convierta automáticamente </w:t>
            </w:r>
            <w:r>
              <w:rPr>
                <w:rFonts w:ascii="Consolas" w:hAnsi="Consolas"/>
                <w:color w:val="6941A5"/>
                <w:sz w:val="18"/>
              </w:rPr>
              <w:t>NEG</w:t>
            </w:r>
            <w:r>
              <w:t xml:space="preserve"> en ausencia de adenopatías si esa equivalencia no está prevista por el protocolo.</w:t>
            </w:r>
          </w:p>
        </w:tc>
      </w:tr>
      <w:tr>
        <w:trPr>
          <w:cantSplit w:val="true"/>
        </w:trPr>
        <w:tc>
          <w:tcPr>
            <w:tcW w:type="dxa" w:w="1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TRAE ECOTV /(1/23): DLN</w:t>
            </w:r>
          </w:p>
        </w:tc>
        <w:tc>
          <w:tcPr>
            <w:tcW w:type="dxa" w:w="4100"/>
            <w:shd w:fill="F7F8FA"/>
          </w:tcPr>
          <w:p>
            <w:pPr>
              <w:pStyle w:val="TableText"/>
            </w:pPr>
            <w:r>
              <w:t xml:space="preserve">Revise </w:t>
            </w:r>
            <w:r>
              <w:rPr>
                <w:rFonts w:ascii="Consolas" w:hAnsi="Consolas"/>
                <w:color w:val="6941A5"/>
                <w:sz w:val="18"/>
              </w:rPr>
              <w:t>ECOTV</w:t>
            </w:r>
            <w:r>
              <w:t xml:space="preserve"> como procedimiento y </w:t>
            </w:r>
            <w:r>
              <w:rPr>
                <w:rFonts w:ascii="Consolas" w:hAnsi="Consolas"/>
                <w:color w:val="6941A5"/>
                <w:sz w:val="18"/>
              </w:rPr>
              <w:t>DLN</w:t>
            </w:r>
            <w:r>
              <w:t xml:space="preserve"> como resultado, cada uno con su propio span si ambos son elegibles y el sentido se confirma.</w:t>
            </w:r>
          </w:p>
        </w:tc>
        <w:tc>
          <w:tcPr>
            <w:tcW w:type="dxa" w:w="3410"/>
            <w:shd w:fill="F7F8FA"/>
          </w:tcPr>
          <w:p>
            <w:pPr>
              <w:pStyle w:val="TableText"/>
            </w:pPr>
            <w:r>
              <w:t xml:space="preserve">Conserve </w:t>
            </w:r>
            <w:r>
              <w:rPr>
                <w:rFonts w:ascii="Consolas" w:hAnsi="Consolas"/>
                <w:color w:val="6941A5"/>
                <w:sz w:val="18"/>
              </w:rPr>
              <w:t>1/23</w:t>
            </w:r>
            <w:r>
              <w:t xml:space="preserve"> tal como aparece; no lo convierta automáticamente en enero de 2023. No expanda </w:t>
            </w:r>
            <w:r>
              <w:rPr>
                <w:rFonts w:ascii="Consolas" w:hAnsi="Consolas"/>
                <w:color w:val="6941A5"/>
                <w:sz w:val="18"/>
              </w:rPr>
              <w:t>DLN</w:t>
            </w:r>
            <w:r>
              <w:t xml:space="preserve"> sin apoyo contextual o convencional.</w:t>
            </w:r>
          </w:p>
        </w:tc>
      </w:tr>
      <w:tr>
        <w:trPr>
          <w:cantSplit w:val="true"/>
        </w:trPr>
        <w:tc>
          <w:tcPr>
            <w:tcW w:type="dxa" w:w="1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PAP PENDIENTE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t>Sí conviene incluirlo: seleccione la expresión completa para conservar la prueba y su estado pendiente. Normalice la prueba; el estado no es un resultado.</w:t>
            </w:r>
          </w:p>
        </w:tc>
        <w:tc>
          <w:tcPr>
            <w:tcW w:type="dxa" w:w="3410"/>
          </w:tcPr>
          <w:p>
            <w:pPr>
              <w:pStyle w:val="TableText"/>
            </w:pPr>
            <w:r>
              <w:t xml:space="preserve">No confunda </w:t>
            </w:r>
            <w:r>
              <w:rPr>
                <w:rFonts w:ascii="Consolas" w:hAnsi="Consolas"/>
                <w:color w:val="6941A5"/>
                <w:sz w:val="18"/>
              </w:rPr>
              <w:t>PENDIENTE</w:t>
            </w:r>
            <w:r>
              <w:t xml:space="preserve"> escrito en la nota con la opción Pendiente de la interfaz, que significa que el anotador aún no decidió.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Cuándo es adecuada una expansión manual. </w:t>
            </w:r>
            <w:r>
              <w:t>Es adecuada si queda vinculada a la aparición exacta, conserva el texto original, se apoya en pistas registradas y permite abstenerse. No es adecuada como reemplazo global de una sigla.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9B5C00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FF4D6"/>
          </w:tcPr>
          <w:p>
            <w:pPr>
              <w:pStyle w:val="TableText"/>
              <w:keepLines/>
            </w:pPr>
            <w:r>
              <w:rPr>
                <w:b/>
                <w:color w:val="9B5C00"/>
              </w:rPr>
              <w:t xml:space="preserve">Resultado clínico resumido del ejercicio. </w:t>
            </w:r>
            <w:r>
              <w:t xml:space="preserve">Las menciones más claramente anclables son </w:t>
            </w:r>
            <w:r>
              <w:rPr>
                <w:rFonts w:ascii="Consolas" w:hAnsi="Consolas"/>
                <w:color w:val="6941A5"/>
                <w:sz w:val="18"/>
              </w:rPr>
              <w:t>CESAREA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ASMA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CA GSTRICO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EX MAMARIO: NORMAL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AXILAS NEG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ECOTV</w:t>
            </w:r>
            <w:r>
              <w:t xml:space="preserve">, </w:t>
            </w:r>
            <w:r>
              <w:rPr>
                <w:rFonts w:ascii="Consolas" w:hAnsi="Consolas"/>
                <w:color w:val="6941A5"/>
                <w:sz w:val="18"/>
              </w:rPr>
              <w:t>DLN</w:t>
            </w:r>
            <w:r>
              <w:t xml:space="preserve"> si su sentido se confirma, y </w:t>
            </w:r>
            <w:r>
              <w:rPr>
                <w:rFonts w:ascii="Consolas" w:hAnsi="Consolas"/>
                <w:color w:val="6941A5"/>
                <w:sz w:val="18"/>
              </w:rPr>
              <w:t>PAP PENDIENTE</w:t>
            </w:r>
            <w:r>
              <w:t>. La interpretación de la edad, la historia obstétrica, el parentesco y varias expansiones depende de la plantilla local. La respuesta correcta es conservar esa diferencia de certeza, no completar una narración clínica fluida a costa de agregar información.</w:t>
            </w:r>
          </w:p>
        </w:tc>
      </w:tr>
    </w:tbl>
    <w:p>
      <w:pPr>
        <w:spacing w:after="20"/>
      </w:pPr>
    </w:p>
    <w:p>
      <w:pPr>
        <w:pStyle w:val="Heading1"/>
      </w:pPr>
      <w:r>
        <w:t>11. Cierre, exportación y problemas frecuentes</w:t>
      </w:r>
    </w:p>
    <w:p>
      <w:pPr>
        <w:pStyle w:val="Heading2"/>
      </w:pPr>
      <w:r>
        <w:t>11.1 Antes de cerrar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No quedan candidatos clínicos sin aceptar, corregir o descartar.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No faltan menciones clínicas conocidas.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Cada concepto clínico está unido a una selección textual exacta; no hay conceptos SNOMED CT sin anclaje.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Las apariciones repetidas tienen una selección independiente cada vez que aparecen.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Los límites conservan el menor tramo completo y no se ajustaron solo para hacer coincidir un código.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Todas las formas breves tienen una decisión contextual.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No faltan formas breves detectadas durante la lectura.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Los sentidos resueltos y los campos condicionales están completos.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Las menciones de doble capa conservan ambas anotaciones cuando corresponde.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No se crearon diagnósticos ni categorías que no estén expresados en la nota o previstos por una regla explícita del protocolo.</w:t>
      </w:r>
    </w:p>
    <w:p>
      <w:pPr>
        <w:spacing w:after="80" w:line="300" w:lineRule="auto"/>
        <w:ind w:left="540" w:hanging="271"/>
      </w:pPr>
      <w:r>
        <w:rPr>
          <w:b/>
          <w:color w:val="6941A5"/>
        </w:rPr>
        <w:t xml:space="preserve">☐ </w:t>
      </w:r>
      <w:r>
        <w:t>Los comentarios no contienen identificadores ni texto clínico innecesario.</w:t>
      </w:r>
    </w:p>
    <w:p>
      <w:pPr>
        <w:pStyle w:val="Heading2"/>
      </w:pPr>
      <w:r>
        <w:t>11.2 Resultado final</w:t>
      </w:r>
    </w:p>
    <w:p>
      <w:pPr>
        <w:pStyle w:val="ListBullet"/>
        <w:spacing w:after="80" w:line="300" w:lineRule="auto"/>
      </w:pPr>
      <w:r>
        <w:rPr>
          <w:b/>
        </w:rPr>
        <w:t>Revisada con conceptos:</w:t>
      </w:r>
      <w:r>
        <w:t xml:space="preserve"> existe al menos un concepto clínico válido y normalizado.</w:t>
      </w:r>
    </w:p>
    <w:p>
      <w:pPr>
        <w:pStyle w:val="ListBullet"/>
        <w:spacing w:after="80" w:line="300" w:lineRule="auto"/>
      </w:pPr>
      <w:r>
        <w:rPr>
          <w:b/>
        </w:rPr>
        <w:t>Sin conceptos anotables:</w:t>
      </w:r>
      <w:r>
        <w:t xml:space="preserve"> la revisión completa concluye que no hay conceptos elegibles.</w:t>
      </w:r>
    </w:p>
    <w:p>
      <w:pPr>
        <w:pStyle w:val="Heading2"/>
      </w:pPr>
      <w:r>
        <w:t>11.3 Exportación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Confirme su identificador de anotador.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Descargue el JSON cuando quiera guardar un punto de avance; puede hacerlo varias veces durante la tarea.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Para continuar, vuelva a cargar en la aplicación la copia más reciente del JSON.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Compruebe que el archivo tenga fecha, tamaño mayor que cero y las notas esperadas.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Conserve una copia de respaldo hasta que se confirme la recepción.</w:t>
      </w:r>
    </w:p>
    <w:p>
      <w:pPr>
        <w:pStyle w:val="ListNumber"/>
        <w:numPr>
          <w:ilvl w:val="0"/>
          <w:numId w:val="14"/>
        </w:numPr>
        <w:spacing w:after="80" w:line="300" w:lineRule="auto"/>
      </w:pPr>
      <w:r>
        <w:t>Entregue el archivo únicamente por el canal seguro definido.</w:t>
      </w:r>
    </w:p>
    <w:p>
      <w:pPr>
        <w:pStyle w:val="Heading2"/>
      </w:pPr>
      <w:r>
        <w:t>11.4 Si algo no funciona</w:t>
      </w:r>
    </w:p>
    <w:p>
      <w:pPr>
        <w:spacing w:before="100" w:after="80"/>
      </w:pPr>
      <w:r>
        <w:rPr>
          <w:b/>
          <w:color w:val="5D6875"/>
          <w:sz w:val="18"/>
        </w:rPr>
        <w:t>Resolución rápida de problemas.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3500"/>
        <w:gridCol w:w="5860"/>
      </w:tblGrid>
      <w:tr>
        <w:trPr>
          <w:tblHeader w:val="true"/>
          <w:cantSplit w:val="true"/>
        </w:trPr>
        <w:tc>
          <w:tcPr>
            <w:tcW w:type="dxa" w:w="35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Problema</w:t>
            </w:r>
          </w:p>
        </w:tc>
        <w:tc>
          <w:tcPr>
            <w:tcW w:type="dxa" w:w="58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hacer</w:t>
            </w:r>
          </w:p>
        </w:tc>
      </w:tr>
      <w:tr>
        <w:trPr>
          <w:cantSplit w:val="true"/>
        </w:trPr>
        <w:tc>
          <w:tcPr>
            <w:tcW w:type="dxa" w:w="3500"/>
          </w:tcPr>
          <w:p>
            <w:pPr>
              <w:pStyle w:val="TableText"/>
            </w:pPr>
            <w:r>
              <w:t>No puedo completar la revisión léxica.</w:t>
            </w:r>
          </w:p>
        </w:tc>
        <w:tc>
          <w:tcPr>
            <w:tcW w:type="dxa" w:w="5860"/>
          </w:tcPr>
          <w:p>
            <w:pPr>
              <w:pStyle w:val="TableText"/>
            </w:pPr>
            <w:r>
              <w:t>Busque decisiones Pendiente o campos condicionales vacíos.</w:t>
            </w:r>
          </w:p>
        </w:tc>
      </w:tr>
      <w:tr>
        <w:trPr>
          <w:cantSplit w:val="true"/>
        </w:trPr>
        <w:tc>
          <w:tcPr>
            <w:tcW w:type="dxa" w:w="3500"/>
            <w:shd w:fill="F7F8FA"/>
          </w:tcPr>
          <w:p>
            <w:pPr>
              <w:pStyle w:val="TableText"/>
            </w:pPr>
            <w:r>
              <w:t>La misma forma parece duplicada.</w:t>
            </w:r>
          </w:p>
        </w:tc>
        <w:tc>
          <w:tcPr>
            <w:tcW w:type="dxa" w:w="5860"/>
            <w:shd w:fill="F7F8FA"/>
          </w:tcPr>
          <w:p>
            <w:pPr>
              <w:pStyle w:val="TableText"/>
            </w:pPr>
            <w:r>
              <w:t>Localice la tarjeta existente y edite esa aparición.</w:t>
            </w:r>
          </w:p>
        </w:tc>
      </w:tr>
      <w:tr>
        <w:trPr>
          <w:cantSplit w:val="true"/>
        </w:trPr>
        <w:tc>
          <w:tcPr>
            <w:tcW w:type="dxa" w:w="3500"/>
          </w:tcPr>
          <w:p>
            <w:pPr>
              <w:pStyle w:val="TableText"/>
            </w:pPr>
            <w:r>
              <w:t>No encuentro un concepto SNOMED.</w:t>
            </w:r>
          </w:p>
        </w:tc>
        <w:tc>
          <w:tcPr>
            <w:tcW w:type="dxa" w:w="5860"/>
          </w:tcPr>
          <w:p>
            <w:pPr>
              <w:pStyle w:val="TableText"/>
            </w:pPr>
            <w:r>
              <w:t>Simplifique la búsqueda y confirme la edición; no fuerce un concepto aproximado.</w:t>
            </w:r>
          </w:p>
        </w:tc>
      </w:tr>
      <w:tr>
        <w:trPr>
          <w:cantSplit w:val="true"/>
        </w:trPr>
        <w:tc>
          <w:tcPr>
            <w:tcW w:type="dxa" w:w="3500"/>
            <w:shd w:fill="F7F8FA"/>
          </w:tcPr>
          <w:p>
            <w:pPr>
              <w:pStyle w:val="TableText"/>
            </w:pPr>
            <w:r>
              <w:t>El significado clínico no entra en las categorías.</w:t>
            </w:r>
          </w:p>
        </w:tc>
        <w:tc>
          <w:tcPr>
            <w:tcW w:type="dxa" w:w="5860"/>
            <w:shd w:fill="F7F8FA"/>
          </w:tcPr>
          <w:p>
            <w:pPr>
              <w:pStyle w:val="TableText"/>
            </w:pPr>
            <w:r>
              <w:t>Regístrelo en Comentario y escale si el patrón se repite.</w:t>
            </w:r>
          </w:p>
        </w:tc>
      </w:tr>
      <w:tr>
        <w:trPr>
          <w:cantSplit w:val="true"/>
        </w:trPr>
        <w:tc>
          <w:tcPr>
            <w:tcW w:type="dxa" w:w="3500"/>
          </w:tcPr>
          <w:p>
            <w:pPr>
              <w:pStyle w:val="TableText"/>
            </w:pPr>
            <w:r>
              <w:t>La sesión se cerró.</w:t>
            </w:r>
          </w:p>
        </w:tc>
        <w:tc>
          <w:tcPr>
            <w:tcW w:type="dxa" w:w="5860"/>
          </w:tcPr>
          <w:p>
            <w:pPr>
              <w:pStyle w:val="TableText"/>
            </w:pPr>
            <w:r>
              <w:t>Cargue la última exportación disponible y verifique el progreso restaurado.</w:t>
            </w:r>
          </w:p>
        </w:tc>
      </w:tr>
      <w:tr>
        <w:trPr>
          <w:cantSplit w:val="true"/>
        </w:trPr>
        <w:tc>
          <w:tcPr>
            <w:tcW w:type="dxa" w:w="3500"/>
            <w:shd w:fill="F7F8FA"/>
          </w:tcPr>
          <w:p>
            <w:pPr>
              <w:pStyle w:val="TableText"/>
            </w:pPr>
            <w:r>
              <w:t>El archivo no abre o no exporta.</w:t>
            </w:r>
          </w:p>
        </w:tc>
        <w:tc>
          <w:tcPr>
            <w:tcW w:type="dxa" w:w="5860"/>
            <w:shd w:fill="F7F8FA"/>
          </w:tcPr>
          <w:p>
            <w:pPr>
              <w:pStyle w:val="TableText"/>
            </w:pPr>
            <w:r>
              <w:t>No edite el JSON. Conserve el mensaje de error y comuníquelo al responsable.</w:t>
            </w:r>
          </w:p>
        </w:tc>
      </w:tr>
    </w:tbl>
    <w:p>
      <w:pPr>
        <w:spacing w:after="20"/>
      </w:pPr>
    </w:p>
    <w:p>
      <w:pPr>
        <w:pStyle w:val="Heading1"/>
      </w:pPr>
      <w:r>
        <w:t>12. Guía rápida durante la anotación</w:t>
      </w:r>
    </w:p>
    <w:p>
      <w:pPr>
        <w:spacing w:before="100" w:after="80"/>
      </w:pPr>
      <w:r>
        <w:rPr>
          <w:b/>
          <w:color w:val="5D6875"/>
          <w:sz w:val="18"/>
        </w:rPr>
        <w:t>Secuencia abreviada para mantener abierta durante la tarea.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1500"/>
        <w:gridCol w:w="4480"/>
        <w:gridCol w:w="3380"/>
      </w:tblGrid>
      <w:tr>
        <w:trPr>
          <w:tblHeader w:val="true"/>
          <w:cantSplit w:val="true"/>
        </w:trPr>
        <w:tc>
          <w:tcPr>
            <w:tcW w:type="dxa" w:w="15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Paso</w:t>
            </w:r>
          </w:p>
        </w:tc>
        <w:tc>
          <w:tcPr>
            <w:tcW w:type="dxa" w:w="448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Pregunta de control</w:t>
            </w:r>
          </w:p>
        </w:tc>
        <w:tc>
          <w:tcPr>
            <w:tcW w:type="dxa" w:w="338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</w:pPr>
            <w:r>
              <w:t>1. Leer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t>¿Comprendí la sección y el contexto general?</w:t>
            </w:r>
          </w:p>
        </w:tc>
        <w:tc>
          <w:tcPr>
            <w:tcW w:type="dxa" w:w="3380"/>
          </w:tcPr>
          <w:p>
            <w:pPr>
              <w:pStyle w:val="TableText"/>
            </w:pPr>
            <w:r>
              <w:t>Mapa preliminar de la nota.</w:t>
            </w:r>
          </w:p>
        </w:tc>
      </w:tr>
      <w:tr>
        <w:trPr>
          <w:cantSplit w:val="true"/>
        </w:trPr>
        <w:tc>
          <w:tcPr>
            <w:tcW w:type="dxa" w:w="1500"/>
            <w:shd w:fill="F7F8FA"/>
          </w:tcPr>
          <w:p>
            <w:pPr>
              <w:pStyle w:val="TableText"/>
            </w:pPr>
            <w:r>
              <w:t>2. Léxico</w:t>
            </w:r>
          </w:p>
        </w:tc>
        <w:tc>
          <w:tcPr>
            <w:tcW w:type="dxa" w:w="4480"/>
            <w:shd w:fill="F7F8FA"/>
          </w:tcPr>
          <w:p>
            <w:pPr>
              <w:pStyle w:val="TableText"/>
            </w:pPr>
            <w:r>
              <w:t>¿Revisé cada forma breve y cada omisión?</w:t>
            </w:r>
          </w:p>
        </w:tc>
        <w:tc>
          <w:tcPr>
            <w:tcW w:type="dxa" w:w="3380"/>
            <w:shd w:fill="F7F8FA"/>
          </w:tcPr>
          <w:p>
            <w:pPr>
              <w:pStyle w:val="TableText"/>
            </w:pPr>
            <w:r>
              <w:t>Decisiones por aparición.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</w:pPr>
            <w:r>
              <w:t>3. Contexto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t>¿Registré significado, función, sección y pistas útiles?</w:t>
            </w:r>
          </w:p>
        </w:tc>
        <w:tc>
          <w:tcPr>
            <w:tcW w:type="dxa" w:w="3380"/>
          </w:tcPr>
          <w:p>
            <w:pPr>
              <w:pStyle w:val="TableText"/>
            </w:pPr>
            <w:r>
              <w:t>Decisión léxica comprensible para otra persona.</w:t>
            </w:r>
          </w:p>
        </w:tc>
      </w:tr>
      <w:tr>
        <w:trPr>
          <w:cantSplit w:val="true"/>
        </w:trPr>
        <w:tc>
          <w:tcPr>
            <w:tcW w:type="dxa" w:w="1500"/>
            <w:shd w:fill="F7F8FA"/>
          </w:tcPr>
          <w:p>
            <w:pPr>
              <w:pStyle w:val="TableText"/>
            </w:pPr>
            <w:r>
              <w:t>4. Span</w:t>
            </w:r>
          </w:p>
        </w:tc>
        <w:tc>
          <w:tcPr>
            <w:tcW w:type="dxa" w:w="4480"/>
            <w:shd w:fill="F7F8FA"/>
          </w:tcPr>
          <w:p>
            <w:pPr>
              <w:pStyle w:val="TableText"/>
            </w:pPr>
            <w:r>
              <w:t>¿Cada concepto está anclado al menor tramo textual completo?</w:t>
            </w:r>
          </w:p>
        </w:tc>
        <w:tc>
          <w:tcPr>
            <w:tcW w:type="dxa" w:w="3380"/>
            <w:shd w:fill="F7F8FA"/>
          </w:tcPr>
          <w:p>
            <w:pPr>
              <w:pStyle w:val="TableText"/>
            </w:pPr>
            <w:r>
              <w:t>Límites claros y repetibles.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</w:pPr>
            <w:r>
              <w:t>5. Clínica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t>¿Revisé premarcados, límites y omisiones?</w:t>
            </w:r>
          </w:p>
        </w:tc>
        <w:tc>
          <w:tcPr>
            <w:tcW w:type="dxa" w:w="3380"/>
          </w:tcPr>
          <w:p>
            <w:pPr>
              <w:pStyle w:val="TableText"/>
            </w:pPr>
            <w:r>
              <w:t>Menciones clínicas definitivas.</w:t>
            </w:r>
          </w:p>
        </w:tc>
      </w:tr>
      <w:tr>
        <w:trPr>
          <w:cantSplit w:val="true"/>
        </w:trPr>
        <w:tc>
          <w:tcPr>
            <w:tcW w:type="dxa" w:w="1500"/>
            <w:shd w:fill="F7F8FA"/>
          </w:tcPr>
          <w:p>
            <w:pPr>
              <w:pStyle w:val="TableText"/>
            </w:pPr>
            <w:r>
              <w:t>6. Doble capa</w:t>
            </w:r>
          </w:p>
        </w:tc>
        <w:tc>
          <w:tcPr>
            <w:tcW w:type="dxa" w:w="4480"/>
            <w:shd w:fill="F7F8FA"/>
          </w:tcPr>
          <w:p>
            <w:pPr>
              <w:pStyle w:val="TableText"/>
            </w:pPr>
            <w:r>
              <w:t>¿Alguna forma breve integra un concepto clínico?</w:t>
            </w:r>
          </w:p>
        </w:tc>
        <w:tc>
          <w:tcPr>
            <w:tcW w:type="dxa" w:w="3380"/>
            <w:shd w:fill="F7F8FA"/>
          </w:tcPr>
          <w:p>
            <w:pPr>
              <w:pStyle w:val="TableText"/>
            </w:pPr>
            <w:r>
              <w:t>Dos anotaciones cuando corresponda.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</w:pPr>
            <w:r>
              <w:t>7. SNOMED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t>¿Elegí el concepto más específico respaldado por el span?</w:t>
            </w:r>
          </w:p>
        </w:tc>
        <w:tc>
          <w:tcPr>
            <w:tcW w:type="dxa" w:w="3380"/>
          </w:tcPr>
          <w:p>
            <w:pPr>
              <w:pStyle w:val="TableText"/>
            </w:pPr>
            <w:r>
              <w:t>Normalización sin inferencias no previstas.</w:t>
            </w:r>
          </w:p>
        </w:tc>
      </w:tr>
      <w:tr>
        <w:trPr>
          <w:cantSplit w:val="true"/>
        </w:trPr>
        <w:tc>
          <w:tcPr>
            <w:tcW w:type="dxa" w:w="1500"/>
            <w:shd w:fill="F7F8FA"/>
          </w:tcPr>
          <w:p>
            <w:pPr>
              <w:pStyle w:val="TableText"/>
            </w:pPr>
            <w:r>
              <w:t>8. Cerrar</w:t>
            </w:r>
          </w:p>
        </w:tc>
        <w:tc>
          <w:tcPr>
            <w:tcW w:type="dxa" w:w="4480"/>
            <w:shd w:fill="F7F8FA"/>
          </w:tcPr>
          <w:p>
            <w:pPr>
              <w:pStyle w:val="TableText"/>
            </w:pPr>
            <w:r>
              <w:t>¿No quedan pendientes ni campos incompletos?</w:t>
            </w:r>
          </w:p>
        </w:tc>
        <w:tc>
          <w:tcPr>
            <w:tcW w:type="dxa" w:w="3380"/>
            <w:shd w:fill="F7F8FA"/>
          </w:tcPr>
          <w:p>
            <w:pPr>
              <w:pStyle w:val="TableText"/>
            </w:pPr>
            <w:r>
              <w:t>Nota finalizada.</w:t>
            </w:r>
          </w:p>
        </w:tc>
      </w:tr>
      <w:tr>
        <w:trPr>
          <w:cantSplit w:val="true"/>
        </w:trPr>
        <w:tc>
          <w:tcPr>
            <w:tcW w:type="dxa" w:w="1500"/>
          </w:tcPr>
          <w:p>
            <w:pPr>
              <w:pStyle w:val="TableText"/>
            </w:pPr>
            <w:r>
              <w:t>9. Exportar</w:t>
            </w:r>
          </w:p>
        </w:tc>
        <w:tc>
          <w:tcPr>
            <w:tcW w:type="dxa" w:w="4480"/>
          </w:tcPr>
          <w:p>
            <w:pPr>
              <w:pStyle w:val="TableText"/>
            </w:pPr>
            <w:r>
              <w:t>¿La copia tiene el código correcto y las notas esperadas?</w:t>
            </w:r>
          </w:p>
        </w:tc>
        <w:tc>
          <w:tcPr>
            <w:tcW w:type="dxa" w:w="3380"/>
          </w:tcPr>
          <w:p>
            <w:pPr>
              <w:pStyle w:val="TableText"/>
            </w:pPr>
            <w:r>
              <w:t>Archivo listo para entrega segura.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Fórmula de decisión. </w:t>
            </w:r>
            <w:r>
              <w:t>Literal exacto + contexto cercano + sección + resto de la nota compatible = resolución. Si esas piezas no sostienen un único sentido, absténgase.</w:t>
            </w:r>
          </w:p>
        </w:tc>
      </w:tr>
    </w:tbl>
    <w:p>
      <w:pPr>
        <w:spacing w:after="20"/>
      </w:pPr>
    </w:p>
    <w:p>
      <w:pPr>
        <w:pStyle w:val="Heading1"/>
      </w:pPr>
      <w:r>
        <w:t>Anexo A. Equivalencias técnicas de la interfaz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Solo para consulta. </w:t>
            </w:r>
            <w:r>
              <w:t>El anotador no debe memorizar estas claves ni editar el JSON. La aplicación las usa para guardar de manera uniforme las opciones explicadas en el cuerpo del manual.</w:t>
            </w:r>
          </w:p>
        </w:tc>
      </w:tr>
    </w:tbl>
    <w:p>
      <w:pPr>
        <w:spacing w:after="20"/>
      </w:pPr>
    </w:p>
    <w:p>
      <w:pPr>
        <w:pStyle w:val="Heading2"/>
      </w:pPr>
      <w:r>
        <w:t>A.1 Tipo de forma</w:t>
      </w:r>
    </w:p>
    <w:p>
      <w:pPr>
        <w:spacing w:before="100" w:after="80"/>
      </w:pPr>
      <w:r>
        <w:rPr>
          <w:b/>
          <w:color w:val="5D6875"/>
          <w:sz w:val="18"/>
        </w:rPr>
        <w:t>Equivalencias de Tipo de forma.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6100"/>
        <w:gridCol w:w="3260"/>
      </w:tblGrid>
      <w:tr>
        <w:trPr>
          <w:tblHeader w:val="true"/>
          <w:cantSplit w:val="true"/>
        </w:trPr>
        <w:tc>
          <w:tcPr>
            <w:tcW w:type="dxa" w:w="61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Abreviatura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abbreviation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Acrónimo pronunciable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acronym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Sigla / inicialismo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initialism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Forma alfanumérica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alphanumeric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Abreviatura simbólica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symbolic_abbreviation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Otra forma léxica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other</w:t>
            </w:r>
          </w:p>
        </w:tc>
      </w:tr>
    </w:tbl>
    <w:p>
      <w:pPr>
        <w:spacing w:after="20"/>
      </w:pPr>
    </w:p>
    <w:p>
      <w:pPr>
        <w:pStyle w:val="Heading2"/>
      </w:pPr>
      <w:r>
        <w:t>A.2 Decisión contextual</w:t>
      </w:r>
    </w:p>
    <w:p>
      <w:pPr>
        <w:spacing w:before="100" w:after="80"/>
      </w:pPr>
      <w:r>
        <w:rPr>
          <w:b/>
          <w:color w:val="5D6875"/>
          <w:sz w:val="18"/>
        </w:rPr>
        <w:t>Equivalencias de Decisión contextual.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3140"/>
        <w:gridCol w:w="2620"/>
        <w:gridCol w:w="3600"/>
      </w:tblGrid>
      <w:tr>
        <w:trPr>
          <w:tblHeader w:val="true"/>
          <w:cantSplit w:val="true"/>
        </w:trPr>
        <w:tc>
          <w:tcPr>
            <w:tcW w:type="dxa" w:w="314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type="dxa" w:w="262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Dato adicional cuando corresponde</w:t>
            </w:r>
          </w:p>
        </w:tc>
      </w:tr>
      <w:tr>
        <w:trPr>
          <w:cantSplit w:val="true"/>
        </w:trPr>
        <w:tc>
          <w:tcPr>
            <w:tcW w:type="dxa" w:w="3140"/>
          </w:tcPr>
          <w:p>
            <w:pPr>
              <w:pStyle w:val="TableText"/>
            </w:pPr>
            <w:r>
              <w:t>Pendiente</w:t>
            </w:r>
          </w:p>
        </w:tc>
        <w:tc>
          <w:tcPr>
            <w:tcW w:type="dxa" w:w="262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pending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No es una decisión final.</w:t>
            </w:r>
          </w:p>
        </w:tc>
      </w:tr>
      <w:tr>
        <w:trPr>
          <w:cantSplit w:val="true"/>
        </w:trPr>
        <w:tc>
          <w:tcPr>
            <w:tcW w:type="dxa" w:w="3140"/>
            <w:shd w:fill="F7F8FA"/>
          </w:tcPr>
          <w:p>
            <w:pPr>
              <w:pStyle w:val="TableText"/>
            </w:pPr>
            <w:r>
              <w:t>Sentido resuelto</w:t>
            </w:r>
          </w:p>
        </w:tc>
        <w:tc>
          <w:tcPr>
            <w:tcW w:type="dxa" w:w="262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resolved</w:t>
            </w:r>
          </w:p>
        </w:tc>
        <w:tc>
          <w:tcPr>
            <w:tcW w:type="dxa" w:w="3600"/>
            <w:shd w:fill="F7F8FA"/>
          </w:tcPr>
          <w:p>
            <w:pPr>
              <w:pStyle w:val="TableText"/>
            </w:pPr>
            <w:r>
              <w:t>Requiere Sentido observado (</w:t>
            </w:r>
            <w:r>
              <w:rPr>
                <w:rFonts w:ascii="Consolas" w:hAnsi="Consolas"/>
                <w:color w:val="6941A5"/>
                <w:sz w:val="18"/>
              </w:rPr>
              <w:t>senseId</w:t>
            </w:r>
            <w:r>
              <w:t>).</w:t>
            </w:r>
          </w:p>
        </w:tc>
      </w:tr>
      <w:tr>
        <w:trPr>
          <w:cantSplit w:val="true"/>
        </w:trPr>
        <w:tc>
          <w:tcPr>
            <w:tcW w:type="dxa" w:w="3140"/>
          </w:tcPr>
          <w:p>
            <w:pPr>
              <w:pStyle w:val="TableText"/>
            </w:pPr>
            <w:r>
              <w:t>Ambigua aun con contexto</w:t>
            </w:r>
          </w:p>
        </w:tc>
        <w:tc>
          <w:tcPr>
            <w:tcW w:type="dxa" w:w="262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ambiguous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Abstención final válida.</w:t>
            </w:r>
          </w:p>
        </w:tc>
      </w:tr>
      <w:tr>
        <w:trPr>
          <w:cantSplit w:val="true"/>
        </w:trPr>
        <w:tc>
          <w:tcPr>
            <w:tcW w:type="dxa" w:w="3140"/>
            <w:shd w:fill="F7F8FA"/>
          </w:tcPr>
          <w:p>
            <w:pPr>
              <w:pStyle w:val="TableText"/>
            </w:pPr>
            <w:r>
              <w:t>No puedo determinarla</w:t>
            </w:r>
          </w:p>
        </w:tc>
        <w:tc>
          <w:tcPr>
            <w:tcW w:type="dxa" w:w="262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unknown</w:t>
            </w:r>
          </w:p>
        </w:tc>
        <w:tc>
          <w:tcPr>
            <w:tcW w:type="dxa" w:w="3600"/>
            <w:shd w:fill="F7F8FA"/>
          </w:tcPr>
          <w:p>
            <w:pPr>
              <w:pStyle w:val="TableText"/>
            </w:pPr>
            <w:r>
              <w:t>Abstención final válida.</w:t>
            </w:r>
          </w:p>
        </w:tc>
      </w:tr>
      <w:tr>
        <w:trPr>
          <w:cantSplit w:val="true"/>
        </w:trPr>
        <w:tc>
          <w:tcPr>
            <w:tcW w:type="dxa" w:w="3140"/>
          </w:tcPr>
          <w:p>
            <w:pPr>
              <w:pStyle w:val="TableText"/>
            </w:pPr>
            <w:r>
              <w:t>Proponer sentido nuevo</w:t>
            </w:r>
          </w:p>
        </w:tc>
        <w:tc>
          <w:tcPr>
            <w:tcW w:type="dxa" w:w="262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new_sense_proposed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Requiere Expansión propuesta.</w:t>
            </w:r>
          </w:p>
        </w:tc>
      </w:tr>
      <w:tr>
        <w:trPr>
          <w:cantSplit w:val="true"/>
        </w:trPr>
        <w:tc>
          <w:tcPr>
            <w:tcW w:type="dxa" w:w="3140"/>
            <w:shd w:fill="F7F8FA"/>
          </w:tcPr>
          <w:p>
            <w:pPr>
              <w:pStyle w:val="TableText"/>
            </w:pPr>
            <w:r>
              <w:t>Forma errónea o corrupta</w:t>
            </w:r>
          </w:p>
        </w:tc>
        <w:tc>
          <w:tcPr>
            <w:tcW w:type="dxa" w:w="262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form_error</w:t>
            </w:r>
          </w:p>
        </w:tc>
        <w:tc>
          <w:tcPr>
            <w:tcW w:type="dxa" w:w="3600"/>
            <w:shd w:fill="F7F8FA"/>
          </w:tcPr>
          <w:p>
            <w:pPr>
              <w:pStyle w:val="TableText"/>
            </w:pPr>
            <w:r>
              <w:t>Requiere Forma corregida.</w:t>
            </w:r>
          </w:p>
        </w:tc>
      </w:tr>
      <w:tr>
        <w:trPr>
          <w:cantSplit w:val="true"/>
        </w:trPr>
        <w:tc>
          <w:tcPr>
            <w:tcW w:type="dxa" w:w="3140"/>
          </w:tcPr>
          <w:p>
            <w:pPr>
              <w:pStyle w:val="TableText"/>
            </w:pPr>
            <w:r>
              <w:t>Uso no clínico/estructural</w:t>
            </w:r>
          </w:p>
        </w:tc>
        <w:tc>
          <w:tcPr>
            <w:tcW w:type="dxa" w:w="262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nonclinical</w:t>
            </w:r>
          </w:p>
        </w:tc>
        <w:tc>
          <w:tcPr>
            <w:tcW w:type="dxa" w:w="3600"/>
          </w:tcPr>
          <w:p>
            <w:pPr>
              <w:pStyle w:val="TableText"/>
            </w:pPr>
            <w:r>
              <w:t>No se selecciona un sentido clínico.</w:t>
            </w:r>
          </w:p>
        </w:tc>
      </w:tr>
      <w:tr>
        <w:trPr>
          <w:cantSplit w:val="true"/>
        </w:trPr>
        <w:tc>
          <w:tcPr>
            <w:tcW w:type="dxa" w:w="3140"/>
            <w:shd w:fill="F7F8FA"/>
          </w:tcPr>
          <w:p>
            <w:pPr>
              <w:pStyle w:val="TableText"/>
            </w:pPr>
            <w:r>
              <w:t>No es abreviatura ni acrónimo</w:t>
            </w:r>
          </w:p>
        </w:tc>
        <w:tc>
          <w:tcPr>
            <w:tcW w:type="dxa" w:w="262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rejected</w:t>
            </w:r>
          </w:p>
        </w:tc>
        <w:tc>
          <w:tcPr>
            <w:tcW w:type="dxa" w:w="3600"/>
            <w:shd w:fill="F7F8FA"/>
          </w:tcPr>
          <w:p>
            <w:pPr>
              <w:pStyle w:val="TableText"/>
            </w:pPr>
            <w:r>
              <w:t>Cierre como falso positivo.</w:t>
            </w:r>
          </w:p>
        </w:tc>
      </w:tr>
    </w:tbl>
    <w:p>
      <w:pPr>
        <w:spacing w:after="20"/>
      </w:pPr>
    </w:p>
    <w:p>
      <w:pPr>
        <w:pStyle w:val="Heading2"/>
      </w:pPr>
      <w:r>
        <w:t>A.3 Función</w:t>
      </w:r>
    </w:p>
    <w:p>
      <w:pPr>
        <w:spacing w:before="100" w:after="80"/>
      </w:pPr>
      <w:r>
        <w:rPr>
          <w:b/>
          <w:color w:val="5D6875"/>
          <w:sz w:val="18"/>
        </w:rPr>
        <w:t>Equivalencias de Función en esta aparición.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6100"/>
        <w:gridCol w:w="3260"/>
      </w:tblGrid>
      <w:tr>
        <w:trPr>
          <w:tblHeader w:val="true"/>
          <w:cantSplit w:val="true"/>
        </w:trPr>
        <w:tc>
          <w:tcPr>
            <w:tcW w:type="dxa" w:w="61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Opción visible</w:t>
            </w:r>
          </w:p>
        </w:tc>
        <w:tc>
          <w:tcPr>
            <w:tcW w:type="dxa" w:w="32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Clave interna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Sin clasificar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null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Encabezado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header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Entidad clínica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entity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Valor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value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Resultado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Modificador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modifier</w:t>
            </w:r>
          </w:p>
        </w:tc>
      </w:tr>
      <w:tr>
        <w:trPr>
          <w:cantSplit w:val="true"/>
        </w:trPr>
        <w:tc>
          <w:tcPr>
            <w:tcW w:type="dxa" w:w="6100"/>
          </w:tcPr>
          <w:p>
            <w:pPr>
              <w:pStyle w:val="TableText"/>
            </w:pPr>
            <w:r>
              <w:t>Marca estructural</w:t>
            </w:r>
          </w:p>
        </w:tc>
        <w:tc>
          <w:tcPr>
            <w:tcW w:type="dxa" w:w="32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structural</w:t>
            </w:r>
          </w:p>
        </w:tc>
      </w:tr>
      <w:tr>
        <w:trPr>
          <w:cantSplit w:val="true"/>
        </w:trPr>
        <w:tc>
          <w:tcPr>
            <w:tcW w:type="dxa" w:w="6100"/>
            <w:shd w:fill="F7F8FA"/>
          </w:tcPr>
          <w:p>
            <w:pPr>
              <w:pStyle w:val="TableText"/>
            </w:pPr>
            <w:r>
              <w:t>Otra función</w:t>
            </w:r>
          </w:p>
        </w:tc>
        <w:tc>
          <w:tcPr>
            <w:tcW w:type="dxa" w:w="32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other</w:t>
            </w:r>
          </w:p>
        </w:tc>
      </w:tr>
    </w:tbl>
    <w:p>
      <w:pPr>
        <w:spacing w:after="20"/>
      </w:pPr>
    </w:p>
    <w:p>
      <w:pPr>
        <w:pStyle w:val="Heading2"/>
      </w:pPr>
      <w:r>
        <w:t>A.4 Sección</w:t>
      </w:r>
    </w:p>
    <w:p>
      <w:pPr>
        <w:spacing w:before="100" w:after="80"/>
      </w:pPr>
      <w:r>
        <w:rPr>
          <w:b/>
          <w:color w:val="5D6875"/>
          <w:sz w:val="18"/>
        </w:rPr>
        <w:t>Claves recomendadas para Sección o plantilla.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4700"/>
        <w:gridCol w:w="4660"/>
      </w:tblGrid>
      <w:tr>
        <w:trPr>
          <w:tblHeader w:val="true"/>
          <w:cantSplit w:val="true"/>
        </w:trPr>
        <w:tc>
          <w:tcPr>
            <w:tcW w:type="dxa" w:w="47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Nombre comprensible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Clave recomendada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Motivo de consulta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motivo_consulta</w:t>
            </w:r>
          </w:p>
        </w:tc>
      </w:tr>
      <w:tr>
        <w:trPr>
          <w:cantSplit w:val="true"/>
        </w:trPr>
        <w:tc>
          <w:tcPr>
            <w:tcW w:type="dxa" w:w="4700"/>
            <w:shd w:fill="F7F8FA"/>
          </w:tcPr>
          <w:p>
            <w:pPr>
              <w:pStyle w:val="TableText"/>
            </w:pPr>
            <w:r>
              <w:t>Antecedentes personales</w:t>
            </w:r>
          </w:p>
        </w:tc>
        <w:tc>
          <w:tcPr>
            <w:tcW w:type="dxa" w:w="46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antecedentes_personales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Antecedentes familiares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antecedentes_familiares</w:t>
            </w:r>
          </w:p>
        </w:tc>
      </w:tr>
      <w:tr>
        <w:trPr>
          <w:cantSplit w:val="true"/>
        </w:trPr>
        <w:tc>
          <w:tcPr>
            <w:tcW w:type="dxa" w:w="4700"/>
            <w:shd w:fill="F7F8FA"/>
          </w:tcPr>
          <w:p>
            <w:pPr>
              <w:pStyle w:val="TableText"/>
            </w:pPr>
            <w:r>
              <w:t>Medicación</w:t>
            </w:r>
          </w:p>
        </w:tc>
        <w:tc>
          <w:tcPr>
            <w:tcW w:type="dxa" w:w="46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medicacion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Examen físico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examen_fisico</w:t>
            </w:r>
          </w:p>
        </w:tc>
      </w:tr>
      <w:tr>
        <w:trPr>
          <w:cantSplit w:val="true"/>
        </w:trPr>
        <w:tc>
          <w:tcPr>
            <w:tcW w:type="dxa" w:w="4700"/>
            <w:shd w:fill="F7F8FA"/>
          </w:tcPr>
          <w:p>
            <w:pPr>
              <w:pStyle w:val="TableText"/>
            </w:pPr>
            <w:r>
              <w:t>Estudios</w:t>
            </w:r>
          </w:p>
        </w:tc>
        <w:tc>
          <w:tcPr>
            <w:tcW w:type="dxa" w:w="46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estudios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Evolución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evolucion</w:t>
            </w:r>
          </w:p>
        </w:tc>
      </w:tr>
      <w:tr>
        <w:trPr>
          <w:cantSplit w:val="true"/>
        </w:trPr>
        <w:tc>
          <w:tcPr>
            <w:tcW w:type="dxa" w:w="4700"/>
            <w:shd w:fill="F7F8FA"/>
          </w:tcPr>
          <w:p>
            <w:pPr>
              <w:pStyle w:val="TableText"/>
            </w:pPr>
            <w:r>
              <w:t>Conducta o plan</w:t>
            </w:r>
          </w:p>
        </w:tc>
        <w:tc>
          <w:tcPr>
            <w:tcW w:type="dxa" w:w="46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conducta_plan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Procedimiento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procedimiento</w:t>
            </w:r>
          </w:p>
        </w:tc>
      </w:tr>
      <w:tr>
        <w:trPr>
          <w:cantSplit w:val="true"/>
        </w:trPr>
        <w:tc>
          <w:tcPr>
            <w:tcW w:type="dxa" w:w="4700"/>
            <w:shd w:fill="F7F8FA"/>
          </w:tcPr>
          <w:p>
            <w:pPr>
              <w:pStyle w:val="TableText"/>
            </w:pPr>
            <w:r>
              <w:t>Alta</w:t>
            </w:r>
          </w:p>
        </w:tc>
        <w:tc>
          <w:tcPr>
            <w:tcW w:type="dxa" w:w="466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alta</w:t>
            </w:r>
          </w:p>
        </w:tc>
      </w:tr>
      <w:tr>
        <w:trPr>
          <w:cantSplit w:val="true"/>
        </w:trPr>
        <w:tc>
          <w:tcPr>
            <w:tcW w:type="dxa" w:w="4700"/>
          </w:tcPr>
          <w:p>
            <w:pPr>
              <w:pStyle w:val="TableText"/>
            </w:pPr>
            <w:r>
              <w:t>Otra sección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otra</w:t>
            </w:r>
          </w:p>
        </w:tc>
      </w:tr>
    </w:tbl>
    <w:p>
      <w:pPr>
        <w:spacing w:after="20"/>
      </w:pPr>
    </w:p>
    <w:p>
      <w:pPr>
        <w:pStyle w:val="Heading1"/>
      </w:pPr>
      <w:r>
        <w:t>Anexo B. Códigos de pistas contextuales</w:t>
      </w:r>
    </w:p>
    <w:p>
      <w:r>
        <w:t>Use únicamente los códigos que correspondan a las pistas realmente observadas. Sepárelos por comas. El orden no indica importancia ni probabilidad.</w:t>
      </w:r>
    </w:p>
    <w:p>
      <w:pPr>
        <w:spacing w:before="100" w:after="80"/>
      </w:pPr>
      <w:r>
        <w:rPr>
          <w:b/>
          <w:color w:val="5D6875"/>
          <w:sz w:val="18"/>
        </w:rPr>
        <w:t>Diccionario breve de pistas contextuales.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1800"/>
        <w:gridCol w:w="2850"/>
        <w:gridCol w:w="4710"/>
      </w:tblGrid>
      <w:tr>
        <w:trPr>
          <w:tblHeader w:val="true"/>
          <w:cantSplit w:val="true"/>
        </w:trPr>
        <w:tc>
          <w:tcPr>
            <w:tcW w:type="dxa" w:w="18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Grupo</w:t>
            </w:r>
          </w:p>
        </w:tc>
        <w:tc>
          <w:tcPr>
            <w:tcW w:type="dxa" w:w="285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Código</w:t>
            </w:r>
          </w:p>
        </w:tc>
        <w:tc>
          <w:tcPr>
            <w:tcW w:type="dxa" w:w="471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Qué indica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Estructura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SECTION_HEADER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Un encabezado cercano delimita el tema.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Estructura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TEMPLATE_POSITION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La posición fija en la plantilla orienta el sentido.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Cercanía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LOCAL_COLLOCATION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Las palabras o unidades vecinas favorecen un sentido.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MEDICATION_CONTEXT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La aparición está en un contexto de medicación.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LAB_CONTEXT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Un analito, unidad o rango de laboratorio aporta evidencia.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ANATOMY_CONTEXT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Una región anatómica cercana restringe el sentido.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PROCEDURE_CONTEXT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La forma aparece en un procedimiento.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OBSTETRIC_CONTEXT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El patrón incluye gestación, paridad o puerperio.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CARDIO_CONTEXT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Hay signos o mediciones cardiovasculares cercanos.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Contexto clínico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SURGICAL_CONTEXT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La historia o técnica quirúrgica aporta evidencia.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Atribución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FAMILY_HISTORY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La información se atribuye a familiares.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Atribución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PERSONAL_HISTORY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La información se atribuye al paciente como antecedente.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Patrón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DOSE_ROUTE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Dosis, frecuencia o vía restringen el sentido.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Patrón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TEMPORAL_MARKER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Una fecha, duración o secuencia temporal orienta la lectura.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pStyle w:val="TableText"/>
            </w:pPr>
            <w:r>
              <w:t>Patrón</w:t>
            </w:r>
          </w:p>
        </w:tc>
        <w:tc>
          <w:tcPr>
            <w:tcW w:type="dxa" w:w="28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NEGATION_SCOPE</w:t>
            </w:r>
          </w:p>
        </w:tc>
        <w:tc>
          <w:tcPr>
            <w:tcW w:type="dxa" w:w="4710"/>
          </w:tcPr>
          <w:p>
            <w:pPr>
              <w:pStyle w:val="TableText"/>
            </w:pPr>
            <w:r>
              <w:t>La aparición está dentro del alcance de una negación.</w:t>
            </w:r>
          </w:p>
        </w:tc>
      </w:tr>
      <w:tr>
        <w:trPr>
          <w:cantSplit w:val="true"/>
        </w:trPr>
        <w:tc>
          <w:tcPr>
            <w:tcW w:type="dxa" w:w="1800"/>
            <w:shd w:fill="F7F8FA"/>
          </w:tcPr>
          <w:p>
            <w:pPr>
              <w:pStyle w:val="TableText"/>
            </w:pPr>
            <w:r>
              <w:t>Patrón</w:t>
            </w:r>
          </w:p>
        </w:tc>
        <w:tc>
          <w:tcPr>
            <w:tcW w:type="dxa" w:w="28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VALUE_PATTERN</w:t>
            </w:r>
          </w:p>
        </w:tc>
        <w:tc>
          <w:tcPr>
            <w:tcW w:type="dxa" w:w="4710"/>
            <w:shd w:fill="F7F8FA"/>
          </w:tcPr>
          <w:p>
            <w:pPr>
              <w:pStyle w:val="TableText"/>
            </w:pPr>
            <w:r>
              <w:t>El número, unidad o formato esperado respalda la interpretación.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6941A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F2ECFA"/>
          </w:tcPr>
          <w:p>
            <w:pPr>
              <w:pStyle w:val="TableText"/>
              <w:keepLines/>
            </w:pPr>
            <w:r>
              <w:rPr>
                <w:b/>
                <w:color w:val="6941A5"/>
              </w:rPr>
              <w:t xml:space="preserve">Ejemplo. </w:t>
            </w:r>
            <w:r>
              <w:t xml:space="preserve">Para una forma ubicada bajo Antecedentes familiares y apoyada por palabras cercanas, escriba </w:t>
            </w:r>
            <w:r>
              <w:rPr>
                <w:rFonts w:ascii="Consolas" w:hAnsi="Consolas"/>
                <w:color w:val="6941A5"/>
                <w:sz w:val="18"/>
              </w:rPr>
              <w:t>SECTION_HEADER, FAMILY_HISTORY, LOCAL_COLLOCATION</w:t>
            </w:r>
            <w:r>
              <w:t>.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nil"/>
          <w:bottom w:val="nil"/>
          <w:end w:val="nil"/>
          <w:start w:val="single" w:sz="18" w:color="2E74B5"/>
        </w:tblBorders>
      </w:tblPr>
      <w:tblGrid>
        <w:gridCol w:w="9360"/>
      </w:tblGrid>
      <w:tr>
        <w:trPr>
          <w:cantSplit w:val="true"/>
        </w:trPr>
        <w:tc>
          <w:tcPr>
            <w:tcW w:type="dxa" w:w="9360"/>
            <w:vAlign w:val="center"/>
            <w:shd w:fill="E8EEF5"/>
          </w:tcPr>
          <w:p>
            <w:pPr>
              <w:pStyle w:val="TableText"/>
              <w:keepLines/>
            </w:pPr>
            <w:r>
              <w:rPr>
                <w:b/>
                <w:color w:val="2E74B5"/>
              </w:rPr>
              <w:t xml:space="preserve">Marca estandarizada para Comentario. </w:t>
            </w:r>
            <w:r>
              <w:t xml:space="preserve">Cuando corresponda registrar una posibilidad semántica no representada, use exactamente </w:t>
            </w:r>
            <w:r>
              <w:rPr>
                <w:rFonts w:ascii="Consolas" w:hAnsi="Consolas"/>
                <w:color w:val="6941A5"/>
                <w:sz w:val="18"/>
              </w:rPr>
              <w:t>POSIBLE_SEMANTICA_NO_CODIFICADA: &lt;descripción breve&gt;; MOTIVO: categoría no habilitada</w:t>
            </w:r>
            <w:r>
              <w:t>.</w:t>
            </w:r>
          </w:p>
        </w:tc>
      </w:tr>
    </w:tbl>
    <w:p>
      <w:pPr>
        <w:spacing w:after="20"/>
      </w:pPr>
    </w:p>
    <w:p>
      <w:pPr>
        <w:pStyle w:val="Heading2"/>
      </w:pPr>
      <w:r>
        <w:t>B.1 Qué guarda la aplicación</w:t>
      </w:r>
    </w:p>
    <w:p>
      <w:pPr>
        <w:spacing w:before="100" w:after="80"/>
      </w:pPr>
      <w:r>
        <w:rPr>
          <w:b/>
          <w:color w:val="5D6875"/>
          <w:sz w:val="18"/>
        </w:rPr>
        <w:t>Correspondencia básica para auditoría.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  <w:tblCellMar>
          <w:top w:w="80" w:type="dxa"/>
          <w:start w:w="120" w:type="dxa"/>
          <w:bottom w:w="80" w:type="dxa"/>
          <w:end w:w="120" w:type="dxa"/>
        </w:tblCellMar>
        <w:tblBorders>
          <w:top w:val="single" w:sz="6" w:space="0" w:color="C9D0D8"/>
          <w:start w:val="single" w:sz="6" w:space="0" w:color="C9D0D8"/>
          <w:bottom w:val="single" w:sz="6" w:space="0" w:color="C9D0D8"/>
          <w:end w:val="single" w:sz="6" w:space="0" w:color="C9D0D8"/>
          <w:insideH w:val="single" w:sz="6" w:space="0" w:color="C9D0D8"/>
          <w:insideV w:val="single" w:sz="6" w:space="0" w:color="C9D0D8"/>
        </w:tblBorders>
      </w:tblPr>
      <w:tblGrid>
        <w:gridCol w:w="2300"/>
        <w:gridCol w:w="3250"/>
        <w:gridCol w:w="3810"/>
      </w:tblGrid>
      <w:tr>
        <w:trPr>
          <w:tblHeader w:val="true"/>
          <w:cantSplit w:val="true"/>
        </w:trPr>
        <w:tc>
          <w:tcPr>
            <w:tcW w:type="dxa" w:w="2300"/>
            <w:vAlign w:val="center"/>
            <w:shd w:fill="E8EEF5"/>
          </w:tcPr>
          <w:p>
            <w:pPr>
              <w:pStyle w:val="TableText"/>
              <w:keepNext/>
            </w:pPr>
            <w:r>
              <w:rPr>
                <w:b/>
                <w:color w:val="2D3E5F"/>
              </w:rPr>
              <w:t>Campo visible</w:t>
            </w:r>
          </w:p>
        </w:tc>
        <w:tc>
          <w:tcPr>
            <w:tcW w:type="dxa" w:w="325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Registro interno</w:t>
            </w:r>
          </w:p>
        </w:tc>
        <w:tc>
          <w:tcPr>
            <w:tcW w:type="dxa" w:w="3810"/>
            <w:vAlign w:val="center"/>
            <w:shd w:fill="E8EEF5"/>
          </w:tcPr>
          <w:p>
            <w:pPr>
              <w:pStyle w:val="TableText"/>
            </w:pPr>
            <w:r>
              <w:rPr>
                <w:b/>
                <w:color w:val="2D3E5F"/>
              </w:rPr>
              <w:t>Regla principal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Tipo de forma</w:t>
            </w:r>
          </w:p>
        </w:tc>
        <w:tc>
          <w:tcPr>
            <w:tcW w:type="dxa" w:w="32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annotation.formType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t>Describe cómo está escrita la forma.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Decisión contextual</w:t>
            </w:r>
          </w:p>
        </w:tc>
        <w:tc>
          <w:tcPr>
            <w:tcW w:type="dxa" w:w="32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annotation.decisionStatus</w:t>
            </w:r>
          </w:p>
        </w:tc>
        <w:tc>
          <w:tcPr>
            <w:tcW w:type="dxa" w:w="3810"/>
            <w:shd w:fill="F7F8FA"/>
          </w:tcPr>
          <w:p>
            <w:pPr>
              <w:pStyle w:val="TableText"/>
            </w:pPr>
            <w:r>
              <w:t>Registra si el sentido se resolvió o si hubo abstención.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Función</w:t>
            </w:r>
          </w:p>
        </w:tc>
        <w:tc>
          <w:tcPr>
            <w:tcW w:type="dxa" w:w="32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annotation.function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t>Describe el papel de esa aparición.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Sección</w:t>
            </w:r>
          </w:p>
        </w:tc>
        <w:tc>
          <w:tcPr>
            <w:tcW w:type="dxa" w:w="32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annotation.section</w:t>
            </w:r>
          </w:p>
        </w:tc>
        <w:tc>
          <w:tcPr>
            <w:tcW w:type="dxa" w:w="3810"/>
            <w:shd w:fill="F7F8FA"/>
          </w:tcPr>
          <w:p>
            <w:pPr>
              <w:pStyle w:val="TableText"/>
            </w:pPr>
            <w:r>
              <w:t>Registra la ubicación local de la nota.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Pistas</w:t>
            </w:r>
          </w:p>
        </w:tc>
        <w:tc>
          <w:tcPr>
            <w:tcW w:type="dxa" w:w="32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annotation.evidenceCodes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t>Se guarda como lista sin vacíos ni duplicados.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Comentario</w:t>
            </w:r>
          </w:p>
        </w:tc>
        <w:tc>
          <w:tcPr>
            <w:tcW w:type="dxa" w:w="32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annotation.comment</w:t>
            </w:r>
          </w:p>
        </w:tc>
        <w:tc>
          <w:tcPr>
            <w:tcW w:type="dxa" w:w="3810"/>
            <w:shd w:fill="F7F8FA"/>
          </w:tcPr>
          <w:p>
            <w:pPr>
              <w:pStyle w:val="TableText"/>
            </w:pPr>
            <w:r>
              <w:t>Texto libre breve; no crea categorías nuevas.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Sentido observado</w:t>
            </w:r>
          </w:p>
        </w:tc>
        <w:tc>
          <w:tcPr>
            <w:tcW w:type="dxa" w:w="32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annotation.senseId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t>Solo se conserva con Sentido resuelto.</w:t>
            </w:r>
          </w:p>
        </w:tc>
      </w:tr>
      <w:tr>
        <w:trPr>
          <w:cantSplit w:val="true"/>
        </w:trPr>
        <w:tc>
          <w:tcPr>
            <w:tcW w:type="dxa" w:w="2300"/>
            <w:shd w:fill="F7F8FA"/>
          </w:tcPr>
          <w:p>
            <w:pPr>
              <w:pStyle w:val="TableText"/>
            </w:pPr>
            <w:r>
              <w:t>Expansión propuesta</w:t>
            </w:r>
          </w:p>
        </w:tc>
        <w:tc>
          <w:tcPr>
            <w:tcW w:type="dxa" w:w="3250"/>
            <w:shd w:fill="F7F8FA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annotation.proposedExpansion</w:t>
            </w:r>
          </w:p>
        </w:tc>
        <w:tc>
          <w:tcPr>
            <w:tcW w:type="dxa" w:w="3810"/>
            <w:shd w:fill="F7F8FA"/>
          </w:tcPr>
          <w:p>
            <w:pPr>
              <w:pStyle w:val="TableText"/>
            </w:pPr>
            <w:r>
              <w:t>Solo se conserva al proponer un sentido nuevo.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pStyle w:val="TableText"/>
            </w:pPr>
            <w:r>
              <w:t>Forma corregida</w:t>
            </w:r>
          </w:p>
        </w:tc>
        <w:tc>
          <w:tcPr>
            <w:tcW w:type="dxa" w:w="3250"/>
          </w:tcPr>
          <w:p>
            <w:pPr>
              <w:pStyle w:val="TableText"/>
            </w:pPr>
            <w:r>
              <w:rPr>
                <w:rFonts w:ascii="Consolas" w:hAnsi="Consolas"/>
                <w:color w:val="6941A5"/>
                <w:sz w:val="18"/>
              </w:rPr>
              <w:t>annotation.correctedForm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t>Solo se conserva con Forma errónea o corrupta.</w:t>
            </w:r>
          </w:p>
        </w:tc>
      </w:tr>
    </w:tbl>
    <w:p>
      <w:pPr>
        <w:spacing w:after="20"/>
      </w:pPr>
    </w:p>
    <w:p>
      <w:pPr>
        <w:spacing w:before="360"/>
        <w:jc w:val="center"/>
      </w:pPr>
      <w:r>
        <w:rPr>
          <w:b/>
          <w:color w:val="6941A5"/>
        </w:rPr>
        <w:t>Fin del manual - SemantIAr v2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D6875"/>
        <w:sz w:val="16"/>
      </w:rPr>
      <w:t xml:space="preserve">SemantIAr v2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jc w:val="left"/>
    </w:pPr>
    <w:r>
      <w:rPr>
        <w:rFonts w:ascii="Calibri" w:hAnsi="Calibri"/>
        <w:color w:val="5D6875"/>
        <w:sz w:val="16"/>
      </w:rPr>
      <w:t>SemantIAr v2  |  Manual del anotador</w:t>
    </w:r>
    <w:r>
      <w:rPr>
        <w:color w:val="5D6875"/>
      </w:rPr>
      <w:tab/>
      <w:t>Uso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color w:val="27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color w:val="27313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color w:val="27313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nualTitle">
    <w:name w:val="Manual Title"/>
    <w:pPr>
      <w:spacing w:after="240"/>
      <w:jc w:val="center"/>
    </w:pPr>
    <w:rPr>
      <w:rFonts w:ascii="Calibri" w:hAnsi="Calibri"/>
      <w:b/>
      <w:color w:val="2D3E5F"/>
      <w:sz w:val="56"/>
    </w:rPr>
  </w:style>
  <w:style w:type="paragraph" w:customStyle="1" w:styleId="ManualSubtitle">
    <w:name w:val="Manual Subtitle"/>
    <w:pPr>
      <w:spacing w:after="360"/>
      <w:jc w:val="center"/>
    </w:pPr>
    <w:rPr>
      <w:rFonts w:ascii="Calibri" w:hAnsi="Calibri"/>
      <w:color w:val="6941A5"/>
      <w:sz w:val="30"/>
    </w:rPr>
  </w:style>
  <w:style w:type="paragraph" w:customStyle="1" w:styleId="CodeBlock">
    <w:name w:val="Code Block"/>
    <w:pPr>
      <w:spacing w:before="80" w:after="160" w:line="252" w:lineRule="auto"/>
      <w:ind w:left="288" w:right="144"/>
    </w:pPr>
    <w:rPr>
      <w:rFonts w:ascii="Consolas" w:hAnsi="Consolas"/>
      <w:color w:val="27313D"/>
      <w:sz w:val="17"/>
    </w:r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color w:val="27313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práctico del anotador - SemantIAr v2</dc:title>
  <dc:subject>Guía sencilla para revisar formas breves y conceptos clínicos por aparición</dc:subject>
  <dc:creator>python-docx</dc:creator>
  <cp:keywords>SemantIAr, anotación clínica, capa léxica, SNOMED CT</cp:keywords>
  <dc:description>Manual operativo SemantIAr v2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