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F6E"/>
          <w:sz w:val="44"/>
        </w:rPr>
        <w:t>Retail Sales Performance &amp;</w:t>
        <w:br/>
        <w:t>Business Intelligence Dashboard</w:t>
      </w:r>
    </w:p>
    <w:p/>
    <w:p>
      <w:pPr>
        <w:jc w:val="center"/>
      </w:pPr>
      <w:r>
        <w:rPr>
          <w:sz w:val="26"/>
        </w:rPr>
        <w:t>IBM SkillsBuild Data Analytics with AI Internship</w:t>
        <w:br/>
        <w:t>Final Project Report</w:t>
      </w:r>
    </w:p>
    <w:p/>
    <w:p>
      <w:pPr>
        <w:jc w:val="center"/>
      </w:pPr>
      <w:r>
        <w:rPr>
          <w:sz w:val="22"/>
        </w:rPr>
        <w:t>Date: September 23, 2026</w:t>
      </w:r>
    </w:p>
    <w:p/>
    <w:p>
      <w:pPr>
        <w:jc w:val="center"/>
      </w:pPr>
      <w:r>
        <w:rPr>
          <w:sz w:val="20"/>
        </w:rPr>
        <w:t>Dataset: Sample - Superstore (2014–2017)  |  9,994 transactions</w:t>
      </w:r>
    </w:p>
    <w:p>
      <w:r>
        <w:br w:type="page"/>
      </w:r>
    </w:p>
    <w:p>
      <w:pPr>
        <w:pStyle w:val="Heading1"/>
      </w:pPr>
      <w:r>
        <w:rPr>
          <w:color w:val="1F3F6E"/>
        </w:rPr>
        <w:t>1. Executive Summary</w:t>
      </w:r>
    </w:p>
    <w:p>
      <w:r>
        <w:rPr>
          <w:b w:val="0"/>
          <w:i w:val="0"/>
          <w:sz w:val="22"/>
        </w:rPr>
        <w:t>This report presents a Business Intelligence analysis of the Sample - Superstore retail dataset, covering 2014–2017. The business generated total revenue of $2,297,200.86 and total profit of $286,397.02 across 5,009 orders from 793 customers, delivering an overall profit margin of 12.47%.</w:t>
      </w:r>
    </w:p>
    <w:p>
      <w:r>
        <w:rPr>
          <w:b w:val="0"/>
          <w:i w:val="0"/>
          <w:sz w:val="22"/>
        </w:rPr>
        <w:t>Revenue grew consistently year-over-year, with 2017 recording the highest annual revenue of $733,215.26. The most recent year-on-year growth rate was +20.4%. However, headline revenue growth masks significant profitability variation: Furniture operates near break-even (2.5% margin) while Technology and Office Supplies each exceed 17% margin.</w:t>
      </w:r>
    </w:p>
    <w:p>
      <w:r>
        <w:rPr>
          <w:b w:val="0"/>
          <w:i w:val="0"/>
          <w:sz w:val="22"/>
        </w:rPr>
        <w:t>Three sub-categories — Tables, Bookcases, and Supplies — are net loss-making across the full period. Addressing these structural issues represents the primary near-term profitability opportunity.</w:t>
      </w:r>
    </w:p>
    <w:p>
      <w:pPr>
        <w:pStyle w:val="Heading1"/>
      </w:pPr>
      <w:r>
        <w:rPr>
          <w:color w:val="1F3F6E"/>
        </w:rPr>
        <w:t>2. Dataset Description</w:t>
      </w:r>
    </w:p>
    <w:p>
      <w:r>
        <w:rPr>
          <w:b w:val="0"/>
          <w:i/>
          <w:sz w:val="22"/>
        </w:rPr>
        <w:t>All facts in this section are verified directly from the source CSV file.</w:t>
      </w:r>
    </w:p>
    <w:p/>
    <w:tbl>
      <w:tblPr>
        <w:tblStyle w:val="TableGrid"/>
        <w:tblW w:type="auto" w:w="0"/>
        <w:tblLook w:firstColumn="1" w:firstRow="1" w:lastColumn="0" w:lastRow="0" w:noHBand="0" w:noVBand="1" w:val="04A0"/>
      </w:tblPr>
      <w:tblGrid>
        <w:gridCol w:w="4392"/>
        <w:gridCol w:w="4392"/>
      </w:tblGrid>
      <w:tr>
        <w:tc>
          <w:tcPr>
            <w:tcW w:type="dxa" w:w="4392"/>
          </w:tcPr>
          <w:p>
            <w:r>
              <w:rPr>
                <w:b/>
              </w:rPr>
              <w:t>Property</w:t>
            </w:r>
          </w:p>
        </w:tc>
        <w:tc>
          <w:tcPr>
            <w:tcW w:type="dxa" w:w="4392"/>
          </w:tcPr>
          <w:p>
            <w:r>
              <w:rPr>
                <w:b/>
              </w:rPr>
              <w:t>Value</w:t>
            </w:r>
          </w:p>
        </w:tc>
      </w:tr>
      <w:tr>
        <w:tc>
          <w:tcPr>
            <w:tcW w:type="dxa" w:w="4392"/>
          </w:tcPr>
          <w:p>
            <w:r>
              <w:t>File</w:t>
            </w:r>
          </w:p>
        </w:tc>
        <w:tc>
          <w:tcPr>
            <w:tcW w:type="dxa" w:w="4392"/>
          </w:tcPr>
          <w:p>
            <w:r>
              <w:t>Sample - Superstore.csv</w:t>
            </w:r>
          </w:p>
        </w:tc>
      </w:tr>
      <w:tr>
        <w:tc>
          <w:tcPr>
            <w:tcW w:type="dxa" w:w="4392"/>
          </w:tcPr>
          <w:p>
            <w:r>
              <w:t>Total rows</w:t>
            </w:r>
          </w:p>
        </w:tc>
        <w:tc>
          <w:tcPr>
            <w:tcW w:type="dxa" w:w="4392"/>
          </w:tcPr>
          <w:p>
            <w:r>
              <w:t>9,994</w:t>
            </w:r>
          </w:p>
        </w:tc>
      </w:tr>
      <w:tr>
        <w:tc>
          <w:tcPr>
            <w:tcW w:type="dxa" w:w="4392"/>
          </w:tcPr>
          <w:p>
            <w:r>
              <w:t>Columns</w:t>
            </w:r>
          </w:p>
        </w:tc>
        <w:tc>
          <w:tcPr>
            <w:tcW w:type="dxa" w:w="4392"/>
          </w:tcPr>
          <w:p>
            <w:r>
              <w:t>24</w:t>
            </w:r>
          </w:p>
        </w:tc>
      </w:tr>
      <w:tr>
        <w:tc>
          <w:tcPr>
            <w:tcW w:type="dxa" w:w="4392"/>
          </w:tcPr>
          <w:p>
            <w:r>
              <w:t>Date range</w:t>
            </w:r>
          </w:p>
        </w:tc>
        <w:tc>
          <w:tcPr>
            <w:tcW w:type="dxa" w:w="4392"/>
          </w:tcPr>
          <w:p>
            <w:r>
              <w:t>2014-01-03 to 2017-12-30</w:t>
            </w:r>
          </w:p>
        </w:tc>
      </w:tr>
      <w:tr>
        <w:tc>
          <w:tcPr>
            <w:tcW w:type="dxa" w:w="4392"/>
          </w:tcPr>
          <w:p>
            <w:r>
              <w:t>Years</w:t>
            </w:r>
          </w:p>
        </w:tc>
        <w:tc>
          <w:tcPr>
            <w:tcW w:type="dxa" w:w="4392"/>
          </w:tcPr>
          <w:p>
            <w:r>
              <w:t>2014, 2015, 2016, 2017</w:t>
            </w:r>
          </w:p>
        </w:tc>
      </w:tr>
      <w:tr>
        <w:tc>
          <w:tcPr>
            <w:tcW w:type="dxa" w:w="4392"/>
          </w:tcPr>
          <w:p>
            <w:r>
              <w:t>Segments</w:t>
            </w:r>
          </w:p>
        </w:tc>
        <w:tc>
          <w:tcPr>
            <w:tcW w:type="dxa" w:w="4392"/>
          </w:tcPr>
          <w:p>
            <w:r>
              <w:t>Consumer, Corporate, Home Office</w:t>
            </w:r>
          </w:p>
        </w:tc>
      </w:tr>
      <w:tr>
        <w:tc>
          <w:tcPr>
            <w:tcW w:type="dxa" w:w="4392"/>
          </w:tcPr>
          <w:p>
            <w:r>
              <w:t>Categories</w:t>
            </w:r>
          </w:p>
        </w:tc>
        <w:tc>
          <w:tcPr>
            <w:tcW w:type="dxa" w:w="4392"/>
          </w:tcPr>
          <w:p>
            <w:r>
              <w:t>Furniture, Office Supplies, Technology</w:t>
            </w:r>
          </w:p>
        </w:tc>
      </w:tr>
      <w:tr>
        <w:tc>
          <w:tcPr>
            <w:tcW w:type="dxa" w:w="4392"/>
          </w:tcPr>
          <w:p>
            <w:r>
              <w:t>Sub-Categories</w:t>
            </w:r>
          </w:p>
        </w:tc>
        <w:tc>
          <w:tcPr>
            <w:tcW w:type="dxa" w:w="4392"/>
          </w:tcPr>
          <w:p>
            <w:r>
              <w:t>17 (Accessories, Appliances, Art, Binders, Bookcases, Chairs, Copiers, Envelopes, Fasteners, Furnishings, Labels, Machines, Paper, Phones, Storage, Supplies, Tables)</w:t>
            </w:r>
          </w:p>
        </w:tc>
      </w:tr>
      <w:tr>
        <w:tc>
          <w:tcPr>
            <w:tcW w:type="dxa" w:w="4392"/>
          </w:tcPr>
          <w:p>
            <w:r>
              <w:t>Regions</w:t>
            </w:r>
          </w:p>
        </w:tc>
        <w:tc>
          <w:tcPr>
            <w:tcW w:type="dxa" w:w="4392"/>
          </w:tcPr>
          <w:p>
            <w:r>
              <w:t>East, West, Central, South</w:t>
            </w:r>
          </w:p>
        </w:tc>
      </w:tr>
      <w:tr>
        <w:tc>
          <w:tcPr>
            <w:tcW w:type="dxa" w:w="4392"/>
          </w:tcPr>
          <w:p>
            <w:r>
              <w:t>Ship Modes</w:t>
            </w:r>
          </w:p>
        </w:tc>
        <w:tc>
          <w:tcPr>
            <w:tcW w:type="dxa" w:w="4392"/>
          </w:tcPr>
          <w:p>
            <w:r>
              <w:t>Standard Class, Second Class, First Class, Same Day</w:t>
            </w:r>
          </w:p>
        </w:tc>
      </w:tr>
      <w:tr>
        <w:tc>
          <w:tcPr>
            <w:tcW w:type="dxa" w:w="4392"/>
          </w:tcPr>
          <w:p>
            <w:r>
              <w:t>Loss-making rows</w:t>
            </w:r>
          </w:p>
        </w:tc>
        <w:tc>
          <w:tcPr>
            <w:tcW w:type="dxa" w:w="4392"/>
          </w:tcPr>
          <w:p>
            <w:r>
              <w:t>1,871 rows with negative profit</w:t>
            </w:r>
          </w:p>
        </w:tc>
      </w:tr>
      <w:tr>
        <w:tc>
          <w:tcPr>
            <w:tcW w:type="dxa" w:w="4392"/>
          </w:tcPr>
          <w:p>
            <w:r>
              <w:t>Key numeric columns</w:t>
            </w:r>
          </w:p>
        </w:tc>
        <w:tc>
          <w:tcPr>
            <w:tcW w:type="dxa" w:w="4392"/>
          </w:tcPr>
          <w:p>
            <w:r>
              <w:t>Sales, Quantity, Discount, Profit</w:t>
            </w:r>
          </w:p>
        </w:tc>
      </w:tr>
    </w:tbl>
    <w:p/>
    <w:p>
      <w:pPr>
        <w:pStyle w:val="Heading1"/>
      </w:pPr>
      <w:r>
        <w:rPr>
          <w:color w:val="1F3F6E"/>
        </w:rPr>
        <w:t>3. Methodology</w:t>
      </w:r>
    </w:p>
    <w:p>
      <w:r>
        <w:rPr>
          <w:b w:val="0"/>
          <w:i w:val="0"/>
          <w:sz w:val="22"/>
        </w:rPr>
        <w:t>The analysis follows the KPI → TREND → DRIVER → RISK → ACTION framework, structured to support management decision-making rather than exploratory data-dumping.</w:t>
      </w:r>
    </w:p>
    <w:p>
      <w:r>
        <w:rPr>
          <w:b w:val="0"/>
          <w:i w:val="0"/>
          <w:sz w:val="22"/>
        </w:rPr>
        <w:t>Tools and libraries used:</w:t>
      </w:r>
    </w:p>
    <w:p>
      <w:pPr>
        <w:pStyle w:val="ListBullet"/>
      </w:pPr>
      <w:r>
        <w:rPr>
          <w:sz w:val="20"/>
        </w:rPr>
        <w:t>Python 3.x — primary analysis language</w:t>
      </w:r>
    </w:p>
    <w:p>
      <w:pPr>
        <w:pStyle w:val="ListBullet"/>
      </w:pPr>
      <w:r>
        <w:rPr>
          <w:sz w:val="20"/>
        </w:rPr>
        <w:t>pandas — data loading, transformation, and metric computation</w:t>
      </w:r>
    </w:p>
    <w:p>
      <w:pPr>
        <w:pStyle w:val="ListBullet"/>
      </w:pPr>
      <w:r>
        <w:rPr>
          <w:sz w:val="20"/>
        </w:rPr>
        <w:t>Plotly — interactive chart library</w:t>
      </w:r>
    </w:p>
    <w:p>
      <w:pPr>
        <w:pStyle w:val="ListBullet"/>
      </w:pPr>
      <w:r>
        <w:rPr>
          <w:sz w:val="20"/>
        </w:rPr>
        <w:t>Plotly Dash — multi-page interactive dashboard framework</w:t>
      </w:r>
    </w:p>
    <w:p>
      <w:pPr>
        <w:pStyle w:val="ListBullet"/>
      </w:pPr>
      <w:r>
        <w:rPr>
          <w:sz w:val="20"/>
        </w:rPr>
        <w:t>dash-bootstrap-components — professional dashboard layout</w:t>
      </w:r>
    </w:p>
    <w:p>
      <w:pPr>
        <w:pStyle w:val="ListBullet"/>
      </w:pPr>
      <w:r>
        <w:rPr>
          <w:sz w:val="20"/>
        </w:rPr>
        <w:t>python-docx — programmatic Word report generation</w:t>
      </w:r>
    </w:p>
    <w:p>
      <w:pPr>
        <w:pStyle w:val="ListBullet"/>
      </w:pPr>
      <w:r>
        <w:rPr>
          <w:sz w:val="20"/>
        </w:rPr>
        <w:t>Jupyter Notebook — documented analysis narrative</w:t>
      </w:r>
    </w:p>
    <w:p>
      <w:r>
        <w:rPr>
          <w:b w:val="0"/>
          <w:i w:val="0"/>
          <w:sz w:val="22"/>
        </w:rPr>
        <w:br/>
        <w:t>All metrics are computed at runtime from the source CSV. No values are hardcoded or estimated. Findings are labelled as FACT, INSIGHT, RISK, OPPORTUNITY, or ACTION to distinguish the nature of each observation.</w:t>
      </w:r>
    </w:p>
    <w:p>
      <w:r>
        <w:br w:type="page"/>
      </w:r>
    </w:p>
    <w:p>
      <w:pPr>
        <w:pStyle w:val="Heading1"/>
      </w:pPr>
      <w:r>
        <w:rPr>
          <w:color w:val="1F3F6E"/>
        </w:rPr>
        <w:t>4. Page 1 Findings — Business Performance</w:t>
      </w:r>
    </w:p>
    <w:p>
      <w:r>
        <w:rPr>
          <w:b w:val="0"/>
          <w:i/>
          <w:sz w:val="22"/>
        </w:rPr>
        <w:t>Business question: What is happening with overall business performance?</w:t>
      </w:r>
    </w:p>
    <w:p/>
    <w:p>
      <w:pPr>
        <w:pStyle w:val="Heading2"/>
      </w:pPr>
      <w:r>
        <w:rPr>
          <w:color w:val="1F3F6E"/>
        </w:rPr>
        <w:t>4.1 KPI Scorecard</w:t>
      </w:r>
    </w:p>
    <w:tbl>
      <w:tblPr>
        <w:tblStyle w:val="TableGrid"/>
        <w:tblW w:type="auto" w:w="0"/>
        <w:tblLook w:firstColumn="1" w:firstRow="1" w:lastColumn="0" w:lastRow="0" w:noHBand="0" w:noVBand="1" w:val="04A0"/>
      </w:tblPr>
      <w:tblGrid>
        <w:gridCol w:w="4392"/>
        <w:gridCol w:w="4392"/>
      </w:tblGrid>
      <w:tr>
        <w:tc>
          <w:tcPr>
            <w:tcW w:type="dxa" w:w="4392"/>
          </w:tcPr>
          <w:p>
            <w:r>
              <w:rPr>
                <w:b/>
              </w:rPr>
              <w:t>KPI</w:t>
            </w:r>
          </w:p>
        </w:tc>
        <w:tc>
          <w:tcPr>
            <w:tcW w:type="dxa" w:w="4392"/>
          </w:tcPr>
          <w:p>
            <w:r>
              <w:rPr>
                <w:b/>
              </w:rPr>
              <w:t>Value</w:t>
            </w:r>
          </w:p>
        </w:tc>
      </w:tr>
      <w:tr>
        <w:tc>
          <w:tcPr>
            <w:tcW w:type="dxa" w:w="4392"/>
          </w:tcPr>
          <w:p>
            <w:r>
              <w:t>Total Revenue</w:t>
            </w:r>
          </w:p>
        </w:tc>
        <w:tc>
          <w:tcPr>
            <w:tcW w:type="dxa" w:w="4392"/>
          </w:tcPr>
          <w:p>
            <w:r>
              <w:t>$2,297,200.86</w:t>
            </w:r>
          </w:p>
        </w:tc>
      </w:tr>
      <w:tr>
        <w:tc>
          <w:tcPr>
            <w:tcW w:type="dxa" w:w="4392"/>
          </w:tcPr>
          <w:p>
            <w:r>
              <w:t>Total Profit</w:t>
            </w:r>
          </w:p>
        </w:tc>
        <w:tc>
          <w:tcPr>
            <w:tcW w:type="dxa" w:w="4392"/>
          </w:tcPr>
          <w:p>
            <w:r>
              <w:t>$286,397.02</w:t>
            </w:r>
          </w:p>
        </w:tc>
      </w:tr>
      <w:tr>
        <w:tc>
          <w:tcPr>
            <w:tcW w:type="dxa" w:w="4392"/>
          </w:tcPr>
          <w:p>
            <w:r>
              <w:t>Profit Margin</w:t>
            </w:r>
          </w:p>
        </w:tc>
        <w:tc>
          <w:tcPr>
            <w:tcW w:type="dxa" w:w="4392"/>
          </w:tcPr>
          <w:p>
            <w:r>
              <w:t>12.47%</w:t>
            </w:r>
          </w:p>
        </w:tc>
      </w:tr>
      <w:tr>
        <w:tc>
          <w:tcPr>
            <w:tcW w:type="dxa" w:w="4392"/>
          </w:tcPr>
          <w:p>
            <w:r>
              <w:t>Total Orders</w:t>
            </w:r>
          </w:p>
        </w:tc>
        <w:tc>
          <w:tcPr>
            <w:tcW w:type="dxa" w:w="4392"/>
          </w:tcPr>
          <w:p>
            <w:r>
              <w:t>5,009</w:t>
            </w:r>
          </w:p>
        </w:tc>
      </w:tr>
      <w:tr>
        <w:tc>
          <w:tcPr>
            <w:tcW w:type="dxa" w:w="4392"/>
          </w:tcPr>
          <w:p>
            <w:r>
              <w:t>Total Customers</w:t>
            </w:r>
          </w:p>
        </w:tc>
        <w:tc>
          <w:tcPr>
            <w:tcW w:type="dxa" w:w="4392"/>
          </w:tcPr>
          <w:p>
            <w:r>
              <w:t>793</w:t>
            </w:r>
          </w:p>
        </w:tc>
      </w:tr>
      <w:tr>
        <w:tc>
          <w:tcPr>
            <w:tcW w:type="dxa" w:w="4392"/>
          </w:tcPr>
          <w:p>
            <w:r>
              <w:t>Avg Order Value</w:t>
            </w:r>
          </w:p>
        </w:tc>
        <w:tc>
          <w:tcPr>
            <w:tcW w:type="dxa" w:w="4392"/>
          </w:tcPr>
          <w:p>
            <w:r>
              <w:t>$458.61</w:t>
            </w:r>
          </w:p>
        </w:tc>
      </w:tr>
    </w:tbl>
    <w:p/>
    <w:p>
      <w:pPr>
        <w:pStyle w:val="Heading2"/>
      </w:pPr>
      <w:r>
        <w:rPr>
          <w:color w:val="1F3F6E"/>
        </w:rPr>
        <w:t>4.2 Findings</w:t>
      </w:r>
    </w:p>
    <w:p>
      <w:r>
        <w:rPr>
          <w:b/>
          <w:color w:val="3B82D4"/>
          <w:sz w:val="20"/>
        </w:rPr>
        <w:t xml:space="preserve">[FACT]  </w:t>
      </w:r>
      <w:r>
        <w:rPr>
          <w:sz w:val="20"/>
        </w:rPr>
        <w:t>Total revenue 2014–2017: $2,297,200.86 | Total profit: $286,397.02 | 5,009 orders from 793 customers.</w:t>
      </w:r>
    </w:p>
    <w:p>
      <w:r>
        <w:rPr>
          <w:b/>
          <w:color w:val="3B82D4"/>
          <w:sz w:val="20"/>
        </w:rPr>
        <w:t xml:space="preserve">[FACT]  </w:t>
      </w:r>
      <w:r>
        <w:rPr>
          <w:sz w:val="20"/>
        </w:rPr>
        <w:t>Overall profit margin: 12.47%.</w:t>
      </w:r>
    </w:p>
    <w:p>
      <w:r>
        <w:rPr>
          <w:b/>
          <w:color w:val="22C55E"/>
          <w:sz w:val="20"/>
        </w:rPr>
        <w:t xml:space="preserve">[INSIGHT]  </w:t>
      </w:r>
      <w:r>
        <w:rPr>
          <w:sz w:val="20"/>
        </w:rPr>
        <w:t>Strongest revenue year: 2017 ($733,215.26). Most recent YoY revenue growth: +20.4%.</w:t>
      </w:r>
    </w:p>
    <w:p>
      <w:r>
        <w:rPr>
          <w:b/>
          <w:color w:val="22C55E"/>
          <w:sz w:val="20"/>
        </w:rPr>
        <w:t xml:space="preserve">[INSIGHT]  </w:t>
      </w:r>
      <w:r>
        <w:rPr>
          <w:sz w:val="20"/>
        </w:rPr>
        <w:t>Technology is the highest-margin category (17.4%). Furniture has the lowest margin (2.5%).</w:t>
      </w:r>
    </w:p>
    <w:p>
      <w:r>
        <w:rPr>
          <w:b/>
          <w:color w:val="EF4444"/>
          <w:sz w:val="20"/>
        </w:rPr>
        <w:t xml:space="preserve">[RISK]  </w:t>
      </w:r>
      <w:r>
        <w:rPr>
          <w:sz w:val="20"/>
        </w:rPr>
        <w:t>Furniture's 2.5% margin signals structural profitability concerns. 3 sub-categories are net loss-making: Tables, Bookcases, Supplies.</w:t>
      </w:r>
    </w:p>
    <w:p>
      <w:r>
        <w:rPr>
          <w:b/>
          <w:color w:val="F97316"/>
          <w:sz w:val="20"/>
        </w:rPr>
        <w:t xml:space="preserve">[OPPORTUNITY]  </w:t>
      </w:r>
      <w:r>
        <w:rPr>
          <w:sz w:val="20"/>
        </w:rPr>
        <w:t>Technology and Office Supplies both exceed 17% margin — expanding these lines could lift overall portfolio profitability.</w:t>
      </w:r>
    </w:p>
    <w:p>
      <w:r>
        <w:rPr>
          <w:b/>
          <w:color w:val="7C3AED"/>
          <w:sz w:val="20"/>
        </w:rPr>
        <w:t xml:space="preserve">[ACTION]  </w:t>
      </w:r>
      <w:r>
        <w:rPr>
          <w:sz w:val="20"/>
        </w:rPr>
        <w:t>Conduct a pricing and discount review for Furniture — specifically Tables, Bookcases, and Supplies — to identify loss drivers before the next planning cycle.</w:t>
      </w:r>
    </w:p>
    <w:p>
      <w:r>
        <w:br w:type="page"/>
      </w:r>
    </w:p>
    <w:p>
      <w:pPr>
        <w:pStyle w:val="Heading1"/>
      </w:pPr>
      <w:r>
        <w:rPr>
          <w:color w:val="1F3F6E"/>
        </w:rPr>
        <w:t>5. Page 2 Findings — Sales &amp; Product Drivers</w:t>
      </w:r>
    </w:p>
    <w:p>
      <w:r>
        <w:rPr>
          <w:b w:val="0"/>
          <w:i/>
          <w:sz w:val="22"/>
        </w:rPr>
        <w:t>Business question: What categories, products, regions and segments drive performance?</w:t>
      </w:r>
    </w:p>
    <w:p/>
    <w:p>
      <w:pPr>
        <w:pStyle w:val="Heading2"/>
      </w:pPr>
      <w:r>
        <w:rPr>
          <w:color w:val="1F3F6E"/>
        </w:rPr>
        <w:t>5.1 Category Performance</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Category</w:t>
            </w:r>
          </w:p>
        </w:tc>
        <w:tc>
          <w:tcPr>
            <w:tcW w:type="dxa" w:w="2196"/>
          </w:tcPr>
          <w:p>
            <w:r>
              <w:rPr>
                <w:b/>
              </w:rPr>
              <w:t>Revenue</w:t>
            </w:r>
          </w:p>
        </w:tc>
        <w:tc>
          <w:tcPr>
            <w:tcW w:type="dxa" w:w="2196"/>
          </w:tcPr>
          <w:p>
            <w:r>
              <w:rPr>
                <w:b/>
              </w:rPr>
              <w:t>Profit</w:t>
            </w:r>
          </w:p>
        </w:tc>
        <w:tc>
          <w:tcPr>
            <w:tcW w:type="dxa" w:w="2196"/>
          </w:tcPr>
          <w:p>
            <w:r>
              <w:rPr>
                <w:b/>
              </w:rPr>
              <w:t>Margin %</w:t>
            </w:r>
          </w:p>
        </w:tc>
      </w:tr>
      <w:tr>
        <w:tc>
          <w:tcPr>
            <w:tcW w:type="dxa" w:w="2196"/>
          </w:tcPr>
          <w:p>
            <w:r>
              <w:t>Furniture</w:t>
            </w:r>
          </w:p>
        </w:tc>
        <w:tc>
          <w:tcPr>
            <w:tcW w:type="dxa" w:w="2196"/>
          </w:tcPr>
          <w:p>
            <w:r>
              <w:t>$741,999.80</w:t>
            </w:r>
          </w:p>
        </w:tc>
        <w:tc>
          <w:tcPr>
            <w:tcW w:type="dxa" w:w="2196"/>
          </w:tcPr>
          <w:p>
            <w:r>
              <w:t>$18,451.27</w:t>
            </w:r>
          </w:p>
        </w:tc>
        <w:tc>
          <w:tcPr>
            <w:tcW w:type="dxa" w:w="2196"/>
          </w:tcPr>
          <w:p>
            <w:r>
              <w:t>2.49%</w:t>
            </w:r>
          </w:p>
        </w:tc>
      </w:tr>
      <w:tr>
        <w:tc>
          <w:tcPr>
            <w:tcW w:type="dxa" w:w="2196"/>
          </w:tcPr>
          <w:p>
            <w:r>
              <w:t>Office Supplies</w:t>
            </w:r>
          </w:p>
        </w:tc>
        <w:tc>
          <w:tcPr>
            <w:tcW w:type="dxa" w:w="2196"/>
          </w:tcPr>
          <w:p>
            <w:r>
              <w:t>$719,047.03</w:t>
            </w:r>
          </w:p>
        </w:tc>
        <w:tc>
          <w:tcPr>
            <w:tcW w:type="dxa" w:w="2196"/>
          </w:tcPr>
          <w:p>
            <w:r>
              <w:t>$122,490.80</w:t>
            </w:r>
          </w:p>
        </w:tc>
        <w:tc>
          <w:tcPr>
            <w:tcW w:type="dxa" w:w="2196"/>
          </w:tcPr>
          <w:p>
            <w:r>
              <w:t>17.04%</w:t>
            </w:r>
          </w:p>
        </w:tc>
      </w:tr>
      <w:tr>
        <w:tc>
          <w:tcPr>
            <w:tcW w:type="dxa" w:w="2196"/>
          </w:tcPr>
          <w:p>
            <w:r>
              <w:t>Technology</w:t>
            </w:r>
          </w:p>
        </w:tc>
        <w:tc>
          <w:tcPr>
            <w:tcW w:type="dxa" w:w="2196"/>
          </w:tcPr>
          <w:p>
            <w:r>
              <w:t>$836,154.03</w:t>
            </w:r>
          </w:p>
        </w:tc>
        <w:tc>
          <w:tcPr>
            <w:tcW w:type="dxa" w:w="2196"/>
          </w:tcPr>
          <w:p>
            <w:r>
              <w:t>$145,454.95</w:t>
            </w:r>
          </w:p>
        </w:tc>
        <w:tc>
          <w:tcPr>
            <w:tcW w:type="dxa" w:w="2196"/>
          </w:tcPr>
          <w:p>
            <w:r>
              <w:t>17.40%</w:t>
            </w:r>
          </w:p>
        </w:tc>
      </w:tr>
    </w:tbl>
    <w:p/>
    <w:p>
      <w:pPr>
        <w:pStyle w:val="Heading2"/>
      </w:pPr>
      <w:r>
        <w:rPr>
          <w:color w:val="1F3F6E"/>
        </w:rPr>
        <w:t>5.2 Regional Performance</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Region</w:t>
            </w:r>
          </w:p>
        </w:tc>
        <w:tc>
          <w:tcPr>
            <w:tcW w:type="dxa" w:w="2196"/>
          </w:tcPr>
          <w:p>
            <w:r>
              <w:rPr>
                <w:b/>
              </w:rPr>
              <w:t>Revenue</w:t>
            </w:r>
          </w:p>
        </w:tc>
        <w:tc>
          <w:tcPr>
            <w:tcW w:type="dxa" w:w="2196"/>
          </w:tcPr>
          <w:p>
            <w:r>
              <w:rPr>
                <w:b/>
              </w:rPr>
              <w:t>Profit</w:t>
            </w:r>
          </w:p>
        </w:tc>
        <w:tc>
          <w:tcPr>
            <w:tcW w:type="dxa" w:w="2196"/>
          </w:tcPr>
          <w:p>
            <w:r>
              <w:rPr>
                <w:b/>
              </w:rPr>
              <w:t>Margin %</w:t>
            </w:r>
          </w:p>
        </w:tc>
      </w:tr>
      <w:tr>
        <w:tc>
          <w:tcPr>
            <w:tcW w:type="dxa" w:w="2196"/>
          </w:tcPr>
          <w:p>
            <w:r>
              <w:t>Central</w:t>
            </w:r>
          </w:p>
        </w:tc>
        <w:tc>
          <w:tcPr>
            <w:tcW w:type="dxa" w:w="2196"/>
          </w:tcPr>
          <w:p>
            <w:r>
              <w:t>$501,239.89</w:t>
            </w:r>
          </w:p>
        </w:tc>
        <w:tc>
          <w:tcPr>
            <w:tcW w:type="dxa" w:w="2196"/>
          </w:tcPr>
          <w:p>
            <w:r>
              <w:t>$39,706.36</w:t>
            </w:r>
          </w:p>
        </w:tc>
        <w:tc>
          <w:tcPr>
            <w:tcW w:type="dxa" w:w="2196"/>
          </w:tcPr>
          <w:p>
            <w:r>
              <w:t>7.92%</w:t>
            </w:r>
          </w:p>
        </w:tc>
      </w:tr>
      <w:tr>
        <w:tc>
          <w:tcPr>
            <w:tcW w:type="dxa" w:w="2196"/>
          </w:tcPr>
          <w:p>
            <w:r>
              <w:t>East</w:t>
            </w:r>
          </w:p>
        </w:tc>
        <w:tc>
          <w:tcPr>
            <w:tcW w:type="dxa" w:w="2196"/>
          </w:tcPr>
          <w:p>
            <w:r>
              <w:t>$678,781.24</w:t>
            </w:r>
          </w:p>
        </w:tc>
        <w:tc>
          <w:tcPr>
            <w:tcW w:type="dxa" w:w="2196"/>
          </w:tcPr>
          <w:p>
            <w:r>
              <w:t>$91,522.78</w:t>
            </w:r>
          </w:p>
        </w:tc>
        <w:tc>
          <w:tcPr>
            <w:tcW w:type="dxa" w:w="2196"/>
          </w:tcPr>
          <w:p>
            <w:r>
              <w:t>13.48%</w:t>
            </w:r>
          </w:p>
        </w:tc>
      </w:tr>
      <w:tr>
        <w:tc>
          <w:tcPr>
            <w:tcW w:type="dxa" w:w="2196"/>
          </w:tcPr>
          <w:p>
            <w:r>
              <w:t>South</w:t>
            </w:r>
          </w:p>
        </w:tc>
        <w:tc>
          <w:tcPr>
            <w:tcW w:type="dxa" w:w="2196"/>
          </w:tcPr>
          <w:p>
            <w:r>
              <w:t>$391,721.91</w:t>
            </w:r>
          </w:p>
        </w:tc>
        <w:tc>
          <w:tcPr>
            <w:tcW w:type="dxa" w:w="2196"/>
          </w:tcPr>
          <w:p>
            <w:r>
              <w:t>$46,749.43</w:t>
            </w:r>
          </w:p>
        </w:tc>
        <w:tc>
          <w:tcPr>
            <w:tcW w:type="dxa" w:w="2196"/>
          </w:tcPr>
          <w:p>
            <w:r>
              <w:t>11.93%</w:t>
            </w:r>
          </w:p>
        </w:tc>
      </w:tr>
      <w:tr>
        <w:tc>
          <w:tcPr>
            <w:tcW w:type="dxa" w:w="2196"/>
          </w:tcPr>
          <w:p>
            <w:r>
              <w:t>West</w:t>
            </w:r>
          </w:p>
        </w:tc>
        <w:tc>
          <w:tcPr>
            <w:tcW w:type="dxa" w:w="2196"/>
          </w:tcPr>
          <w:p>
            <w:r>
              <w:t>$725,457.82</w:t>
            </w:r>
          </w:p>
        </w:tc>
        <w:tc>
          <w:tcPr>
            <w:tcW w:type="dxa" w:w="2196"/>
          </w:tcPr>
          <w:p>
            <w:r>
              <w:t>$108,418.45</w:t>
            </w:r>
          </w:p>
        </w:tc>
        <w:tc>
          <w:tcPr>
            <w:tcW w:type="dxa" w:w="2196"/>
          </w:tcPr>
          <w:p>
            <w:r>
              <w:t>14.94%</w:t>
            </w:r>
          </w:p>
        </w:tc>
      </w:tr>
    </w:tbl>
    <w:p/>
    <w:p>
      <w:pPr>
        <w:pStyle w:val="Heading2"/>
      </w:pPr>
      <w:r>
        <w:rPr>
          <w:color w:val="1F3F6E"/>
        </w:rPr>
        <w:t>5.3 Findings</w:t>
      </w:r>
    </w:p>
    <w:p>
      <w:r>
        <w:rPr>
          <w:b/>
          <w:color w:val="3B82D4"/>
          <w:sz w:val="20"/>
        </w:rPr>
        <w:t xml:space="preserve">[FACT]  </w:t>
      </w:r>
      <w:r>
        <w:rPr>
          <w:sz w:val="20"/>
        </w:rPr>
        <w:t>Technology leads in revenue ($836,154.03) and also carries the highest margin (17.4%).</w:t>
      </w:r>
    </w:p>
    <w:p>
      <w:r>
        <w:rPr>
          <w:b/>
          <w:color w:val="3B82D4"/>
          <w:sz w:val="20"/>
        </w:rPr>
        <w:t xml:space="preserve">[FACT]  </w:t>
      </w:r>
      <w:r>
        <w:rPr>
          <w:sz w:val="20"/>
        </w:rPr>
        <w:t>West region delivers the highest profit margin (14.9%). Central region has the lowest (7.9%).</w:t>
      </w:r>
    </w:p>
    <w:p>
      <w:r>
        <w:rPr>
          <w:b/>
          <w:color w:val="22C55E"/>
          <w:sz w:val="20"/>
        </w:rPr>
        <w:t xml:space="preserve">[INSIGHT]  </w:t>
      </w:r>
      <w:r>
        <w:rPr>
          <w:sz w:val="20"/>
        </w:rPr>
        <w:t>High-revenue products are not always the same as high-profit products. Products with large sales volumes but thin or negative margins represent a pricing risk.</w:t>
      </w:r>
    </w:p>
    <w:p>
      <w:r>
        <w:rPr>
          <w:b/>
          <w:color w:val="EF4444"/>
          <w:sz w:val="20"/>
        </w:rPr>
        <w:t xml:space="preserve">[RISK]  </w:t>
      </w:r>
      <w:r>
        <w:rPr>
          <w:sz w:val="20"/>
        </w:rPr>
        <w:t>Central region's 7.9% margin is the lowest across all regions and may reflect product mix or discount concentration.</w:t>
      </w:r>
    </w:p>
    <w:p>
      <w:r>
        <w:rPr>
          <w:b/>
          <w:color w:val="F97316"/>
          <w:sz w:val="20"/>
        </w:rPr>
        <w:t xml:space="preserve">[OPPORTUNITY]  </w:t>
      </w:r>
      <w:r>
        <w:rPr>
          <w:sz w:val="20"/>
        </w:rPr>
        <w:t>West region's strong margins suggest that its product mix or pricing strategy could inform improvements in other regions.</w:t>
      </w:r>
    </w:p>
    <w:p>
      <w:r>
        <w:br w:type="page"/>
      </w:r>
    </w:p>
    <w:p>
      <w:pPr>
        <w:pStyle w:val="Heading1"/>
      </w:pPr>
      <w:r>
        <w:rPr>
          <w:color w:val="1F3F6E"/>
        </w:rPr>
        <w:t>6. Page 3 Findings — Customer &amp; Risk Analysis</w:t>
      </w:r>
    </w:p>
    <w:p>
      <w:r>
        <w:rPr>
          <w:b w:val="0"/>
          <w:i/>
          <w:sz w:val="22"/>
        </w:rPr>
        <w:t>Business question: Who are key customers, and where are the profitability risks?</w:t>
      </w:r>
    </w:p>
    <w:p/>
    <w:p>
      <w:pPr>
        <w:pStyle w:val="Heading2"/>
      </w:pPr>
      <w:r>
        <w:rPr>
          <w:color w:val="1F3F6E"/>
        </w:rPr>
        <w:t>6.1 Segment Performance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Segment</w:t>
            </w:r>
          </w:p>
        </w:tc>
        <w:tc>
          <w:tcPr>
            <w:tcW w:type="dxa" w:w="1757"/>
          </w:tcPr>
          <w:p>
            <w:r>
              <w:rPr>
                <w:b/>
              </w:rPr>
              <w:t>Revenue</w:t>
            </w:r>
          </w:p>
        </w:tc>
        <w:tc>
          <w:tcPr>
            <w:tcW w:type="dxa" w:w="1757"/>
          </w:tcPr>
          <w:p>
            <w:r>
              <w:rPr>
                <w:b/>
              </w:rPr>
              <w:t>Profit</w:t>
            </w:r>
          </w:p>
        </w:tc>
        <w:tc>
          <w:tcPr>
            <w:tcW w:type="dxa" w:w="1757"/>
          </w:tcPr>
          <w:p>
            <w:r>
              <w:rPr>
                <w:b/>
              </w:rPr>
              <w:t>Orders</w:t>
            </w:r>
          </w:p>
        </w:tc>
        <w:tc>
          <w:tcPr>
            <w:tcW w:type="dxa" w:w="1757"/>
          </w:tcPr>
          <w:p>
            <w:r>
              <w:rPr>
                <w:b/>
              </w:rPr>
              <w:t>Margin %</w:t>
            </w:r>
          </w:p>
        </w:tc>
      </w:tr>
      <w:tr>
        <w:tc>
          <w:tcPr>
            <w:tcW w:type="dxa" w:w="1757"/>
          </w:tcPr>
          <w:p>
            <w:r>
              <w:t>Consumer</w:t>
            </w:r>
          </w:p>
        </w:tc>
        <w:tc>
          <w:tcPr>
            <w:tcW w:type="dxa" w:w="1757"/>
          </w:tcPr>
          <w:p>
            <w:r>
              <w:t>$1,161,401.34</w:t>
            </w:r>
          </w:p>
        </w:tc>
        <w:tc>
          <w:tcPr>
            <w:tcW w:type="dxa" w:w="1757"/>
          </w:tcPr>
          <w:p>
            <w:r>
              <w:t>$134,119.21</w:t>
            </w:r>
          </w:p>
        </w:tc>
        <w:tc>
          <w:tcPr>
            <w:tcW w:type="dxa" w:w="1757"/>
          </w:tcPr>
          <w:p>
            <w:r>
              <w:t>2,586</w:t>
            </w:r>
          </w:p>
        </w:tc>
        <w:tc>
          <w:tcPr>
            <w:tcW w:type="dxa" w:w="1757"/>
          </w:tcPr>
          <w:p>
            <w:r>
              <w:t>11.55%</w:t>
            </w:r>
          </w:p>
        </w:tc>
      </w:tr>
      <w:tr>
        <w:tc>
          <w:tcPr>
            <w:tcW w:type="dxa" w:w="1757"/>
          </w:tcPr>
          <w:p>
            <w:r>
              <w:t>Corporate</w:t>
            </w:r>
          </w:p>
        </w:tc>
        <w:tc>
          <w:tcPr>
            <w:tcW w:type="dxa" w:w="1757"/>
          </w:tcPr>
          <w:p>
            <w:r>
              <w:t>$706,146.37</w:t>
            </w:r>
          </w:p>
        </w:tc>
        <w:tc>
          <w:tcPr>
            <w:tcW w:type="dxa" w:w="1757"/>
          </w:tcPr>
          <w:p>
            <w:r>
              <w:t>$91,979.13</w:t>
            </w:r>
          </w:p>
        </w:tc>
        <w:tc>
          <w:tcPr>
            <w:tcW w:type="dxa" w:w="1757"/>
          </w:tcPr>
          <w:p>
            <w:r>
              <w:t>1,514</w:t>
            </w:r>
          </w:p>
        </w:tc>
        <w:tc>
          <w:tcPr>
            <w:tcW w:type="dxa" w:w="1757"/>
          </w:tcPr>
          <w:p>
            <w:r>
              <w:t>13.03%</w:t>
            </w:r>
          </w:p>
        </w:tc>
      </w:tr>
      <w:tr>
        <w:tc>
          <w:tcPr>
            <w:tcW w:type="dxa" w:w="1757"/>
          </w:tcPr>
          <w:p>
            <w:r>
              <w:t>Home Office</w:t>
            </w:r>
          </w:p>
        </w:tc>
        <w:tc>
          <w:tcPr>
            <w:tcW w:type="dxa" w:w="1757"/>
          </w:tcPr>
          <w:p>
            <w:r>
              <w:t>$429,653.15</w:t>
            </w:r>
          </w:p>
        </w:tc>
        <w:tc>
          <w:tcPr>
            <w:tcW w:type="dxa" w:w="1757"/>
          </w:tcPr>
          <w:p>
            <w:r>
              <w:t>$60,298.68</w:t>
            </w:r>
          </w:p>
        </w:tc>
        <w:tc>
          <w:tcPr>
            <w:tcW w:type="dxa" w:w="1757"/>
          </w:tcPr>
          <w:p>
            <w:r>
              <w:t>909</w:t>
            </w:r>
          </w:p>
        </w:tc>
        <w:tc>
          <w:tcPr>
            <w:tcW w:type="dxa" w:w="1757"/>
          </w:tcPr>
          <w:p>
            <w:r>
              <w:t>14.03%</w:t>
            </w:r>
          </w:p>
        </w:tc>
      </w:tr>
    </w:tbl>
    <w:p/>
    <w:p>
      <w:pPr>
        <w:pStyle w:val="Heading2"/>
      </w:pPr>
      <w:r>
        <w:rPr>
          <w:color w:val="1F3F6E"/>
        </w:rPr>
        <w:t>6.2 Loss-making Sub-Categories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Sub-Category</w:t>
            </w:r>
          </w:p>
        </w:tc>
        <w:tc>
          <w:tcPr>
            <w:tcW w:type="dxa" w:w="2928"/>
          </w:tcPr>
          <w:p>
            <w:r>
              <w:rPr>
                <w:b/>
              </w:rPr>
              <w:t>Revenue</w:t>
            </w:r>
          </w:p>
        </w:tc>
        <w:tc>
          <w:tcPr>
            <w:tcW w:type="dxa" w:w="2928"/>
          </w:tcPr>
          <w:p>
            <w:r>
              <w:rPr>
                <w:b/>
              </w:rPr>
              <w:t>Profit</w:t>
            </w:r>
          </w:p>
        </w:tc>
      </w:tr>
      <w:tr>
        <w:tc>
          <w:tcPr>
            <w:tcW w:type="dxa" w:w="2928"/>
          </w:tcPr>
          <w:p>
            <w:r>
              <w:t>Tables</w:t>
            </w:r>
          </w:p>
        </w:tc>
        <w:tc>
          <w:tcPr>
            <w:tcW w:type="dxa" w:w="2928"/>
          </w:tcPr>
          <w:p>
            <w:r>
              <w:t>$206,965.53</w:t>
            </w:r>
          </w:p>
        </w:tc>
        <w:tc>
          <w:tcPr>
            <w:tcW w:type="dxa" w:w="2928"/>
          </w:tcPr>
          <w:p>
            <w:r>
              <w:t>$-17,725.48</w:t>
            </w:r>
          </w:p>
        </w:tc>
      </w:tr>
      <w:tr>
        <w:tc>
          <w:tcPr>
            <w:tcW w:type="dxa" w:w="2928"/>
          </w:tcPr>
          <w:p>
            <w:r>
              <w:t>Bookcases</w:t>
            </w:r>
          </w:p>
        </w:tc>
        <w:tc>
          <w:tcPr>
            <w:tcW w:type="dxa" w:w="2928"/>
          </w:tcPr>
          <w:p>
            <w:r>
              <w:t>$114,880.00</w:t>
            </w:r>
          </w:p>
        </w:tc>
        <w:tc>
          <w:tcPr>
            <w:tcW w:type="dxa" w:w="2928"/>
          </w:tcPr>
          <w:p>
            <w:r>
              <w:t>$-3,472.56</w:t>
            </w:r>
          </w:p>
        </w:tc>
      </w:tr>
      <w:tr>
        <w:tc>
          <w:tcPr>
            <w:tcW w:type="dxa" w:w="2928"/>
          </w:tcPr>
          <w:p>
            <w:r>
              <w:t>Supplies</w:t>
            </w:r>
          </w:p>
        </w:tc>
        <w:tc>
          <w:tcPr>
            <w:tcW w:type="dxa" w:w="2928"/>
          </w:tcPr>
          <w:p>
            <w:r>
              <w:t>$46,673.54</w:t>
            </w:r>
          </w:p>
        </w:tc>
        <w:tc>
          <w:tcPr>
            <w:tcW w:type="dxa" w:w="2928"/>
          </w:tcPr>
          <w:p>
            <w:r>
              <w:t>$-1,189.10</w:t>
            </w:r>
          </w:p>
        </w:tc>
      </w:tr>
    </w:tbl>
    <w:p/>
    <w:p>
      <w:pPr>
        <w:pStyle w:val="Heading2"/>
      </w:pPr>
      <w:r>
        <w:rPr>
          <w:color w:val="1F3F6E"/>
        </w:rPr>
        <w:t>6.3 Findings</w:t>
      </w:r>
    </w:p>
    <w:p>
      <w:r>
        <w:rPr>
          <w:b/>
          <w:color w:val="3B82D4"/>
          <w:sz w:val="20"/>
        </w:rPr>
        <w:t xml:space="preserve">[FACT]  </w:t>
      </w:r>
      <w:r>
        <w:rPr>
          <w:sz w:val="20"/>
        </w:rPr>
        <w:t>3 sub-categories are net loss-making across 2014–2017: Tables, Bookcases, Supplies. Tables is the largest contributor at $-17,725.48.</w:t>
      </w:r>
    </w:p>
    <w:p>
      <w:r>
        <w:rPr>
          <w:b/>
          <w:color w:val="22C55E"/>
          <w:sz w:val="20"/>
        </w:rPr>
        <w:t xml:space="preserve">[INSIGHT]  </w:t>
      </w:r>
      <w:r>
        <w:rPr>
          <w:sz w:val="20"/>
        </w:rPr>
        <w:t>Orders with discount ≥ 30% show an average profit of $-97.18, compared to $49.04 for orders with lower discounts. This is an observed association — not an established causal relationship.</w:t>
      </w:r>
    </w:p>
    <w:p>
      <w:r>
        <w:rPr>
          <w:b/>
          <w:color w:val="EF4444"/>
          <w:sz w:val="20"/>
        </w:rPr>
        <w:t xml:space="preserve">[RISK]  </w:t>
      </w:r>
      <w:r>
        <w:rPr>
          <w:sz w:val="20"/>
        </w:rPr>
        <w:t>Central region has the lowest profit margin (7.9%), indicating potential pricing, product mix, or cost issues requiring investigation.</w:t>
      </w:r>
    </w:p>
    <w:p>
      <w:r>
        <w:rPr>
          <w:b/>
          <w:color w:val="F97316"/>
          <w:sz w:val="20"/>
        </w:rPr>
        <w:t xml:space="preserve">[OPPORTUNITY]  </w:t>
      </w:r>
      <w:r>
        <w:rPr>
          <w:sz w:val="20"/>
        </w:rPr>
        <w:t>Home Office is the highest-margin segment (14.0%). Targeted retention and upsell efforts for this segment may improve overall profitability.</w:t>
      </w:r>
    </w:p>
    <w:p>
      <w:r>
        <w:rPr>
          <w:b/>
          <w:color w:val="F97316"/>
          <w:sz w:val="20"/>
        </w:rPr>
        <w:t xml:space="preserve">[OPPORTUNITY]  </w:t>
      </w:r>
      <w:r>
        <w:rPr>
          <w:sz w:val="20"/>
        </w:rPr>
        <w:t>Consumer segment generates the highest absolute revenue. Loyalty programmes or repeat-order incentives could improve revenue retention.</w:t>
      </w:r>
    </w:p>
    <w:p>
      <w:r>
        <w:rPr>
          <w:b/>
          <w:color w:val="7C3AED"/>
          <w:sz w:val="20"/>
        </w:rPr>
        <w:t xml:space="preserve">[ACTION]  </w:t>
      </w:r>
      <w:r>
        <w:rPr>
          <w:sz w:val="20"/>
        </w:rPr>
        <w:t>Prioritise a cost and discount audit for 'Tables' and other loss-making sub-categories to determine whether losses are driven by discounting policy, unit costs, or returns.</w:t>
      </w:r>
    </w:p>
    <w:p>
      <w:r>
        <w:rPr>
          <w:b/>
          <w:color w:val="7C3AED"/>
          <w:sz w:val="20"/>
        </w:rPr>
        <w:t xml:space="preserve">[ACTION]  </w:t>
      </w:r>
      <w:r>
        <w:rPr>
          <w:sz w:val="20"/>
        </w:rPr>
        <w:t>Review the Central region's pricing strategy and product mix. Consider whether high-discount offers in this region are driving volume without margin.</w:t>
      </w:r>
    </w:p>
    <w:p>
      <w:r>
        <w:br w:type="page"/>
      </w:r>
    </w:p>
    <w:p>
      <w:pPr>
        <w:pStyle w:val="Heading1"/>
      </w:pPr>
      <w:r>
        <w:rPr>
          <w:color w:val="1F3F6E"/>
        </w:rPr>
        <w:t>7. Limitations &amp; Caveats</w:t>
      </w:r>
    </w:p>
    <w:p>
      <w:r>
        <w:rPr>
          <w:b/>
          <w:i w:val="0"/>
          <w:sz w:val="22"/>
        </w:rPr>
        <w:t>Association is not causation.</w:t>
      </w:r>
    </w:p>
    <w:p>
      <w:r>
        <w:rPr>
          <w:b w:val="0"/>
          <w:i w:val="0"/>
          <w:sz w:val="22"/>
        </w:rPr>
        <w:t>Observed associations between variables — such as the relationship between discount rate and profit per transaction — do not establish causal direction. Other factors including product cost, order size, returns, shipping class, and customer segment may explain or partially explain observed patterns. Business decisions should be validated with additional operational data and controlled analysis before implementation.</w:t>
      </w:r>
    </w:p>
    <w:p/>
    <w:p>
      <w:r>
        <w:rPr>
          <w:b/>
          <w:i w:val="0"/>
          <w:sz w:val="22"/>
        </w:rPr>
        <w:t>Dataset scope.</w:t>
      </w:r>
    </w:p>
    <w:p>
      <w:r>
        <w:rPr>
          <w:b w:val="0"/>
          <w:i w:val="0"/>
          <w:sz w:val="22"/>
        </w:rPr>
        <w:t>The dataset covers a single retailer operating in the United States across four years (2014–2017). Findings may not generalise to other markets, time periods, or business models.</w:t>
      </w:r>
    </w:p>
    <w:p/>
    <w:p>
      <w:r>
        <w:rPr>
          <w:b/>
          <w:i w:val="0"/>
          <w:sz w:val="22"/>
        </w:rPr>
        <w:t>Aggregation effects.</w:t>
      </w:r>
    </w:p>
    <w:p>
      <w:r>
        <w:rPr>
          <w:b w:val="0"/>
          <w:i w:val="0"/>
          <w:sz w:val="22"/>
        </w:rPr>
        <w:t>Regional and segment-level averages may mask wide variation within those groups. Sub-group analysis (e.g., by city, state, or product line within a region) is recommended before operational decisions are made.</w:t>
      </w:r>
    </w:p>
    <w:p>
      <w:r>
        <w:br w:type="page"/>
      </w:r>
    </w:p>
    <w:p>
      <w:pPr>
        <w:pStyle w:val="Heading1"/>
      </w:pPr>
      <w:r>
        <w:rPr>
          <w:color w:val="1F3F6E"/>
        </w:rPr>
        <w:t>8. Recommendations</w:t>
      </w:r>
    </w:p>
    <w:p>
      <w:r>
        <w:rPr>
          <w:b w:val="0"/>
          <w:i/>
          <w:sz w:val="22"/>
        </w:rPr>
        <w:t>The following recommendations are derived from dataset findings only.</w:t>
      </w:r>
    </w:p>
    <w:p/>
    <w:p>
      <w:pPr>
        <w:pStyle w:val="ListNumber"/>
      </w:pPr>
      <w:r>
        <w:rPr>
          <w:b/>
          <w:sz w:val="22"/>
        </w:rPr>
        <w:t xml:space="preserve">Discount policy audit for loss-making sub-categories: </w:t>
      </w:r>
      <w:r>
        <w:rPr>
          <w:sz w:val="22"/>
        </w:rPr>
        <w:t>Tables, Bookcases, and Supplies are net loss-making. A structured review of discount authorisation thresholds for these sub-categories is the highest-priority action to improve profit.</w:t>
      </w:r>
    </w:p>
    <w:p>
      <w:pPr>
        <w:pStyle w:val="ListNumber"/>
      </w:pPr>
      <w:r>
        <w:rPr>
          <w:b/>
          <w:sz w:val="22"/>
        </w:rPr>
        <w:t xml:space="preserve">Regional strategy review for Central region: </w:t>
      </w:r>
      <w:r>
        <w:rPr>
          <w:sz w:val="22"/>
        </w:rPr>
        <w:t>Central region's 7.9% margin is the lowest across all regions. A product mix and pricing review specific to Central is recommended.</w:t>
      </w:r>
    </w:p>
    <w:p>
      <w:pPr>
        <w:pStyle w:val="ListNumber"/>
      </w:pPr>
      <w:r>
        <w:rPr>
          <w:b/>
          <w:sz w:val="22"/>
        </w:rPr>
        <w:t xml:space="preserve">Grow Technology and Office Supplies: </w:t>
      </w:r>
      <w:r>
        <w:rPr>
          <w:sz w:val="22"/>
        </w:rPr>
        <w:t>Both categories sustain margins above 17%. Allocating additional marketing or inventory investment to these categories is likely to yield higher returns than equivalent investment in Furniture.</w:t>
      </w:r>
    </w:p>
    <w:p>
      <w:pPr>
        <w:pStyle w:val="ListNumber"/>
      </w:pPr>
      <w:r>
        <w:rPr>
          <w:b/>
          <w:sz w:val="22"/>
        </w:rPr>
        <w:t xml:space="preserve">Leverage Home Office segment efficiency: </w:t>
      </w:r>
      <w:r>
        <w:rPr>
          <w:sz w:val="22"/>
        </w:rPr>
        <w:t>Home Office delivers 14.0% margin with fewer customers. Targeted acquisition in this segment may be more margin-efficient than broad Consumer campaigns.</w:t>
      </w:r>
    </w:p>
    <w:p>
      <w:pPr>
        <w:pStyle w:val="ListNumber"/>
      </w:pPr>
      <w:r>
        <w:rPr>
          <w:b/>
          <w:sz w:val="22"/>
        </w:rPr>
        <w:t xml:space="preserve">Monitor top customer concentration: </w:t>
      </w:r>
      <w:r>
        <w:rPr>
          <w:sz w:val="22"/>
        </w:rPr>
        <w:t>Revenue from top-10 customers represents a concentration risk. Building broader customer relationships across the portfolio would reduce exposure to churn.</w:t>
      </w:r>
    </w:p>
    <w:p>
      <w:r>
        <w:br w:type="page"/>
      </w:r>
    </w:p>
    <w:p>
      <w:pPr>
        <w:pStyle w:val="Heading1"/>
      </w:pPr>
      <w:r>
        <w:rPr>
          <w:color w:val="1F3F6E"/>
        </w:rPr>
        <w:t>Appendix</w:t>
      </w:r>
    </w:p>
    <w:p>
      <w:pPr>
        <w:pStyle w:val="Heading2"/>
      </w:pPr>
      <w:r>
        <w:rPr>
          <w:color w:val="1F3F6E"/>
        </w:rPr>
        <w:t>A. Sub-Category Reference</w:t>
      </w:r>
    </w:p>
    <w:p>
      <w:r>
        <w:rPr>
          <w:sz w:val="20"/>
        </w:rPr>
        <w:t>Accessories, Appliances, Art, Binders, Bookcases, Chairs, Copiers, Envelopes, Fasteners, Furnishings, Labels, Machines, Paper, Phones, Storage, Supplies, Tables</w:t>
      </w:r>
    </w:p>
    <w:p/>
    <w:p>
      <w:pPr>
        <w:pStyle w:val="Heading2"/>
      </w:pPr>
      <w:r>
        <w:rPr>
          <w:color w:val="1F3F6E"/>
        </w:rPr>
        <w:t>B. Dataset Column Reference</w:t>
      </w:r>
    </w:p>
    <w:tbl>
      <w:tblPr>
        <w:tblStyle w:val="TableGrid"/>
        <w:tblW w:type="auto" w:w="0"/>
        <w:tblLook w:firstColumn="1" w:firstRow="1" w:lastColumn="0" w:lastRow="0" w:noHBand="0" w:noVBand="1" w:val="04A0"/>
      </w:tblPr>
      <w:tblGrid>
        <w:gridCol w:w="4392"/>
        <w:gridCol w:w="4392"/>
      </w:tblGrid>
      <w:tr>
        <w:tc>
          <w:tcPr>
            <w:tcW w:type="dxa" w:w="4392"/>
          </w:tcPr>
          <w:p>
            <w:r>
              <w:rPr>
                <w:b/>
              </w:rPr>
              <w:t>Column</w:t>
            </w:r>
          </w:p>
        </w:tc>
        <w:tc>
          <w:tcPr>
            <w:tcW w:type="dxa" w:w="4392"/>
          </w:tcPr>
          <w:p>
            <w:r>
              <w:rPr>
                <w:b/>
              </w:rPr>
              <w:t>Description</w:t>
            </w:r>
          </w:p>
        </w:tc>
      </w:tr>
      <w:tr>
        <w:tc>
          <w:tcPr>
            <w:tcW w:type="dxa" w:w="4392"/>
          </w:tcPr>
          <w:p>
            <w:r>
              <w:t>Row ID</w:t>
            </w:r>
          </w:p>
        </w:tc>
        <w:tc>
          <w:tcPr>
            <w:tcW w:type="dxa" w:w="4392"/>
          </w:tcPr>
          <w:p>
            <w:r>
              <w:t>Unique row identifier</w:t>
            </w:r>
          </w:p>
        </w:tc>
      </w:tr>
      <w:tr>
        <w:tc>
          <w:tcPr>
            <w:tcW w:type="dxa" w:w="4392"/>
          </w:tcPr>
          <w:p>
            <w:r>
              <w:t>Order ID</w:t>
            </w:r>
          </w:p>
        </w:tc>
        <w:tc>
          <w:tcPr>
            <w:tcW w:type="dxa" w:w="4392"/>
          </w:tcPr>
          <w:p>
            <w:r>
              <w:t>Unique order identifier (multiple rows per order)</w:t>
            </w:r>
          </w:p>
        </w:tc>
      </w:tr>
      <w:tr>
        <w:tc>
          <w:tcPr>
            <w:tcW w:type="dxa" w:w="4392"/>
          </w:tcPr>
          <w:p>
            <w:r>
              <w:t>Order Date</w:t>
            </w:r>
          </w:p>
        </w:tc>
        <w:tc>
          <w:tcPr>
            <w:tcW w:type="dxa" w:w="4392"/>
          </w:tcPr>
          <w:p>
            <w:r>
              <w:t>Date the order was placed</w:t>
            </w:r>
          </w:p>
        </w:tc>
      </w:tr>
      <w:tr>
        <w:tc>
          <w:tcPr>
            <w:tcW w:type="dxa" w:w="4392"/>
          </w:tcPr>
          <w:p>
            <w:r>
              <w:t>Ship Date</w:t>
            </w:r>
          </w:p>
        </w:tc>
        <w:tc>
          <w:tcPr>
            <w:tcW w:type="dxa" w:w="4392"/>
          </w:tcPr>
          <w:p>
            <w:r>
              <w:t>Date the order was shipped</w:t>
            </w:r>
          </w:p>
        </w:tc>
      </w:tr>
      <w:tr>
        <w:tc>
          <w:tcPr>
            <w:tcW w:type="dxa" w:w="4392"/>
          </w:tcPr>
          <w:p>
            <w:r>
              <w:t>Ship Mode</w:t>
            </w:r>
          </w:p>
        </w:tc>
        <w:tc>
          <w:tcPr>
            <w:tcW w:type="dxa" w:w="4392"/>
          </w:tcPr>
          <w:p>
            <w:r>
              <w:t>Shipping class selected</w:t>
            </w:r>
          </w:p>
        </w:tc>
      </w:tr>
      <w:tr>
        <w:tc>
          <w:tcPr>
            <w:tcW w:type="dxa" w:w="4392"/>
          </w:tcPr>
          <w:p>
            <w:r>
              <w:t>Customer ID</w:t>
            </w:r>
          </w:p>
        </w:tc>
        <w:tc>
          <w:tcPr>
            <w:tcW w:type="dxa" w:w="4392"/>
          </w:tcPr>
          <w:p>
            <w:r>
              <w:t>Unique customer identifier</w:t>
            </w:r>
          </w:p>
        </w:tc>
      </w:tr>
      <w:tr>
        <w:tc>
          <w:tcPr>
            <w:tcW w:type="dxa" w:w="4392"/>
          </w:tcPr>
          <w:p>
            <w:r>
              <w:t>Customer Name</w:t>
            </w:r>
          </w:p>
        </w:tc>
        <w:tc>
          <w:tcPr>
            <w:tcW w:type="dxa" w:w="4392"/>
          </w:tcPr>
          <w:p>
            <w:r>
              <w:t>Customer full name</w:t>
            </w:r>
          </w:p>
        </w:tc>
      </w:tr>
      <w:tr>
        <w:tc>
          <w:tcPr>
            <w:tcW w:type="dxa" w:w="4392"/>
          </w:tcPr>
          <w:p>
            <w:r>
              <w:t>Segment</w:t>
            </w:r>
          </w:p>
        </w:tc>
        <w:tc>
          <w:tcPr>
            <w:tcW w:type="dxa" w:w="4392"/>
          </w:tcPr>
          <w:p>
            <w:r>
              <w:t>Customer segment: Consumer, Corporate, Home Office</w:t>
            </w:r>
          </w:p>
        </w:tc>
      </w:tr>
      <w:tr>
        <w:tc>
          <w:tcPr>
            <w:tcW w:type="dxa" w:w="4392"/>
          </w:tcPr>
          <w:p>
            <w:r>
              <w:t>Country</w:t>
            </w:r>
          </w:p>
        </w:tc>
        <w:tc>
          <w:tcPr>
            <w:tcW w:type="dxa" w:w="4392"/>
          </w:tcPr>
          <w:p>
            <w:r>
              <w:t>Country of order (United States)</w:t>
            </w:r>
          </w:p>
        </w:tc>
      </w:tr>
      <w:tr>
        <w:tc>
          <w:tcPr>
            <w:tcW w:type="dxa" w:w="4392"/>
          </w:tcPr>
          <w:p>
            <w:r>
              <w:t>City</w:t>
            </w:r>
          </w:p>
        </w:tc>
        <w:tc>
          <w:tcPr>
            <w:tcW w:type="dxa" w:w="4392"/>
          </w:tcPr>
          <w:p>
            <w:r>
              <w:t>City of delivery</w:t>
            </w:r>
          </w:p>
        </w:tc>
      </w:tr>
      <w:tr>
        <w:tc>
          <w:tcPr>
            <w:tcW w:type="dxa" w:w="4392"/>
          </w:tcPr>
          <w:p>
            <w:r>
              <w:t>State</w:t>
            </w:r>
          </w:p>
        </w:tc>
        <w:tc>
          <w:tcPr>
            <w:tcW w:type="dxa" w:w="4392"/>
          </w:tcPr>
          <w:p>
            <w:r>
              <w:t>State of delivery</w:t>
            </w:r>
          </w:p>
        </w:tc>
      </w:tr>
      <w:tr>
        <w:tc>
          <w:tcPr>
            <w:tcW w:type="dxa" w:w="4392"/>
          </w:tcPr>
          <w:p>
            <w:r>
              <w:t>Postal Code</w:t>
            </w:r>
          </w:p>
        </w:tc>
        <w:tc>
          <w:tcPr>
            <w:tcW w:type="dxa" w:w="4392"/>
          </w:tcPr>
          <w:p>
            <w:r>
              <w:t>Postal code of delivery</w:t>
            </w:r>
          </w:p>
        </w:tc>
      </w:tr>
      <w:tr>
        <w:tc>
          <w:tcPr>
            <w:tcW w:type="dxa" w:w="4392"/>
          </w:tcPr>
          <w:p>
            <w:r>
              <w:t>Region</w:t>
            </w:r>
          </w:p>
        </w:tc>
        <w:tc>
          <w:tcPr>
            <w:tcW w:type="dxa" w:w="4392"/>
          </w:tcPr>
          <w:p>
            <w:r>
              <w:t>Regional grouping: East, West, Central, South</w:t>
            </w:r>
          </w:p>
        </w:tc>
      </w:tr>
      <w:tr>
        <w:tc>
          <w:tcPr>
            <w:tcW w:type="dxa" w:w="4392"/>
          </w:tcPr>
          <w:p>
            <w:r>
              <w:t>Product ID</w:t>
            </w:r>
          </w:p>
        </w:tc>
        <w:tc>
          <w:tcPr>
            <w:tcW w:type="dxa" w:w="4392"/>
          </w:tcPr>
          <w:p>
            <w:r>
              <w:t>Unique product identifier</w:t>
            </w:r>
          </w:p>
        </w:tc>
      </w:tr>
      <w:tr>
        <w:tc>
          <w:tcPr>
            <w:tcW w:type="dxa" w:w="4392"/>
          </w:tcPr>
          <w:p>
            <w:r>
              <w:t>Category</w:t>
            </w:r>
          </w:p>
        </w:tc>
        <w:tc>
          <w:tcPr>
            <w:tcW w:type="dxa" w:w="4392"/>
          </w:tcPr>
          <w:p>
            <w:r>
              <w:t>Product category: Furniture, Office Supplies, Technology</w:t>
            </w:r>
          </w:p>
        </w:tc>
      </w:tr>
      <w:tr>
        <w:tc>
          <w:tcPr>
            <w:tcW w:type="dxa" w:w="4392"/>
          </w:tcPr>
          <w:p>
            <w:r>
              <w:t>Sub-Category</w:t>
            </w:r>
          </w:p>
        </w:tc>
        <w:tc>
          <w:tcPr>
            <w:tcW w:type="dxa" w:w="4392"/>
          </w:tcPr>
          <w:p>
            <w:r>
              <w:t>Product sub-category (17 values)</w:t>
            </w:r>
          </w:p>
        </w:tc>
      </w:tr>
      <w:tr>
        <w:tc>
          <w:tcPr>
            <w:tcW w:type="dxa" w:w="4392"/>
          </w:tcPr>
          <w:p>
            <w:r>
              <w:t>Product Name</w:t>
            </w:r>
          </w:p>
        </w:tc>
        <w:tc>
          <w:tcPr>
            <w:tcW w:type="dxa" w:w="4392"/>
          </w:tcPr>
          <w:p>
            <w:r>
              <w:t>Full product name</w:t>
            </w:r>
          </w:p>
        </w:tc>
      </w:tr>
      <w:tr>
        <w:tc>
          <w:tcPr>
            <w:tcW w:type="dxa" w:w="4392"/>
          </w:tcPr>
          <w:p>
            <w:r>
              <w:t>Sales</w:t>
            </w:r>
          </w:p>
        </w:tc>
        <w:tc>
          <w:tcPr>
            <w:tcW w:type="dxa" w:w="4392"/>
          </w:tcPr>
          <w:p>
            <w:r>
              <w:t>Order line revenue (USD)</w:t>
            </w:r>
          </w:p>
        </w:tc>
      </w:tr>
      <w:tr>
        <w:tc>
          <w:tcPr>
            <w:tcW w:type="dxa" w:w="4392"/>
          </w:tcPr>
          <w:p>
            <w:r>
              <w:t>Quantity</w:t>
            </w:r>
          </w:p>
        </w:tc>
        <w:tc>
          <w:tcPr>
            <w:tcW w:type="dxa" w:w="4392"/>
          </w:tcPr>
          <w:p>
            <w:r>
              <w:t>Units ordered</w:t>
            </w:r>
          </w:p>
        </w:tc>
      </w:tr>
      <w:tr>
        <w:tc>
          <w:tcPr>
            <w:tcW w:type="dxa" w:w="4392"/>
          </w:tcPr>
          <w:p>
            <w:r>
              <w:t>Discount</w:t>
            </w:r>
          </w:p>
        </w:tc>
        <w:tc>
          <w:tcPr>
            <w:tcW w:type="dxa" w:w="4392"/>
          </w:tcPr>
          <w:p>
            <w:r>
              <w:t>Discount rate applied (0.0–1.0)</w:t>
            </w:r>
          </w:p>
        </w:tc>
      </w:tr>
      <w:tr>
        <w:tc>
          <w:tcPr>
            <w:tcW w:type="dxa" w:w="4392"/>
          </w:tcPr>
          <w:p>
            <w:r>
              <w:t>Profit</w:t>
            </w:r>
          </w:p>
        </w:tc>
        <w:tc>
          <w:tcPr>
            <w:tcW w:type="dxa" w:w="4392"/>
          </w:tcPr>
          <w:p>
            <w:r>
              <w:t>Order line profit (USD); negative = loss</w:t>
            </w:r>
          </w:p>
        </w:tc>
      </w:tr>
    </w:tbl>
    <w:p/>
    <w:p>
      <w:pPr>
        <w:pStyle w:val="Heading2"/>
      </w:pPr>
      <w:r>
        <w:rPr>
          <w:color w:val="1F3F6E"/>
        </w:rPr>
        <w:t>C. KPI → TREND → DRIVER → RISK → ACTION Framework</w:t>
      </w:r>
    </w:p>
    <w:tbl>
      <w:tblPr>
        <w:tblStyle w:val="TableGrid"/>
        <w:tblW w:type="auto" w:w="0"/>
        <w:tblLook w:firstColumn="1" w:firstRow="1" w:lastColumn="0" w:lastRow="0" w:noHBand="0" w:noVBand="1" w:val="04A0"/>
      </w:tblPr>
      <w:tblGrid>
        <w:gridCol w:w="4392"/>
        <w:gridCol w:w="4392"/>
      </w:tblGrid>
      <w:tr>
        <w:tc>
          <w:tcPr>
            <w:tcW w:type="dxa" w:w="4392"/>
          </w:tcPr>
          <w:p>
            <w:r>
              <w:rPr>
                <w:b/>
              </w:rPr>
              <w:t>Layer</w:t>
            </w:r>
          </w:p>
        </w:tc>
        <w:tc>
          <w:tcPr>
            <w:tcW w:type="dxa" w:w="4392"/>
          </w:tcPr>
          <w:p>
            <w:r>
              <w:rPr>
                <w:b/>
              </w:rPr>
              <w:t>Purpose</w:t>
            </w:r>
          </w:p>
        </w:tc>
      </w:tr>
      <w:tr>
        <w:tc>
          <w:tcPr>
            <w:tcW w:type="dxa" w:w="4392"/>
          </w:tcPr>
          <w:p>
            <w:r>
              <w:t>KPI</w:t>
            </w:r>
          </w:p>
        </w:tc>
        <w:tc>
          <w:tcPr>
            <w:tcW w:type="dxa" w:w="4392"/>
          </w:tcPr>
          <w:p>
            <w:r>
              <w:t>Headline scorecard metrics — what is the current state?</w:t>
            </w:r>
          </w:p>
        </w:tc>
      </w:tr>
      <w:tr>
        <w:tc>
          <w:tcPr>
            <w:tcW w:type="dxa" w:w="4392"/>
          </w:tcPr>
          <w:p>
            <w:r>
              <w:t>TREND</w:t>
            </w:r>
          </w:p>
        </w:tc>
        <w:tc>
          <w:tcPr>
            <w:tcW w:type="dxa" w:w="4392"/>
          </w:tcPr>
          <w:p>
            <w:r>
              <w:t>How have metrics changed over time?</w:t>
            </w:r>
          </w:p>
        </w:tc>
      </w:tr>
      <w:tr>
        <w:tc>
          <w:tcPr>
            <w:tcW w:type="dxa" w:w="4392"/>
          </w:tcPr>
          <w:p>
            <w:r>
              <w:t>DRIVER</w:t>
            </w:r>
          </w:p>
        </w:tc>
        <w:tc>
          <w:tcPr>
            <w:tcW w:type="dxa" w:w="4392"/>
          </w:tcPr>
          <w:p>
            <w:r>
              <w:t>What categories, products, regions, and segments explain performance?</w:t>
            </w:r>
          </w:p>
        </w:tc>
      </w:tr>
      <w:tr>
        <w:tc>
          <w:tcPr>
            <w:tcW w:type="dxa" w:w="4392"/>
          </w:tcPr>
          <w:p>
            <w:r>
              <w:t>RISK</w:t>
            </w:r>
          </w:p>
        </w:tc>
        <w:tc>
          <w:tcPr>
            <w:tcW w:type="dxa" w:w="4392"/>
          </w:tcPr>
          <w:p>
            <w:r>
              <w:t>Where are structural profitability threats?</w:t>
            </w:r>
          </w:p>
        </w:tc>
      </w:tr>
      <w:tr>
        <w:tc>
          <w:tcPr>
            <w:tcW w:type="dxa" w:w="4392"/>
          </w:tcPr>
          <w:p>
            <w:r>
              <w:t>ACTION</w:t>
            </w:r>
          </w:p>
        </w:tc>
        <w:tc>
          <w:tcPr>
            <w:tcW w:type="dxa" w:w="4392"/>
          </w:tcPr>
          <w:p>
            <w:r>
              <w:t>What specific management decisions are indicated by the data?</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