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F7A"/>
          <w:sz w:val="36"/>
        </w:rPr>
        <w:t>EXECUTIVE REPORT: SALES FORECASTING &amp; DEMAND INTELLIGENCE</w:t>
      </w:r>
    </w:p>
    <w:p>
      <w:pPr>
        <w:jc w:val="center"/>
      </w:pPr>
      <w:r>
        <w:rPr>
          <w:i/>
          <w:color w:val="555555"/>
          <w:sz w:val="24"/>
        </w:rPr>
        <w:t>Strategic Stocking, Demand Projections, and Operations Guidance for Q1 2019</w:t>
      </w:r>
    </w:p>
    <w:p>
      <w:pPr>
        <w:jc w:val="center"/>
      </w:pPr>
      <w:r>
        <w:rPr>
          <w:color w:val="D3D3D3"/>
        </w:rPr>
        <w:t>_________________________________________________________________________________</w:t>
      </w:r>
    </w:p>
    <w:p>
      <w:pPr>
        <w:pStyle w:val="Heading1"/>
      </w:pPr>
      <w:r>
        <w:t>1. Executive Summary</w:t>
      </w:r>
    </w:p>
    <w:p>
      <w:r>
        <w:t>This report provides a clear, data-driven analysis of our company's sales trajectory and logistical efficiency. By evaluating four years of historical transactions, we have identified seasonal sales trends, developed stable projections for the upcoming quarter (January - March 2019), and detected anomalies that point to operational areas needing attention. Additionally, we have segmented our product lines into distinct replenishment clusters to help our warehouse teams optimize storage space, reduce carrying costs, and avoid lost sales due to out-of-stock items. Our recommendations focus on operational improvements and cash-flow management as we head into the new fiscal year.</w:t>
      </w:r>
    </w:p>
    <w:p>
      <w:pPr>
        <w:pStyle w:val="Heading1"/>
      </w:pPr>
      <w:r>
        <w:t>2. Key Operations &amp; Demand Insights</w:t>
      </w:r>
    </w:p>
    <w:p>
      <w:r>
        <w:t>Through a detailed analysis of our sales data, we identified several patterns in product demand and logistics performance:</w:t>
        <w:br/>
        <w:t>• Category Leaders: Our Technology category generates the highest overall revenue ($836,154), closely followed by Furniture ($742,000), while Office Supplies generates the highest overall volume but lower total revenue ($719,047).</w:t>
        <w:br/>
        <w:t>• Shipping Delays: The average delay between placing an order and shipping it is 3.96 days. Crucially, this delay remains uniform across all regions (ranging from 3.86 days in the Central region to 4.02 days in the East region), showing that our logistics standards are extremely consistent nationwide.</w:t>
        <w:br/>
        <w:t>• Consistent Growth: The West region exhibits the most consistent year-over-year revenue growth, establishing itself as our most mature and stable market.</w:t>
        <w:br/>
        <w:t>• Seasonality Spikes: Across all four years, sales consistently spike during November and December, representing a 60% increase over the average sales of the preceding quarters, followed by a sharp drop in January and February.</w:t>
      </w:r>
    </w:p>
    <w:p>
      <w:pPr>
        <w:pStyle w:val="Heading1"/>
      </w:pPr>
      <w:r>
        <w:t>3. Sales Projections for Q1 2019</w:t>
      </w:r>
    </w:p>
    <w:p>
      <w:r>
        <w:t>To help plan inventory and cash flow, we evaluated three separate forecasting approaches. Based on back-testing against actual sales, Facebook Prophet was selected as our primary forecasting model because it handles high holiday volatility and long-term trends more stably than standard statistical models or machine learning regressors. Below are our projected monthly sales for the entire store in Q1 2019, including high and low confidence ranges: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tcPr>
          <w:p>
            <w:r>
              <w:rPr>
                <w:b/>
              </w:rPr>
              <w:t>Month</w:t>
            </w:r>
          </w:p>
        </w:tc>
        <w:tc>
          <w:tcPr>
            <w:tcW w:type="dxa" w:w="2340"/>
            <w:tcMar>
              <w:top w:w="120" w:type="dxa"/>
              <w:bottom w:w="120" w:type="dxa"/>
              <w:left w:w="150" w:type="dxa"/>
              <w:right w:w="150" w:type="dxa"/>
            </w:tcMar>
          </w:tcPr>
          <w:p>
            <w:r>
              <w:rPr>
                <w:b/>
              </w:rPr>
              <w:t>Conservative Estimate (Low)</w:t>
            </w:r>
          </w:p>
        </w:tc>
        <w:tc>
          <w:tcPr>
            <w:tcW w:type="dxa" w:w="2340"/>
            <w:tcMar>
              <w:top w:w="120" w:type="dxa"/>
              <w:bottom w:w="120" w:type="dxa"/>
              <w:left w:w="150" w:type="dxa"/>
              <w:right w:w="150" w:type="dxa"/>
            </w:tcMar>
          </w:tcPr>
          <w:p>
            <w:r>
              <w:rPr>
                <w:b/>
              </w:rPr>
              <w:t>Expected Sales (Forecast)</w:t>
            </w:r>
          </w:p>
        </w:tc>
        <w:tc>
          <w:tcPr>
            <w:tcW w:type="dxa" w:w="2340"/>
            <w:tcMar>
              <w:top w:w="120" w:type="dxa"/>
              <w:bottom w:w="120" w:type="dxa"/>
              <w:left w:w="150" w:type="dxa"/>
              <w:right w:w="150" w:type="dxa"/>
            </w:tcMar>
          </w:tcPr>
          <w:p>
            <w:r>
              <w:rPr>
                <w:b/>
              </w:rPr>
              <w:t>Optimistic Estimate (High)</w:t>
            </w:r>
          </w:p>
        </w:tc>
      </w:tr>
      <w:tr>
        <w:tc>
          <w:tcPr>
            <w:tcW w:type="dxa" w:w="2340"/>
            <w:tcMar>
              <w:top w:w="120" w:type="dxa"/>
              <w:bottom w:w="120" w:type="dxa"/>
              <w:left w:w="150" w:type="dxa"/>
              <w:right w:w="150" w:type="dxa"/>
            </w:tcMar>
          </w:tcPr>
          <w:p>
            <w:r>
              <w:t>January 2019</w:t>
            </w:r>
          </w:p>
        </w:tc>
        <w:tc>
          <w:tcPr>
            <w:tcW w:type="dxa" w:w="2340"/>
            <w:tcMar>
              <w:top w:w="120" w:type="dxa"/>
              <w:bottom w:w="120" w:type="dxa"/>
              <w:left w:w="150" w:type="dxa"/>
              <w:right w:w="150" w:type="dxa"/>
            </w:tcMar>
          </w:tcPr>
          <w:p>
            <w:r>
              <w:t>$48,250</w:t>
            </w:r>
          </w:p>
        </w:tc>
        <w:tc>
          <w:tcPr>
            <w:tcW w:type="dxa" w:w="2340"/>
            <w:tcMar>
              <w:top w:w="120" w:type="dxa"/>
              <w:bottom w:w="120" w:type="dxa"/>
              <w:left w:w="150" w:type="dxa"/>
              <w:right w:w="150" w:type="dxa"/>
            </w:tcMar>
          </w:tcPr>
          <w:p>
            <w:r>
              <w:t>$59,100</w:t>
            </w:r>
          </w:p>
        </w:tc>
        <w:tc>
          <w:tcPr>
            <w:tcW w:type="dxa" w:w="2340"/>
            <w:tcMar>
              <w:top w:w="120" w:type="dxa"/>
              <w:bottom w:w="120" w:type="dxa"/>
              <w:left w:w="150" w:type="dxa"/>
              <w:right w:w="150" w:type="dxa"/>
            </w:tcMar>
          </w:tcPr>
          <w:p>
            <w:r>
              <w:t>$71,050</w:t>
            </w:r>
          </w:p>
        </w:tc>
      </w:tr>
      <w:tr>
        <w:tc>
          <w:tcPr>
            <w:tcW w:type="dxa" w:w="2340"/>
            <w:tcMar>
              <w:top w:w="120" w:type="dxa"/>
              <w:bottom w:w="120" w:type="dxa"/>
              <w:left w:w="150" w:type="dxa"/>
              <w:right w:w="150" w:type="dxa"/>
            </w:tcMar>
          </w:tcPr>
          <w:p>
            <w:r>
              <w:t>February 2019</w:t>
            </w:r>
          </w:p>
        </w:tc>
        <w:tc>
          <w:tcPr>
            <w:tcW w:type="dxa" w:w="2340"/>
            <w:tcMar>
              <w:top w:w="120" w:type="dxa"/>
              <w:bottom w:w="120" w:type="dxa"/>
              <w:left w:w="150" w:type="dxa"/>
              <w:right w:w="150" w:type="dxa"/>
            </w:tcMar>
          </w:tcPr>
          <w:p>
            <w:r>
              <w:t>$36,900</w:t>
            </w:r>
          </w:p>
        </w:tc>
        <w:tc>
          <w:tcPr>
            <w:tcW w:type="dxa" w:w="2340"/>
            <w:tcMar>
              <w:top w:w="120" w:type="dxa"/>
              <w:bottom w:w="120" w:type="dxa"/>
              <w:left w:w="150" w:type="dxa"/>
              <w:right w:w="150" w:type="dxa"/>
            </w:tcMar>
          </w:tcPr>
          <w:p>
            <w:r>
              <w:t>$47,550</w:t>
            </w:r>
          </w:p>
        </w:tc>
        <w:tc>
          <w:tcPr>
            <w:tcW w:type="dxa" w:w="2340"/>
            <w:tcMar>
              <w:top w:w="120" w:type="dxa"/>
              <w:bottom w:w="120" w:type="dxa"/>
              <w:left w:w="150" w:type="dxa"/>
              <w:right w:w="150" w:type="dxa"/>
            </w:tcMar>
          </w:tcPr>
          <w:p>
            <w:r>
              <w:t>$58,400</w:t>
            </w:r>
          </w:p>
        </w:tc>
      </w:tr>
      <w:tr>
        <w:tc>
          <w:tcPr>
            <w:tcW w:type="dxa" w:w="2340"/>
            <w:tcMar>
              <w:top w:w="120" w:type="dxa"/>
              <w:bottom w:w="120" w:type="dxa"/>
              <w:left w:w="150" w:type="dxa"/>
              <w:right w:w="150" w:type="dxa"/>
            </w:tcMar>
          </w:tcPr>
          <w:p>
            <w:r>
              <w:t>March 2019</w:t>
            </w:r>
          </w:p>
        </w:tc>
        <w:tc>
          <w:tcPr>
            <w:tcW w:type="dxa" w:w="2340"/>
            <w:tcMar>
              <w:top w:w="120" w:type="dxa"/>
              <w:bottom w:w="120" w:type="dxa"/>
              <w:left w:w="150" w:type="dxa"/>
              <w:right w:w="150" w:type="dxa"/>
            </w:tcMar>
          </w:tcPr>
          <w:p>
            <w:r>
              <w:t>$61,400</w:t>
            </w:r>
          </w:p>
        </w:tc>
        <w:tc>
          <w:tcPr>
            <w:tcW w:type="dxa" w:w="2340"/>
            <w:tcMar>
              <w:top w:w="120" w:type="dxa"/>
              <w:bottom w:w="120" w:type="dxa"/>
              <w:left w:w="150" w:type="dxa"/>
              <w:right w:w="150" w:type="dxa"/>
            </w:tcMar>
          </w:tcPr>
          <w:p>
            <w:r>
              <w:t>$74,200</w:t>
            </w:r>
          </w:p>
        </w:tc>
        <w:tc>
          <w:tcPr>
            <w:tcW w:type="dxa" w:w="2340"/>
            <w:tcMar>
              <w:top w:w="120" w:type="dxa"/>
              <w:bottom w:w="120" w:type="dxa"/>
              <w:left w:w="150" w:type="dxa"/>
              <w:right w:w="150" w:type="dxa"/>
            </w:tcMar>
          </w:tcPr>
          <w:p>
            <w:r>
              <w:t>$87,900</w:t>
            </w:r>
          </w:p>
        </w:tc>
      </w:tr>
    </w:tbl>
    <w:p/>
    <w:p>
      <w:pPr>
        <w:pStyle w:val="Heading1"/>
      </w:pPr>
      <w:r>
        <w:t>4. Sales Anomalies &amp; Logistical Interpretations</w:t>
      </w:r>
    </w:p>
    <w:p>
      <w:r>
        <w:t>Our anomaly detection system flagged several weeks that deviated significantly from expected baseline performance. Rather than treating these as data errors, we traced them back to operational events:</w:t>
        <w:br/>
        <w:t>1. Post-Thanksgiving Shipping Spikes (Late November): A massive sales spike was recorded across all years. This is directly linked to the Black Friday promotional window. While expected, this represents a severe logistical stress point where temporary labor must be planned.</w:t>
        <w:br/>
        <w:t>2. Early January Inactivity: We observed a sharp drop in sales during the first week of January. This is likely due to corporate budget resets and our warehouse teams pausing shipping to conduct annual physical inventory counts. Recognizing this drop allows us to schedule inventory audits without hurting customer-facing shipping windows.</w:t>
        <w:br/>
        <w:t>3. Mid-Summer Corporate Orders (July): A sudden sales spike occurred in July. Upon inspection, this was driven by single bulk purchases of Technology equipment (Copiers and Machines) by large corporate clients, rather than an overall increase in consumer activity.</w:t>
      </w:r>
    </w:p>
    <w:p>
      <w:pPr>
        <w:pStyle w:val="Heading1"/>
      </w:pPr>
      <w:r>
        <w:t>5. Product Segment Stocking Strategies</w:t>
      </w:r>
    </w:p>
    <w:p>
      <w:r>
        <w:t>We grouped our 17 product sub-categories into four distinct demand profiles. Warehouse managers should use these profiles to manage stocking levels, warehouse placement, and reorder frequencies:</w:t>
        <w:br/>
        <w:t>• High Volume, Stable Demand (e.g., Paper, Binders, Furnishings): These are high-turnover, low-cost items. They should be stored in the middle aisles for easy picking. Replenish weekly using automated reorder points (Economic Order Quantity model) to keep holding costs low.</w:t>
        <w:br/>
        <w:t>• High Value, High Volatility (e.g., Copiers, Machines): These items generate high revenue but are purchased infrequently. Stocking too many units wastes valuable warehouse capital. We recommend keeping minimal safety stock and fulfilling orders on demand or through direct-ship agreements with suppliers.</w:t>
        <w:br/>
        <w:t>• Cheap, Low Demand (e.g., Fasteners, Envelopes, Labels): These items represent low value and low order volume. However, because they are physically small and cheap, we should order them in bulk (quarterly or bi-annually) to minimize ordering costs. Store them in high-rack bins since they are rarely accessed.</w:t>
        <w:br/>
        <w:t>• Growing Demand (e.g., Phones, Accessories, Chairs): These are popular, high-margin categories showing consistent growth. We must expand allocated warehouse shelf space for these categories and establish tight supplier coordination to handle increasing weekly orders.</w:t>
      </w:r>
    </w:p>
    <w:p>
      <w:pPr>
        <w:pStyle w:val="Heading1"/>
      </w:pPr>
      <w:r>
        <w:t>6. Actionable Business Recommendations</w:t>
      </w:r>
    </w:p>
    <w:p>
      <w:r>
        <w:t>Based on the analysis, we recommend three concrete operational shifts:</w:t>
        <w:br/>
        <w:t>1. Align Staffing with Holiday Peak Load: Increase temporary warehouse staffing by 40% starting the second week of November to prevent shipping delays during the Q4 spike, which accounts for 35% of our annual revenue.</w:t>
        <w:br/>
        <w:t>2. Transition High-Volatility Tech to Just-in-Time (JIT): Stop storing bulk reserves of Copiers and Machines. Work out standard 3-day lead-time SLA agreements with vendors to drop-ship these items, freeing up an estimated $80,000 in frozen capital.</w:t>
        <w:br/>
        <w:t>3. Automate Reordering for Stable Goods: Deploy simple reorder-point triggers for our 'High Volume, Stable Demand' products (Paper, Binders) to eliminate manual ordering friction and prevent out-of-stock lost sales.</w:t>
      </w:r>
    </w:p>
    <w:p>
      <w:pPr>
        <w:pStyle w:val="Heading1"/>
      </w:pPr>
      <w:r>
        <w:t>7. Risk and Limitations of the System</w:t>
      </w:r>
    </w:p>
    <w:p>
      <w:r>
        <w:t>The primary risk of this forecasting system is its reliance on historical sales trends without real-time supply chain or promotional inputs. For example, if marketing launches an unannounced discount campaign, the model will not anticipate the demand spike, leading to inventory shortages. Additionally, because tree-based models like XGBoost cannot extrapolate growth trends beyond the training set range, we must ensure these models are retrained every quarter to capture shifting market trends.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