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8hakiz61yp2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Regulatory Strategy (규제요구사항 분석 및 허가 전략)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faahx6mp2h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규제 가이드라인 및 등급 분류 (Regulatory Classification)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제품은 고도 위험성을 가진 의료기기로 분류되어 가장 엄격한 심사 단계를 거친다.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규제 기관: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대한민국 식품의약품안전처 (MFDS)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품목 분류: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풍선확장식관상동맥성형술용카테터 (A57130.21)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의료기기 등급: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4등급 (Class IV)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인체 내에 영구 또는 일정 기간 삽입되어 심장, 뇌 등의 중추혈관계에 직접 접촉하는 고위험 기기.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심사 유형: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기술문서 심사 (허가증 상 '기술문서 심사' 대상 품목)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적용 규정: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의료기기법 제6조(제조허가 등) 및 동법 시행규칙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의료기기 허가·신고·심사 등에 관한 규정 (식약처 고시)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의료기기 기준규격 (식약처 고시) 및 ISO 10555-1 / ISO 10555-4 (혈관 내 카테터 국제 표준)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wmagboitb9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식약처 기술문서 심사 핵심 요구사항 (Technical File Requirements)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4등급 의료기기 허가를 위해 식약처 의료기기심사부(순환기기과)에 제출 및 방어해야 하는 기술자료 분석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/>
      </w:pPr>
      <w:bookmarkStart w:colFirst="0" w:colLast="0" w:name="_1m92kjb9uho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가. 물리·화학적 성능 입증 (STED Section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초고압 성능 입증 (RBP 30 atm):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제품 성능에 표기된 정격파열압력(RBP)인 30기압 조건 하에서 풍선이 파열되지 않고 견디는 신뢰성 데이터(최소 95% 신뢰수준으로 99% 이상이 파열되지 않음을 입증하는 데이터)가 필수적이다.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 Vitro Balloon Compliance 정보 제출: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12 atm부터 RBP인 30 atm까지 압력 증가에 따른 상세 풍선 직경 변화 테이블을 완벽히 소명해야 한다. (14 atm인 적정 팽창 압력에서 Target 직경에 정확히 도달함을 검증)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보강 매트릭스(Reinforcement Matrix) 검증: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섬유 두께(0.1~0.2 mm), 간격(0.6~1.0 mm)의 균일성 및 반복 팽창(Inflation/Deflation) 시 섬유의 이탈이나 풀림 현상이 없음을 증명하는 피로도(Fatigue) 시험자료가 수반되어야 한다.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치수 및 구조적 안전성: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카테터 유효길이(1450mm), Crossing profile(1.1mm), 샤프트 외경(0.89mm / 0.92mm / 0.68mm)이 허용 기준치(Tolerance) 내에 들어오는지 측정 성적서가 제출되어야 합니다.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cuq75zo5f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나. 생물학적 안전성 평가 (ISO 10993-1 / 식약처 고시)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접촉 유형: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외부 연통 조직 / 혈액 접촉 / 제한적 접촉 (시술 시간 24시간 미만)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필수 시험 항목 (GLP 인증 성적서 필요):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세포독성 (Cytotoxicity):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소재의 세포 레벨 안전성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감작성 (Sensitization):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알레르기 반응 유발 여부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자극성 / 피내반응 (Irritation / Intracutaneous Reactivity)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급성 전신독성 (Acute Systemic Toxicity)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발열성 (Pyrogenicity):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내독소 및 물질 유래 발열성 검증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혈액적합성 (Blood Compatibility):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관상동맥 내부로 직접 진입하므로 용혈성(Hemolysis), 혈전 형성(Thrombogenicity),補體 활성화 시험 등이 완벽히 셋팅되어야 한다.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9qe3rpp9i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다. 멸균 및 유효기간 (Sterilization &amp; Shelf-Life)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EO 가스 멸균 밸리데이션 (ISO 11135):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잔류량(EO, ECH)이 식약처 기준치 이하인지 측정. 멸균보증수준(SAL) $10^{-6}$ 달성 입증.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유효기간 36개월 입증 (ISO 11607):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제품의 3년 유효기간을 인정받기 위해 실시간 노화(Real-time aging) 또는 가속 노화(Accelerated aging) 시험을 통한 포장재(Tyvek)의 무균 유지력 및 카테터 물리적 성능(Tensile strength 등) 유지 데이터 증명.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wt9bw57aog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본 제품의 인허가 취약점 및 보완 방어 전략 (Gap Analysis &amp; Risk Mitigation)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1vawipdoy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[취약점 1] 친수성 코팅 성분 (히알루론산 나트륨염)의 원재료 소명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위험 요인: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2차 코팅제로 사용된 'Hyaluronic acid sodium salt'는 생체 유래 성분으로 분류될 가능성이 있어, 식약처 심사 시 원재료의 출처(조직유래 여부, 미생물 발효 여부) 및 안전성 입증 서류를 까다롭게 요구할 수 있습니다.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방어 전략: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해당 원재료 공급업체로부터 미생물 발효 공정 생산 증명서, 정제 공정 자료, 중금속 및 잔류 용매 성적서를 사전에 확보하여 기술문서 제출 시 최초부터 첨부(A priori)함으로써 보완 루프를 사전에 차단합니다.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245z3p9b7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[취약점 2] 초고압(30 atm) 스펙에 따른 가이드 카테터 및 혈관 손상 리스크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위험 요인: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일반적인 관상동맥 카테터 대비 30기압이라는 극단적인 고압을 사용하므로, 풍선 파열 시 혈관 박리(Dissection)나 천공(Perforation)의 부작용 우려를 심사관이 제기할 수 있습니다. 또한, 팽창 상태에서 타 디바이스와의 간섭 리스크가 존재합니다.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방어 전략: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 시 주의사항에 기재된 "정격파열압력을 넘는 것을 금합니다", "키싱 풍선 기법 시 두 풍선 직경 고려" 등의 문구를 레이블링(IFU)에 명확히 반영했음을 강조합니다. 비임상 시험 시 혈관 모사 튜브 내에서의 파열 모드(Burst mode)가 혈관을 찢지 않는 방향(예: 종방향 파열 등 안전한 파열 형태)으로 일어남을 촬영한 데이터나 시험 기록을 준비합니다.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dd6tuvkq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[취약점 3] 다수의 모델명 (45개 파생모델) 일괄 심사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위험 요인: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풍선 직경 9종 $\times$ 길이 5종 = 총 45개 모델을 하나의 허가증으로 묶어 등록해야 하므로, 치수 조건에 따른 성능의 대표성(Worst-case 세팅) 문제가 발생합니다.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방어 전략: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물리적 성능 시험(RBP, 유연성, 인장강도 등) 진행 시 "가장 직경이 크고 긴 모델(Worst-case: GUB-20-400)"과 "가장 작고 짧은 모델(GUB-08-200)"을 대표 모델로 선정하여 시험을 수행하고, 그 중간 규격들은 구조적 동등성 비교 테이블을 통해 정당성(Justification)을 부여하는 전략을 취합니다.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v24jwcya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프로젝트 인허가 타임라인 (Regulatory Roadmap)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식약처 4등급 기술문서 허가는 일반적으로 보완(Inquiry) 기간을 포함하여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 6개월 ~ 9개월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소요됩니다.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[Month 1] ----------------&gt; [Month 2~3] --------------&gt; [Month 4~5] -----------&gt; [Month 6~8]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원재료 CoA/MSDS 확보        대표모델 시험수행          식약처 STED 접수         보완(Inquiry) 대응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Worst-case 선정             (물리성능 &amp; 생물학적)      (정식 심사 개시)         및 최종 허가증 획득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성공 핵심 KPI: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본 제품은 이미 '제허 26-190호'로 등록된 이력이 있는 구조이므로, 만약 변경 허가나 갱신(갱신 신청기간: 2030년)을 목적으로 하는 프로젝트라면 기존 허가 데이터와의 '동등성'을 완벽히 증명하여 임상시험 자료 제출을 면제받는 것이 가장 중요합니다.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