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zb0e3i8m2n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01_Product Overview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hjrp4h4l5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기본 행정 및 허가 정보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품목명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뇌영상분석소프트웨어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분류번호</w:t>
      </w:r>
      <w:r w:rsidDel="00000000" w:rsidR="00000000" w:rsidRPr="00000000">
        <w:rPr>
          <w:rtl w:val="0"/>
        </w:rPr>
        <w:t xml:space="preserve">: E06020.02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2등급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모델명</w:t>
      </w:r>
      <w:r w:rsidDel="00000000" w:rsidR="00000000" w:rsidRPr="00000000">
        <w:rPr>
          <w:rtl w:val="0"/>
        </w:rPr>
        <w:t xml:space="preserve">: NeuroMx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제품명</w:t>
      </w:r>
      <w:r w:rsidDel="00000000" w:rsidR="00000000" w:rsidRPr="00000000">
        <w:rPr>
          <w:rtl w:val="0"/>
        </w:rPr>
        <w:t xml:space="preserve">: MediOMX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뇌영상 분석에 사용하기 위한 소프트웨어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4hzwmvhts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핵심 작동 원리 (Mechanism of Action)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자기공명영상장치(MRI)에서 획득한 뇌 영상 (뇌 MR 영상)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딥러닝 기반의 인공신경망(CNN; Convolutional Neural Network) 모델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영역 분할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3D MR 이미지에서 뇌엽(Brain Lobe) 및 뇌 소구역(Subregions)을 각각 분할하여 3차원 뇌 분할 마스크 재구성.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조직 분할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회질(GM), 백질(WM), 뇌척수액(CSF) 부위로 분할하여 3차원 뇌 분할 마스크 재구성.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정량화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재구성된 마스크를 기반으로 복셀(Voxel-Wise) 분석 기법을 사용하여 각 영역의 부피를 정량적으로 측정.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뇌 영역(Lobes, Subregions, Tissues) 분할 결과 그래프 및 부피 정보 리포트 ($cm^3$ 및 ICV 비율 값).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ozz9odfr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시스템 구동 환경 및 데이터 스펙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환경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클라우드 서버 기반 구동 (공용 PaaS 사용), 사용자 단은 웹 브라우저 뷰어 인터페이스 활용.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데이터 사양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2012년 4월 ~ 2022년 4월 (총 10개년) 동안 수집된 약 10,000장의 데이터 활용.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유효성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참조표준 대비 뇌 영역 분할 및 부피 일치도(급내 상관계수, ICC) 0.73 이상 확보.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v828za5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초기 사이버보안 및 인터페이스 특성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 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회원가입('Get started') 및 이메일/비밀번호 기반의 인가된 사용자 로그인 시스템 구축.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암호화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클라이언트와 서버 간 통신 데이터 전체에 HTTPS 적용, TLS 1.2 프로토콜(RFC 5246 준수) 기반의 공개키 암호화 기법 반영.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기능적 특성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업로드된 DICOM 영상을 브라우저에서 확인(View Scan), 밝기 조절, 결과 확인(View Results), 리포트 다운로드(Nifty, HTML, PDF) 기능 제공.</w:t>
        <w:br w:type="textWrapping"/>
      </w:r>
    </w:p>
    <w:p w:rsidR="00000000" w:rsidDel="00000000" w:rsidP="00000000" w:rsidRDefault="00000000" w:rsidRPr="00000000" w14:paraId="00000018">
      <w:pPr>
        <w:pStyle w:val="Heading3"/>
        <w:spacing w:after="240" w:lineRule="auto"/>
        <w:rPr>
          <w:b w:val="1"/>
          <w:bCs w:val="1"/>
        </w:rPr>
      </w:pPr>
      <w:bookmarkStart w:colFirst="0" w:colLast="0" w:name="_l9wucsfq3fet" w:id="5"/>
      <w:bookmarkEnd w:id="5"/>
      <w:r w:rsidDel="00000000" w:rsidR="00000000" w:rsidRPr="00000000">
        <w:rPr>
          <w:b w:val="1"/>
          <w:bCs w:val="1"/>
          <w:rtl w:val="0"/>
        </w:rPr>
        <w:t xml:space="preserve">5. RA Insight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대조제품이 동등할 수록 요구하는 문서가 간단해지므로 최대한 동등한 의료기기를 찾는것이 중요하다. 이후 적용되는 규격과 그 규격에 따라 필요한 요구사항을 분석한다.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유럽 MDR 은 2등급도 임상평가가 필수이다. 유럽 MDR 규정이나 글로벌 표준(IMDRF) 체계로 넘어가면, 2등급 소프트웨어라 할지라도 모든 의료기기는 반드시 임상평가 보고서(CER)을 제출해야 하는 것으로 규정이 바뀌었다.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기술을 쓰는 SaMD 제품이므로 기술 이해와 어떤 규정을 보아야하는지 성능은 어떻게 검증하는지 잘 검토해보도록 하자. 또한 관련 규정은 계속해서 빠르게 업데이트 되므로 follow up을 주기적으로 해야 한다.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의료기기 가 위험에 대한 안전성을 검토하듯 본 SaMD 기기도 규정에 알맞게 검토되어야한다. 의료기기 사이버보안 관련 요구사항과 AL/ML기반 의료기기에 대한 요구사항 (ISO/TS 24971-2, IEC63521 등)을 학습해보자.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