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E39D" w14:textId="77777777" w:rsidR="000D4FEC" w:rsidRPr="000D4FEC" w:rsidRDefault="000D4FEC" w:rsidP="000D4FEC">
      <w:pPr>
        <w:rPr>
          <w:b/>
          <w:bCs/>
        </w:rPr>
      </w:pPr>
      <w:r w:rsidRPr="000D4FEC">
        <w:rPr>
          <w:b/>
          <w:bCs/>
        </w:rPr>
        <w:t>Design Brief: Split &amp; Share Travel Expenses Mobile App</w:t>
      </w:r>
    </w:p>
    <w:p w14:paraId="0E7EC047" w14:textId="77777777" w:rsidR="000D4FEC" w:rsidRPr="000D4FEC" w:rsidRDefault="000D4FEC" w:rsidP="000D4FEC">
      <w:r w:rsidRPr="000D4FEC">
        <w:rPr>
          <w:b/>
          <w:bCs/>
        </w:rPr>
        <w:t>Project Overview</w:t>
      </w:r>
      <w:r w:rsidRPr="000D4FEC">
        <w:t xml:space="preserve"> This project involves designing a mobile-first application focused on high-precision travel expense tracking and group debt settlement. The goal is to provide a seamless, "operational-grade" tool that handles the complex math of international travel so users don't have to. </w:t>
      </w:r>
    </w:p>
    <w:p w14:paraId="2FA3124A" w14:textId="77777777" w:rsidR="000D4FEC" w:rsidRPr="000D4FEC" w:rsidRDefault="000D4FEC" w:rsidP="000D4FEC">
      <w:r w:rsidRPr="000D4FEC">
        <w:pict w14:anchorId="44C2D16F">
          <v:rect id="_x0000_i1037" style="width:0;height:1.5pt" o:hralign="center" o:hrstd="t" o:hrnoshade="t" o:hr="t" fillcolor="gray" stroked="f"/>
        </w:pict>
      </w:r>
    </w:p>
    <w:p w14:paraId="1E015C57" w14:textId="77777777" w:rsidR="000D4FEC" w:rsidRPr="000D4FEC" w:rsidRDefault="000D4FEC" w:rsidP="000D4FEC">
      <w:pPr>
        <w:rPr>
          <w:b/>
          <w:bCs/>
        </w:rPr>
      </w:pPr>
      <w:r w:rsidRPr="000D4FEC">
        <w:rPr>
          <w:b/>
          <w:bCs/>
        </w:rPr>
        <w:t>1. User Experience (UX) Goals</w:t>
      </w:r>
    </w:p>
    <w:p w14:paraId="35404152" w14:textId="77777777" w:rsidR="000D4FEC" w:rsidRPr="000D4FEC" w:rsidRDefault="000D4FEC" w:rsidP="000D4FEC">
      <w:pPr>
        <w:numPr>
          <w:ilvl w:val="0"/>
          <w:numId w:val="1"/>
        </w:numPr>
      </w:pPr>
      <w:r w:rsidRPr="000D4FEC">
        <w:rPr>
          <w:b/>
          <w:bCs/>
        </w:rPr>
        <w:t>Speed to Entry:</w:t>
      </w:r>
      <w:r w:rsidRPr="000D4FEC">
        <w:t xml:space="preserve"> The primary action (adding an expense) must be accessible within one tap from the dashboard.</w:t>
      </w:r>
    </w:p>
    <w:p w14:paraId="7D16C276" w14:textId="77777777" w:rsidR="000D4FEC" w:rsidRPr="000D4FEC" w:rsidRDefault="000D4FEC" w:rsidP="000D4FEC">
      <w:pPr>
        <w:numPr>
          <w:ilvl w:val="0"/>
          <w:numId w:val="1"/>
        </w:numPr>
      </w:pPr>
      <w:r w:rsidRPr="000D4FEC">
        <w:rPr>
          <w:b/>
          <w:bCs/>
        </w:rPr>
        <w:t>Clarity of Debt:</w:t>
      </w:r>
      <w:r w:rsidRPr="000D4FEC">
        <w:t xml:space="preserve"> Users should immediately see a "Net Balance" (am I owed money or do I owe money?) without digging through menus. </w:t>
      </w:r>
    </w:p>
    <w:p w14:paraId="6D2F1EFD" w14:textId="77777777" w:rsidR="000D4FEC" w:rsidRPr="000D4FEC" w:rsidRDefault="000D4FEC" w:rsidP="000D4FEC">
      <w:pPr>
        <w:numPr>
          <w:ilvl w:val="0"/>
          <w:numId w:val="1"/>
        </w:numPr>
      </w:pPr>
      <w:r w:rsidRPr="000D4FEC">
        <w:rPr>
          <w:b/>
          <w:bCs/>
        </w:rPr>
        <w:t>Trust &amp; Precision:</w:t>
      </w:r>
      <w:r w:rsidRPr="000D4FEC">
        <w:t xml:space="preserve"> Use clear typography and alignment to convey financial accuracy. Avoid "playful" rounding; show exact figures. </w:t>
      </w:r>
    </w:p>
    <w:p w14:paraId="43C4CAB8" w14:textId="77777777" w:rsidR="000D4FEC" w:rsidRPr="000D4FEC" w:rsidRDefault="000D4FEC" w:rsidP="000D4FEC">
      <w:pPr>
        <w:rPr>
          <w:b/>
          <w:bCs/>
        </w:rPr>
      </w:pPr>
      <w:r w:rsidRPr="000D4FEC">
        <w:rPr>
          <w:b/>
          <w:bCs/>
        </w:rPr>
        <w:t>2. Core Functional Screens</w:t>
      </w:r>
    </w:p>
    <w:p w14:paraId="6FA1C397" w14:textId="77777777" w:rsidR="000D4FEC" w:rsidRPr="000D4FEC" w:rsidRDefault="000D4FEC" w:rsidP="000D4FEC">
      <w:pPr>
        <w:numPr>
          <w:ilvl w:val="0"/>
          <w:numId w:val="2"/>
        </w:numPr>
      </w:pPr>
      <w:r w:rsidRPr="000D4FEC">
        <w:rPr>
          <w:b/>
          <w:bCs/>
        </w:rPr>
        <w:t>The Command Center (Dashboard):</w:t>
      </w:r>
      <w:r w:rsidRPr="000D4FEC">
        <w:t xml:space="preserve"> A three-tab view showing </w:t>
      </w:r>
      <w:r w:rsidRPr="000D4FEC">
        <w:rPr>
          <w:b/>
          <w:bCs/>
        </w:rPr>
        <w:t>History</w:t>
      </w:r>
      <w:r w:rsidRPr="000D4FEC">
        <w:t xml:space="preserve"> (past deployments/trips), </w:t>
      </w:r>
      <w:r w:rsidRPr="000D4FEC">
        <w:rPr>
          <w:b/>
          <w:bCs/>
        </w:rPr>
        <w:t>Active Trip</w:t>
      </w:r>
      <w:r w:rsidRPr="000D4FEC">
        <w:t xml:space="preserve">, and </w:t>
      </w:r>
      <w:r w:rsidRPr="000D4FEC">
        <w:rPr>
          <w:b/>
          <w:bCs/>
        </w:rPr>
        <w:t>Future Plans</w:t>
      </w:r>
      <w:r w:rsidRPr="000D4FEC">
        <w:t xml:space="preserve">. It should also feature a prominent "Outstanding Debt" widget. </w:t>
      </w:r>
    </w:p>
    <w:p w14:paraId="2BD97463" w14:textId="77777777" w:rsidR="000D4FEC" w:rsidRPr="000D4FEC" w:rsidRDefault="000D4FEC" w:rsidP="000D4FEC">
      <w:pPr>
        <w:numPr>
          <w:ilvl w:val="0"/>
          <w:numId w:val="2"/>
        </w:numPr>
      </w:pPr>
      <w:r w:rsidRPr="000D4FEC">
        <w:rPr>
          <w:b/>
          <w:bCs/>
        </w:rPr>
        <w:t>The Smart Expense Form:</w:t>
      </w:r>
      <w:r w:rsidRPr="000D4FEC">
        <w:t xml:space="preserve"> A clean input screen that handles:</w:t>
      </w:r>
    </w:p>
    <w:p w14:paraId="5052CF9B" w14:textId="77777777" w:rsidR="000D4FEC" w:rsidRPr="000D4FEC" w:rsidRDefault="000D4FEC" w:rsidP="000D4FEC">
      <w:pPr>
        <w:numPr>
          <w:ilvl w:val="1"/>
          <w:numId w:val="2"/>
        </w:numPr>
      </w:pPr>
      <w:r w:rsidRPr="000D4FEC">
        <w:rPr>
          <w:b/>
          <w:bCs/>
        </w:rPr>
        <w:t>Multi-Currency Toggle:</w:t>
      </w:r>
      <w:r w:rsidRPr="000D4FEC">
        <w:t xml:space="preserve"> Quick switch between local and home currency with live exchange rate visibility. </w:t>
      </w:r>
    </w:p>
    <w:p w14:paraId="13F35EC1" w14:textId="77777777" w:rsidR="000D4FEC" w:rsidRPr="000D4FEC" w:rsidRDefault="000D4FEC" w:rsidP="000D4FEC">
      <w:pPr>
        <w:numPr>
          <w:ilvl w:val="1"/>
          <w:numId w:val="2"/>
        </w:numPr>
      </w:pPr>
      <w:r w:rsidRPr="000D4FEC">
        <w:rPr>
          <w:b/>
          <w:bCs/>
        </w:rPr>
        <w:t>The Split Selector:</w:t>
      </w:r>
      <w:r w:rsidRPr="000D4FEC">
        <w:t xml:space="preserve"> Visual toggles for "Equal Split," "Percentage Split," or "Manual Amount". </w:t>
      </w:r>
    </w:p>
    <w:p w14:paraId="7A86C5BC" w14:textId="77777777" w:rsidR="000D4FEC" w:rsidRPr="000D4FEC" w:rsidRDefault="000D4FEC" w:rsidP="000D4FEC">
      <w:pPr>
        <w:numPr>
          <w:ilvl w:val="0"/>
          <w:numId w:val="2"/>
        </w:numPr>
      </w:pPr>
      <w:r w:rsidRPr="000D4FEC">
        <w:rPr>
          <w:b/>
          <w:bCs/>
        </w:rPr>
        <w:t>Settlement Engine:</w:t>
      </w:r>
      <w:r w:rsidRPr="000D4FEC">
        <w:t xml:space="preserve"> A specialized screen that visualizes the "Who Pays Whom" logic, aimed at minimizing the total number of transfers required to zero out balances. </w:t>
      </w:r>
    </w:p>
    <w:p w14:paraId="1F5CC345" w14:textId="77777777" w:rsidR="000D4FEC" w:rsidRPr="000D4FEC" w:rsidRDefault="000D4FEC" w:rsidP="000D4FEC">
      <w:pPr>
        <w:rPr>
          <w:b/>
          <w:bCs/>
        </w:rPr>
      </w:pPr>
      <w:r w:rsidRPr="000D4FEC">
        <w:rPr>
          <w:b/>
          <w:bCs/>
        </w:rPr>
        <w:t>3. Visual &amp; Interface (UI) Direction</w:t>
      </w:r>
    </w:p>
    <w:p w14:paraId="44BBFF37" w14:textId="77777777" w:rsidR="000D4FEC" w:rsidRPr="000D4FEC" w:rsidRDefault="000D4FEC" w:rsidP="000D4FEC">
      <w:pPr>
        <w:numPr>
          <w:ilvl w:val="0"/>
          <w:numId w:val="3"/>
        </w:numPr>
      </w:pPr>
      <w:r w:rsidRPr="000D4FEC">
        <w:rPr>
          <w:b/>
          <w:bCs/>
        </w:rPr>
        <w:t>Aesthetic:</w:t>
      </w:r>
      <w:r w:rsidRPr="000D4FEC">
        <w:t xml:space="preserve"> "Modern Industrial." Think clean, dark-themed interfaces with high-contrast accents (e.g., Electric Blue or Emerald Green for positive balances). </w:t>
      </w:r>
    </w:p>
    <w:p w14:paraId="7B3AAFF4" w14:textId="77777777" w:rsidR="000D4FEC" w:rsidRPr="000D4FEC" w:rsidRDefault="000D4FEC" w:rsidP="000D4FEC">
      <w:pPr>
        <w:numPr>
          <w:ilvl w:val="0"/>
          <w:numId w:val="3"/>
        </w:numPr>
      </w:pPr>
      <w:r w:rsidRPr="000D4FEC">
        <w:rPr>
          <w:b/>
          <w:bCs/>
        </w:rPr>
        <w:t>Typography:</w:t>
      </w:r>
      <w:r w:rsidRPr="000D4FEC">
        <w:t xml:space="preserve"> Utilize monospace fonts for numerical data to emphasize precision and engineering-grade reliability. </w:t>
      </w:r>
    </w:p>
    <w:p w14:paraId="157D0EB7" w14:textId="77777777" w:rsidR="000D4FEC" w:rsidRPr="000D4FEC" w:rsidRDefault="000D4FEC" w:rsidP="000D4FEC">
      <w:pPr>
        <w:numPr>
          <w:ilvl w:val="0"/>
          <w:numId w:val="3"/>
        </w:numPr>
      </w:pPr>
      <w:r w:rsidRPr="000D4FEC">
        <w:rPr>
          <w:b/>
          <w:bCs/>
        </w:rPr>
        <w:t>Key UI Components:</w:t>
      </w:r>
    </w:p>
    <w:p w14:paraId="79AA4BAF" w14:textId="77777777" w:rsidR="000D4FEC" w:rsidRPr="000D4FEC" w:rsidRDefault="000D4FEC" w:rsidP="000D4FEC">
      <w:pPr>
        <w:numPr>
          <w:ilvl w:val="1"/>
          <w:numId w:val="3"/>
        </w:numPr>
      </w:pPr>
      <w:r w:rsidRPr="000D4FEC">
        <w:rPr>
          <w:b/>
          <w:bCs/>
        </w:rPr>
        <w:t>Cards:</w:t>
      </w:r>
      <w:r w:rsidRPr="000D4FEC">
        <w:t xml:space="preserve"> Use thin-bordered cards with dark backgrounds to group trip data. </w:t>
      </w:r>
    </w:p>
    <w:p w14:paraId="1526642D" w14:textId="77777777" w:rsidR="000D4FEC" w:rsidRPr="000D4FEC" w:rsidRDefault="000D4FEC" w:rsidP="000D4FEC">
      <w:pPr>
        <w:numPr>
          <w:ilvl w:val="1"/>
          <w:numId w:val="3"/>
        </w:numPr>
      </w:pPr>
      <w:r w:rsidRPr="000D4FEC">
        <w:rPr>
          <w:b/>
          <w:bCs/>
        </w:rPr>
        <w:lastRenderedPageBreak/>
        <w:t>Sync Indicators:</w:t>
      </w:r>
      <w:r w:rsidRPr="000D4FEC">
        <w:t xml:space="preserve"> Small, subtle icons to indicate if data is synced to the Java backend or stored locally (Offline Mode). </w:t>
      </w:r>
    </w:p>
    <w:p w14:paraId="7CDDBF87" w14:textId="77777777" w:rsidR="000D4FEC" w:rsidRPr="000D4FEC" w:rsidRDefault="000D4FEC" w:rsidP="000D4FEC">
      <w:pPr>
        <w:numPr>
          <w:ilvl w:val="1"/>
          <w:numId w:val="3"/>
        </w:numPr>
      </w:pPr>
      <w:r w:rsidRPr="000D4FEC">
        <w:rPr>
          <w:b/>
          <w:bCs/>
        </w:rPr>
        <w:t>Status Badges:</w:t>
      </w:r>
      <w:r w:rsidRPr="000D4FEC">
        <w:t xml:space="preserve"> Clear labels for trip states: Planning, Active, or Settled. </w:t>
      </w:r>
    </w:p>
    <w:p w14:paraId="62098C30" w14:textId="77777777" w:rsidR="000D4FEC" w:rsidRPr="000D4FEC" w:rsidRDefault="000D4FEC" w:rsidP="000D4FEC">
      <w:pPr>
        <w:rPr>
          <w:b/>
          <w:bCs/>
        </w:rPr>
      </w:pPr>
      <w:r w:rsidRPr="000D4FEC">
        <w:rPr>
          <w:b/>
          <w:bCs/>
        </w:rPr>
        <w:t>4. Technical Constraints for Design</w:t>
      </w:r>
    </w:p>
    <w:p w14:paraId="2353E7E1" w14:textId="77777777" w:rsidR="000D4FEC" w:rsidRPr="000D4FEC" w:rsidRDefault="000D4FEC" w:rsidP="000D4FEC">
      <w:pPr>
        <w:numPr>
          <w:ilvl w:val="0"/>
          <w:numId w:val="4"/>
        </w:numPr>
      </w:pPr>
      <w:r w:rsidRPr="000D4FEC">
        <w:rPr>
          <w:b/>
          <w:bCs/>
        </w:rPr>
        <w:t>Platform:</w:t>
      </w:r>
      <w:r w:rsidRPr="000D4FEC">
        <w:t xml:space="preserve"> React Native (Standardize patterns for both iOS and Android). </w:t>
      </w:r>
    </w:p>
    <w:p w14:paraId="64F35F6E" w14:textId="77777777" w:rsidR="000D4FEC" w:rsidRPr="000D4FEC" w:rsidRDefault="000D4FEC" w:rsidP="000D4FEC">
      <w:pPr>
        <w:numPr>
          <w:ilvl w:val="0"/>
          <w:numId w:val="4"/>
        </w:numPr>
      </w:pPr>
      <w:r w:rsidRPr="000D4FEC">
        <w:rPr>
          <w:b/>
          <w:bCs/>
        </w:rPr>
        <w:t>Authentication:</w:t>
      </w:r>
      <w:r w:rsidRPr="000D4FEC">
        <w:t xml:space="preserve"> The entry flow must prioritize a one-tap "Login with Google" alongside a standard email option. </w:t>
      </w:r>
    </w:p>
    <w:p w14:paraId="67A0DDBE" w14:textId="77777777" w:rsidR="000D4FEC" w:rsidRPr="000D4FEC" w:rsidRDefault="000D4FEC" w:rsidP="000D4FEC">
      <w:pPr>
        <w:numPr>
          <w:ilvl w:val="0"/>
          <w:numId w:val="4"/>
        </w:numPr>
      </w:pPr>
      <w:r w:rsidRPr="000D4FEC">
        <w:rPr>
          <w:b/>
          <w:bCs/>
        </w:rPr>
        <w:t>Empty States:</w:t>
      </w:r>
      <w:r w:rsidRPr="000D4FEC">
        <w:t xml:space="preserve"> Design helpful empty states for users who haven't logged their first trip yet, guiding them to "Create a Plan". </w:t>
      </w:r>
    </w:p>
    <w:p w14:paraId="2167B99C" w14:textId="77777777" w:rsidR="000D4FEC" w:rsidRPr="000D4FEC" w:rsidRDefault="000D4FEC" w:rsidP="000D4FEC">
      <w:r w:rsidRPr="000D4FEC">
        <w:pict w14:anchorId="00E96831">
          <v:rect id="_x0000_i1038" style="width:0;height:1.5pt" o:hralign="center" o:hrstd="t" o:hrnoshade="t" o:hr="t" fillcolor="gray" stroked="f"/>
        </w:pict>
      </w:r>
    </w:p>
    <w:p w14:paraId="23486B9E" w14:textId="77777777" w:rsidR="000D4FEC" w:rsidRPr="000D4FEC" w:rsidRDefault="000D4FEC" w:rsidP="000D4FEC">
      <w:pPr>
        <w:rPr>
          <w:b/>
          <w:bCs/>
        </w:rPr>
      </w:pPr>
      <w:r w:rsidRPr="000D4FEC">
        <w:rPr>
          <w:b/>
          <w:bCs/>
        </w:rPr>
        <w:t>5. Delivery Requirements</w:t>
      </w:r>
    </w:p>
    <w:p w14:paraId="2C554CFD" w14:textId="77777777" w:rsidR="000D4FEC" w:rsidRPr="000D4FEC" w:rsidRDefault="000D4FEC" w:rsidP="000D4FEC">
      <w:pPr>
        <w:numPr>
          <w:ilvl w:val="0"/>
          <w:numId w:val="5"/>
        </w:numPr>
      </w:pPr>
      <w:r w:rsidRPr="000D4FEC">
        <w:rPr>
          <w:b/>
          <w:bCs/>
        </w:rPr>
        <w:t>User Flow Map:</w:t>
      </w:r>
      <w:r w:rsidRPr="000D4FEC">
        <w:t xml:space="preserve"> From login to final debt settlement.</w:t>
      </w:r>
    </w:p>
    <w:p w14:paraId="5F774F6A" w14:textId="77777777" w:rsidR="000D4FEC" w:rsidRPr="000D4FEC" w:rsidRDefault="000D4FEC" w:rsidP="000D4FEC">
      <w:pPr>
        <w:numPr>
          <w:ilvl w:val="0"/>
          <w:numId w:val="5"/>
        </w:numPr>
      </w:pPr>
      <w:r w:rsidRPr="000D4FEC">
        <w:rPr>
          <w:b/>
          <w:bCs/>
        </w:rPr>
        <w:t>High-Fidelity Wireframes:</w:t>
      </w:r>
      <w:r w:rsidRPr="000D4FEC">
        <w:t xml:space="preserve"> Specifically for the Expense Input and Dashboard.</w:t>
      </w:r>
    </w:p>
    <w:p w14:paraId="7F2E769D" w14:textId="77777777" w:rsidR="000D4FEC" w:rsidRPr="000D4FEC" w:rsidRDefault="000D4FEC" w:rsidP="000D4FEC">
      <w:pPr>
        <w:numPr>
          <w:ilvl w:val="0"/>
          <w:numId w:val="5"/>
        </w:numPr>
      </w:pPr>
      <w:r w:rsidRPr="000D4FEC">
        <w:rPr>
          <w:b/>
          <w:bCs/>
        </w:rPr>
        <w:t>Prototype:</w:t>
      </w:r>
      <w:r w:rsidRPr="000D4FEC">
        <w:t xml:space="preserve"> A clickable flow showing the "Add Expense" and "Convert Currency" interactions.</w:t>
      </w:r>
    </w:p>
    <w:p w14:paraId="665B5FF1" w14:textId="77777777" w:rsidR="00534B24" w:rsidRDefault="00534B24"/>
    <w:sectPr w:rsidR="00534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00F9"/>
    <w:multiLevelType w:val="multilevel"/>
    <w:tmpl w:val="DFE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D3059"/>
    <w:multiLevelType w:val="multilevel"/>
    <w:tmpl w:val="10C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A40DA"/>
    <w:multiLevelType w:val="multilevel"/>
    <w:tmpl w:val="535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21708"/>
    <w:multiLevelType w:val="multilevel"/>
    <w:tmpl w:val="8FA6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1718F"/>
    <w:multiLevelType w:val="multilevel"/>
    <w:tmpl w:val="9C7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699661">
    <w:abstractNumId w:val="0"/>
  </w:num>
  <w:num w:numId="2" w16cid:durableId="523059419">
    <w:abstractNumId w:val="3"/>
  </w:num>
  <w:num w:numId="3" w16cid:durableId="458301345">
    <w:abstractNumId w:val="4"/>
  </w:num>
  <w:num w:numId="4" w16cid:durableId="627901618">
    <w:abstractNumId w:val="1"/>
  </w:num>
  <w:num w:numId="5" w16cid:durableId="1234505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3"/>
    <w:rsid w:val="00064418"/>
    <w:rsid w:val="000D4FEC"/>
    <w:rsid w:val="0044466E"/>
    <w:rsid w:val="00534B24"/>
    <w:rsid w:val="005B039E"/>
    <w:rsid w:val="007B78B3"/>
    <w:rsid w:val="008739DC"/>
    <w:rsid w:val="009653FF"/>
    <w:rsid w:val="0098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2B55D7-6A85-46FA-87F4-2FE8A0EDD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Manyu. Ong</dc:creator>
  <cp:keywords/>
  <dc:description/>
  <cp:lastModifiedBy>Manyu. Ong</cp:lastModifiedBy>
  <cp:revision>2</cp:revision>
  <dcterms:created xsi:type="dcterms:W3CDTF">2026-05-04T07:53:00Z</dcterms:created>
  <dcterms:modified xsi:type="dcterms:W3CDTF">2026-05-04T07:53:00Z</dcterms:modified>
</cp:coreProperties>
</file>