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>
          <w:rStyle w:val="Strong"/>
          <w:rFonts w:ascii="Arial" w:hAnsi="Arial"/>
          <w:b/>
          <w:bCs w:val="false"/>
          <w:color w:val="000000"/>
          <w:sz w:val="32"/>
        </w:rPr>
      </w:pPr>
      <w:r>
        <w:rPr>
          <w:rFonts w:ascii="Arial" w:hAnsi="Arial"/>
          <w:b/>
          <w:bCs w:val="false"/>
          <w:color w:themeColor="accent1" w:themeShade="bf" w:val="000000"/>
          <w:sz w:val="32"/>
        </w:rPr>
      </w:r>
    </w:p>
    <w:p>
      <w:pPr>
        <w:pStyle w:val="Normal"/>
        <w:spacing w:before="0" w:after="0"/>
        <w:jc w:val="center"/>
        <w:rPr>
          <w:rStyle w:val="Strong"/>
          <w:rFonts w:ascii="Arial" w:hAnsi="Arial"/>
          <w:b/>
          <w:color w:val="000000"/>
          <w:sz w:val="32"/>
        </w:rPr>
      </w:pPr>
      <w:r>
        <w:rPr>
          <w:rFonts w:ascii="Arial" w:hAnsi="Arial"/>
          <w:b/>
          <w:color w:val="000000"/>
          <w:sz w:val="32"/>
        </w:rPr>
      </w:r>
    </w:p>
    <w:p>
      <w:pPr>
        <w:pStyle w:val="Normal"/>
        <w:spacing w:before="0" w:after="0"/>
        <w:jc w:val="center"/>
        <w:rPr>
          <w:rStyle w:val="Strong"/>
          <w:rFonts w:ascii="Arial" w:hAnsi="Arial"/>
          <w:b/>
          <w:color w:val="000000"/>
          <w:sz w:val="32"/>
        </w:rPr>
      </w:pPr>
      <w:r>
        <w:rPr>
          <w:rFonts w:ascii="Arial" w:hAnsi="Arial"/>
          <w:b/>
          <w:color w:val="000000"/>
          <w:sz w:val="32"/>
        </w:rPr>
      </w:r>
    </w:p>
    <w:p>
      <w:pPr>
        <w:pStyle w:val="Heading1"/>
        <w:spacing w:before="0" w:after="0"/>
        <w:jc w:val="center"/>
        <w:rPr>
          <w:rStyle w:val="Strong"/>
          <w:rFonts w:ascii="Arial" w:hAnsi="Arial"/>
          <w:b/>
          <w:bCs w:val="false"/>
          <w:color w:val="000000"/>
          <w:sz w:val="32"/>
        </w:rPr>
      </w:pPr>
      <w:r>
        <w:rPr>
          <w:rFonts w:ascii="Arial" w:hAnsi="Arial"/>
          <w:b/>
          <w:bCs w:val="false"/>
          <w:color w:themeColor="accent1" w:themeShade="bf" w:val="000000"/>
          <w:sz w:val="32"/>
        </w:rPr>
      </w:r>
    </w:p>
    <w:p>
      <w:pPr>
        <w:pStyle w:val="BodyText"/>
        <w:spacing w:before="0" w:after="0"/>
        <w:jc w:val="center"/>
        <w:rPr/>
      </w:pPr>
      <w:r>
        <w:rPr>
          <w:rStyle w:val="Strong"/>
          <w:rFonts w:ascii="Arial" w:hAnsi="Arial"/>
          <w:color w:val="000000"/>
          <w:sz w:val="28"/>
          <w:szCs w:val="28"/>
        </w:rPr>
        <w:t>PAULO JOSÉ ELIAS MANZANO</w:t>
      </w:r>
    </w:p>
    <w:p>
      <w:pPr>
        <w:pStyle w:val="BodyText"/>
        <w:spacing w:before="0" w:after="0"/>
        <w:jc w:val="center"/>
        <w:rPr>
          <w:rStyle w:val="Strong"/>
          <w:rFonts w:ascii="Arial" w:hAnsi="Arial"/>
          <w:color w:val="000000"/>
          <w:sz w:val="36"/>
          <w:szCs w:val="36"/>
        </w:rPr>
      </w:pPr>
      <w:r>
        <w:rPr>
          <w:rFonts w:ascii="Arial" w:hAnsi="Arial"/>
          <w:color w:val="000000"/>
          <w:sz w:val="36"/>
          <w:szCs w:val="36"/>
        </w:rPr>
      </w:r>
    </w:p>
    <w:p>
      <w:pPr>
        <w:pStyle w:val="BodyText"/>
        <w:spacing w:before="0" w:after="0"/>
        <w:jc w:val="center"/>
        <w:rPr>
          <w:rStyle w:val="Strong"/>
          <w:rFonts w:ascii="Arial" w:hAnsi="Arial"/>
          <w:color w:val="000000"/>
          <w:sz w:val="36"/>
          <w:szCs w:val="36"/>
        </w:rPr>
      </w:pPr>
      <w:r>
        <w:rPr>
          <w:rFonts w:ascii="Arial" w:hAnsi="Arial"/>
          <w:color w:val="000000"/>
          <w:sz w:val="36"/>
          <w:szCs w:val="36"/>
        </w:rPr>
      </w:r>
    </w:p>
    <w:p>
      <w:pPr>
        <w:pStyle w:val="BodyText"/>
        <w:jc w:val="center"/>
        <w:rPr/>
      </w:pPr>
      <w:r>
        <w:rPr>
          <w:rStyle w:val="Strong"/>
          <w:rFonts w:ascii="Arial" w:hAnsi="Arial"/>
          <w:sz w:val="28"/>
          <w:szCs w:val="28"/>
        </w:rPr>
        <w:t>INTEGRAÇÃO DE MECANISMOS MODERNOS DE AUTENTICAÇÃO</w:t>
        <w:br/>
        <w:t>(PASSKEYS/WEBAUTHN + MPC) AO ECOSSISTEMA STELLAR</w:t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  <w:t>Mogi das Cruzes</w:t>
      </w:r>
      <w:r>
        <w:rPr>
          <w:rFonts w:ascii="Arial" w:hAnsi="Arial"/>
        </w:rPr>
        <w:t xml:space="preserve"> – SP</w:t>
        <w:br/>
        <w:t>2025</w:t>
      </w:r>
      <w:r>
        <w:br w:type="page"/>
      </w:r>
    </w:p>
    <w:p>
      <w:pPr>
        <w:pStyle w:val="BodyText"/>
        <w:spacing w:before="0" w:after="12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0" w:after="0"/>
        <w:jc w:val="center"/>
        <w:rPr>
          <w:rFonts w:ascii="Calibri" w:hAnsi="Calibri"/>
          <w:color w:val="000000"/>
          <w:sz w:val="28"/>
          <w:szCs w:val="28"/>
        </w:rPr>
      </w:pPr>
      <w:r>
        <w:rPr>
          <w:rStyle w:val="Strong"/>
          <w:rFonts w:ascii="Arial" w:hAnsi="Arial"/>
          <w:color w:val="000000"/>
          <w:sz w:val="24"/>
          <w:szCs w:val="24"/>
        </w:rPr>
        <w:t>PAULO JOSÉ ELIAS MANZANO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/>
      </w:pPr>
      <w:r>
        <w:rPr>
          <w:rStyle w:val="Strong"/>
          <w:rFonts w:ascii="Arial" w:hAnsi="Arial"/>
        </w:rPr>
        <w:t>INTEGRAÇÃO DE MECANISMOS MODERNOS DE AUTENTICAÇÃO</w:t>
        <w:br/>
        <w:t>(PASSKEYS/WEBAUTHN + MPC) AO ECOSSISTEMA STELLAR</w:t>
      </w:r>
    </w:p>
    <w:p>
      <w:pPr>
        <w:pStyle w:val="BodyText"/>
        <w:jc w:val="center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both"/>
        <w:rPr/>
      </w:pPr>
      <w:r>
        <w:rPr>
          <w:rFonts w:ascii="Arial" w:hAnsi="Arial"/>
        </w:rPr>
        <w:t xml:space="preserve">Proposta de projeto apresentada ao departamento responsável da </w:t>
      </w:r>
      <w:r>
        <w:rPr>
          <w:rStyle w:val="Strong"/>
          <w:rFonts w:ascii="Arial" w:hAnsi="Arial"/>
        </w:rPr>
        <w:t>Stellar Development Foundation</w:t>
      </w:r>
      <w:r>
        <w:rPr>
          <w:rFonts w:ascii="Arial" w:hAnsi="Arial"/>
        </w:rPr>
        <w:t xml:space="preserve"> para solicitação de </w:t>
      </w:r>
      <w:r>
        <w:rPr>
          <w:rStyle w:val="Strong"/>
          <w:rFonts w:ascii="Arial" w:hAnsi="Arial"/>
        </w:rPr>
        <w:t>grant de inovação</w:t>
      </w:r>
      <w:r>
        <w:rPr>
          <w:rFonts w:ascii="Arial" w:hAnsi="Arial"/>
        </w:rPr>
        <w:t>, com o objetivo de desenvolver, padronizar e implementar um novo método de autenticação baseado em Passkeys (WebAuthn/FIDO2) e Multi-Party Computation (MPC) no ecossistema Stellar.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  <w:t>Mogi das Cruzes</w:t>
      </w:r>
      <w:r>
        <w:rPr>
          <w:rFonts w:ascii="Arial" w:hAnsi="Arial"/>
        </w:rPr>
        <w:t xml:space="preserve"> – SP</w:t>
        <w:br/>
        <w:t>2025</w:t>
      </w:r>
      <w:r>
        <w:br w:type="page"/>
      </w:r>
    </w:p>
    <w:p>
      <w:pPr>
        <w:pStyle w:val="BodyText"/>
        <w:spacing w:before="0" w:after="0"/>
        <w:ind w:firstLine="567"/>
        <w:jc w:val="both"/>
        <w:rPr/>
      </w:pPr>
      <w:r>
        <w:rPr>
          <w:rFonts w:ascii="Arial" w:hAnsi="Arial"/>
        </w:rPr>
        <w:t xml:space="preserve">Esta proposta apresenta o desenvolvimento de um novo padrão de autenticação para o ecossistema Stellar, integrando Passkeys (WebAuthn/FIDO2) e MPC (Multi-Party Computation). O objetivo é substituir processos inseguros baseados em seed phrases por métodos modernos amplamente adotados por navegadores e dispositivos móveis. O projeto inclui desenvolvimento do SEP-XX, implementação de referência em Java e JavaScript, integração ao SDK oficial e auditoria de segurança. O prazo total estimado é de 7 meses, com orçamento entre </w:t>
      </w:r>
      <w:r>
        <w:rPr>
          <w:rStyle w:val="Strong"/>
          <w:rFonts w:ascii="Arial" w:hAnsi="Arial"/>
        </w:rPr>
        <w:t>USD 180.000 e USD 240.000</w:t>
      </w:r>
      <w:r>
        <w:rPr>
          <w:rFonts w:ascii="Arial" w:hAnsi="Arial"/>
        </w:rPr>
        <w:t>. Este projeto fortalece segurança, usabilidade e competitividade da rede Stellar, promovendo adoção institucional e melhoria significativa da experiência do usuário.</w:t>
      </w:r>
    </w:p>
    <w:p>
      <w:pPr>
        <w:pStyle w:val="BodyText"/>
        <w:jc w:val="center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keepNext w:val="true"/>
        <w:keepLines/>
        <w:widowControl/>
        <w:bidi w:val="0"/>
        <w:spacing w:lineRule="auto" w:line="276" w:before="0" w:after="0"/>
        <w:ind w:hanging="0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1. Resumo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Esta proposta apresenta um projeto de inovação voltado à implementação de um novo método de autenticação no ecossistema Stellar, baseado em Passkeys (WebAuthn/FIDO2) e MPC (Multi-Party Computation). A iniciativa propõe a modernização da autenticação utilizada por aplicações Stellar, reduzindo dependência de seed phrases, aumentando a segurança criptográfica e oferecendo uma experiência de usuário simplificada, suportada nativamente por navegadores e dispositivos móveis.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projeto prevê:</w:t>
      </w:r>
    </w:p>
    <w:p>
      <w:pPr>
        <w:pStyle w:val="Normal"/>
        <w:widowControl/>
        <w:numPr>
          <w:ilvl w:val="0"/>
          <w:numId w:val="18"/>
        </w:numPr>
        <w:bidi w:val="0"/>
        <w:spacing w:lineRule="auto" w:line="276" w:before="0" w:after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criação de um novo padrão técnico (SEP-XX),</w:t>
      </w:r>
    </w:p>
    <w:p>
      <w:pPr>
        <w:pStyle w:val="Normal"/>
        <w:widowControl/>
        <w:numPr>
          <w:ilvl w:val="0"/>
          <w:numId w:val="18"/>
        </w:numPr>
        <w:bidi w:val="0"/>
        <w:spacing w:lineRule="auto" w:line="276" w:before="0" w:after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desenvolvimento de implementações de referência em Java e JavaScript,</w:t>
      </w:r>
    </w:p>
    <w:p>
      <w:pPr>
        <w:pStyle w:val="Normal"/>
        <w:widowControl/>
        <w:numPr>
          <w:ilvl w:val="0"/>
          <w:numId w:val="18"/>
        </w:numPr>
        <w:bidi w:val="0"/>
        <w:spacing w:lineRule="auto" w:line="276" w:before="0" w:after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integração do método diretamente no Stellar SDK,</w:t>
      </w:r>
    </w:p>
    <w:p>
      <w:pPr>
        <w:pStyle w:val="Normal"/>
        <w:widowControl/>
        <w:numPr>
          <w:ilvl w:val="0"/>
          <w:numId w:val="18"/>
        </w:numPr>
        <w:bidi w:val="0"/>
        <w:spacing w:lineRule="auto" w:line="276" w:before="0" w:after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testes, documentação e auditoria de segurança.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objetivo é entregar um padrão seguro, auditável, escalável e pronto para adoção oficial no ecossistema Stellar.</w:t>
      </w:r>
    </w:p>
    <w:p>
      <w:pPr>
        <w:pStyle w:val="Normal"/>
        <w:widowControl/>
        <w:bidi w:val="0"/>
        <w:spacing w:lineRule="auto" w:line="276" w:before="0" w:after="0"/>
        <w:ind w:firstLine="85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2. Justificativa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 autenticação atual utilizada pelo ecossistema Stellar é baseada principalmente no SEP-10, que depende de assinaturas Ed25519 diretas — modelo adequado à época de sua criação, mas limitado para os padrões modernos de segurança digital.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Os principais desafios atualmente observados incluem: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dependência de seed phrases, que representam alto risco de perda ou comprometimento;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ausência de autenticação biométrica nativa;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falta de integração com padrões modernos de segurança amplamente aceitos (FIDO2/WebAuthn);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aumento global de ataques envolvendo phishing, fraudes e comprometimento de chaves privadas;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necessidade de aprimorar a experiência de novos usuários, especialmente em dispositivos móveis.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 integração de Passkeys e MPC representa uma evolução natural para o ecossistema Stellar, permitindo: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autenticação sem necessidade de memorizar senhas ou seed phrases;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uso de biometria nativa de dispositivos (Face ID, Touch ID, Windows Hello, Android Biometrics);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maior segurança graças à descentralização da chave privada com MPC;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compatibilidade direta com todos os navegadores modernos (Google, Microsoft, Apple).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</w:rPr>
      </w:pPr>
      <w:r>
        <w:rPr>
          <w:rFonts w:ascii="Arial" w:hAnsi="Arial"/>
          <w:color w:val="000000"/>
        </w:rPr>
        <w:t>Este projeto atende à necessidade atual da comunidade Stellar por soluções de autenticação mais seguras, acessíveis e padronizadas.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Style w:val="Strong"/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3. Objetivos</w:t>
      </w:r>
    </w:p>
    <w:p>
      <w:pPr>
        <w:pStyle w:val="Heading2"/>
        <w:keepNext w:val="true"/>
        <w:keepLines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  <w:sz w:val="24"/>
          <w:szCs w:val="24"/>
        </w:rPr>
        <w:t>3.1 Objetiv</w:t>
      </w:r>
      <w:r>
        <w:rPr>
          <w:rStyle w:val="Strong"/>
          <w:rFonts w:ascii="Arial" w:hAnsi="Arial"/>
          <w:b/>
          <w:bCs/>
          <w:color w:val="000000"/>
        </w:rPr>
        <w:t>o Geral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Criar, implementar e propor para adoção oficial um novo padrão de autenticação no ecossistema Stellar, baseado em Passkeys/WebAuthn e MPC, incluindo documentação técnica, implementação de referência e atualização do Stellar SDK.</w:t>
      </w:r>
    </w:p>
    <w:p>
      <w:pPr>
        <w:pStyle w:val="Heading2"/>
        <w:keepNext w:val="true"/>
        <w:keepLines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3.2 Objetivos Específicos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Desenvolver a especificação técnica “SEP-XX: Stellar Passkey &amp; MPC Authentication”.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Criar fluxos formais de autenticação compatíveis com SEP-10, mantendo retrocompatibilidade.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Desenvolver implementações de referência em:</w:t>
      </w:r>
    </w:p>
    <w:p>
      <w:pPr>
        <w:pStyle w:val="Normal"/>
        <w:widowControl/>
        <w:numPr>
          <w:ilvl w:val="1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1418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Java (backend / autenticação servidor)</w:t>
      </w:r>
    </w:p>
    <w:p>
      <w:pPr>
        <w:pStyle w:val="Normal"/>
        <w:widowControl/>
        <w:numPr>
          <w:ilvl w:val="1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1418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JavaScript (apps web, carteiras, dApps)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Propor integrações diretas no Stellar SDK oficial.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Realizar testes de integração, validação e segurança.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Produzir documentação, tutoriais e guias técnicos para adoção.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Obter feedback da comunidade e preparar submissão oficial ao Stellar Protocol.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4. Metodologia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projeto será executado em quatro fases principais: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color w:val="000000"/>
        </w:rPr>
        <w:t>Fase 1 — Pesquisa e Definição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Análise do SEP-10 existente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Estudo comparativo de padrões FIDO2/WebAuthn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Estudo de MPC compatível com Ed25519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Definição de fluxos e arquitetura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color w:val="000000"/>
        </w:rPr>
        <w:t>Fase 2 — Especificação SEP-XX</w:t>
      </w:r>
    </w:p>
    <w:p>
      <w:pPr>
        <w:pStyle w:val="Normal"/>
        <w:widowControl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Redação completa da especificação técnica</w:t>
      </w:r>
    </w:p>
    <w:p>
      <w:pPr>
        <w:pStyle w:val="Normal"/>
        <w:widowControl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Regras formais para challenge/response</w:t>
      </w:r>
    </w:p>
    <w:p>
      <w:pPr>
        <w:pStyle w:val="Normal"/>
        <w:widowControl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Definição dos formatos de mensagem</w:t>
      </w:r>
    </w:p>
    <w:p>
      <w:pPr>
        <w:pStyle w:val="Normal"/>
        <w:widowControl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Estratégias de mapeamento entre credencial WebAuthn e Conta Stellar</w:t>
      </w:r>
    </w:p>
    <w:p>
      <w:pPr>
        <w:pStyle w:val="Normal"/>
        <w:widowControl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Revisão e discussão com comunidade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color w:val="000000"/>
        </w:rPr>
        <w:t>Fase 3 — Implementação Técnica</w:t>
      </w:r>
    </w:p>
    <w:p>
      <w:pPr>
        <w:pStyle w:val="Normal"/>
        <w:widowControl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Desenvolvimento de SDK em JavaScript e Java</w:t>
      </w:r>
    </w:p>
    <w:p>
      <w:pPr>
        <w:pStyle w:val="Normal"/>
        <w:widowControl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Criação de exemplo funcional (dApp demo + backend demo)</w:t>
      </w:r>
    </w:p>
    <w:p>
      <w:pPr>
        <w:pStyle w:val="Normal"/>
        <w:widowControl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Integração com WebAuthn em navegadores</w:t>
      </w:r>
    </w:p>
    <w:p>
      <w:pPr>
        <w:pStyle w:val="Normal"/>
        <w:widowControl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Integração com provedores MPC (quando aplicável)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>
          <w:rStyle w:val="Strong"/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color w:val="000000"/>
        </w:rPr>
        <w:t>Fase 4 — Testes, Auditoria e Documentação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Testes unitários e de integração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Auditoria externa de segurança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Redação de documentação oficial, tutoriais e guias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Preparação para submissão ao Stellar Development Foundation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>
          <w:rStyle w:val="Strong"/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themeColor="accent1" w:themeShade="bf" w:val="000000"/>
        </w:rPr>
      </w:r>
      <w:r>
        <w:br w:type="page"/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5. Cronograma</w:t>
      </w:r>
    </w:p>
    <w:p>
      <w:pPr>
        <w:pStyle w:val="Normal"/>
        <w:spacing w:before="0" w:after="0"/>
        <w:rPr>
          <w:rStyle w:val="Strong"/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tbl>
      <w:tblPr>
        <w:tblW w:w="6627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6"/>
        <w:gridCol w:w="4368"/>
        <w:gridCol w:w="1293"/>
      </w:tblGrid>
      <w:tr>
        <w:trPr>
          <w:tblHeader w:val="true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C1C1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Fase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C1C1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Atividades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C1C1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Duração</w:t>
            </w:r>
          </w:p>
        </w:tc>
      </w:tr>
      <w:tr>
        <w:trPr/>
        <w:tc>
          <w:tcPr>
            <w:tcW w:w="9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Fase 1</w:t>
            </w:r>
          </w:p>
        </w:tc>
        <w:tc>
          <w:tcPr>
            <w:tcW w:w="43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Pesquisa e definição técnica</w:t>
            </w:r>
          </w:p>
        </w:tc>
        <w:tc>
          <w:tcPr>
            <w:tcW w:w="1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 mês</w:t>
            </w:r>
          </w:p>
        </w:tc>
      </w:tr>
      <w:tr>
        <w:trPr/>
        <w:tc>
          <w:tcPr>
            <w:tcW w:w="9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Fase 2</w:t>
            </w:r>
          </w:p>
        </w:tc>
        <w:tc>
          <w:tcPr>
            <w:tcW w:w="43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Especificação SEP-XX</w:t>
            </w:r>
          </w:p>
        </w:tc>
        <w:tc>
          <w:tcPr>
            <w:tcW w:w="1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 mês</w:t>
            </w:r>
          </w:p>
        </w:tc>
      </w:tr>
      <w:tr>
        <w:trPr/>
        <w:tc>
          <w:tcPr>
            <w:tcW w:w="9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Fase 3</w:t>
            </w:r>
          </w:p>
        </w:tc>
        <w:tc>
          <w:tcPr>
            <w:tcW w:w="43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Implementação SDK + demos</w:t>
            </w:r>
          </w:p>
        </w:tc>
        <w:tc>
          <w:tcPr>
            <w:tcW w:w="1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3 meses</w:t>
            </w:r>
          </w:p>
        </w:tc>
      </w:tr>
      <w:tr>
        <w:trPr/>
        <w:tc>
          <w:tcPr>
            <w:tcW w:w="9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Fase 4</w:t>
            </w:r>
          </w:p>
        </w:tc>
        <w:tc>
          <w:tcPr>
            <w:tcW w:w="43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Testes, auditoria e documentação</w:t>
            </w:r>
          </w:p>
        </w:tc>
        <w:tc>
          <w:tcPr>
            <w:tcW w:w="1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2 meses</w:t>
            </w:r>
          </w:p>
        </w:tc>
      </w:tr>
      <w:tr>
        <w:trPr/>
        <w:tc>
          <w:tcPr>
            <w:tcW w:w="966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  <w:color w:val="000000"/>
              </w:rPr>
              <w:t>Total</w:t>
            </w:r>
          </w:p>
        </w:tc>
        <w:tc>
          <w:tcPr>
            <w:tcW w:w="4368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  <w:color w:val="000000"/>
              </w:rPr>
              <w:t>—</w:t>
            </w:r>
          </w:p>
        </w:tc>
        <w:tc>
          <w:tcPr>
            <w:tcW w:w="1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  <w:color w:val="000000"/>
              </w:rPr>
              <w:t>7 meses</w:t>
            </w:r>
          </w:p>
        </w:tc>
      </w:tr>
    </w:tbl>
    <w:p>
      <w:pPr>
        <w:pStyle w:val="Normal"/>
        <w:widowControl/>
        <w:bidi w:val="0"/>
        <w:spacing w:lineRule="auto" w:line="276" w:before="0" w:after="0"/>
        <w:ind w:firstLine="567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6. Recursos Necessários</w:t>
      </w:r>
    </w:p>
    <w:p>
      <w:pPr>
        <w:pStyle w:val="Heading2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6.1. Recursos Humanos</w:t>
      </w:r>
    </w:p>
    <w:p>
      <w:pPr>
        <w:pStyle w:val="Normal"/>
        <w:widowControl/>
        <w:numPr>
          <w:ilvl w:val="0"/>
          <w:numId w:val="14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 Arquiteto de Software</w:t>
      </w:r>
    </w:p>
    <w:p>
      <w:pPr>
        <w:pStyle w:val="Normal"/>
        <w:widowControl/>
        <w:numPr>
          <w:ilvl w:val="0"/>
          <w:numId w:val="14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 Desenvolvedores (Java e JavaScript)</w:t>
      </w:r>
    </w:p>
    <w:p>
      <w:pPr>
        <w:pStyle w:val="Normal"/>
        <w:widowControl/>
        <w:numPr>
          <w:ilvl w:val="0"/>
          <w:numId w:val="14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 Especialista em Segurança Criptográfica</w:t>
      </w:r>
    </w:p>
    <w:p>
      <w:pPr>
        <w:pStyle w:val="Normal"/>
        <w:widowControl/>
        <w:numPr>
          <w:ilvl w:val="0"/>
          <w:numId w:val="14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 Redator técnico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6.2. Infraestrutura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Ambientes de teste e CI/CD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Servidores cloud para prototipagem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Hardware para testes de autenticação (YubiKey, Smartphones, etc.)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6.3. Serviços e Auditorias</w:t>
      </w:r>
    </w:p>
    <w:p>
      <w:pPr>
        <w:pStyle w:val="Normal"/>
        <w:widowControl/>
        <w:numPr>
          <w:ilvl w:val="0"/>
          <w:numId w:val="16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firstLine="284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Auditoria externa de segurança (recomendada para adoção oficial)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keepNext w:val="true"/>
        <w:keepLines/>
        <w:widowControl/>
        <w:bidi w:val="0"/>
        <w:spacing w:lineRule="auto" w:line="276" w:before="0" w:after="0"/>
        <w:ind w:firstLine="567" w:left="0" w:right="0"/>
        <w:jc w:val="left"/>
        <w:rPr/>
      </w:pPr>
      <w:r>
        <w:rPr>
          <w:rStyle w:val="Strong"/>
          <w:rFonts w:ascii="Arial" w:hAnsi="Arial"/>
          <w:b/>
          <w:bCs/>
          <w:color w:val="000000"/>
        </w:rPr>
        <w:t>6.4. Valor Total Solicitado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firstLine="567" w:left="0" w:right="0"/>
        <w:jc w:val="left"/>
        <w:outlineLvl w:val="1"/>
        <w:rPr>
          <w:rStyle w:val="Strong"/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tbl>
      <w:tblPr>
        <w:tblW w:w="549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28"/>
        <w:gridCol w:w="2667"/>
      </w:tblGrid>
      <w:tr>
        <w:trPr/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C1C1C" w:val="clear"/>
            <w:vAlign w:val="center"/>
          </w:tcPr>
          <w:p>
            <w:pPr>
              <w:pStyle w:val="Ttulodetabela"/>
              <w:bidi w:val="0"/>
              <w:spacing w:lineRule="auto" w:line="276" w:before="0" w:after="0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  <w:t>Categoria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C1C1C" w:val="clear"/>
            <w:vAlign w:val="center"/>
          </w:tcPr>
          <w:p>
            <w:pPr>
              <w:pStyle w:val="Ttulodetabela"/>
              <w:bidi w:val="0"/>
              <w:spacing w:lineRule="auto" w:line="276" w:before="0" w:after="0"/>
              <w:ind w:hanging="0" w:left="0" w:right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Total Estimado (USD)</w:t>
            </w:r>
          </w:p>
        </w:tc>
      </w:tr>
      <w:tr>
        <w:trPr/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>Recursos Humanos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</w:rPr>
              <w:t>127.000 – 189.000</w:t>
            </w:r>
          </w:p>
        </w:tc>
      </w:tr>
      <w:tr>
        <w:trPr/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>Infraestrutura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</w:rPr>
              <w:t xml:space="preserve">    </w:t>
            </w:r>
            <w:r>
              <w:rPr>
                <w:rStyle w:val="Strong"/>
                <w:rFonts w:ascii="Arial" w:hAnsi="Arial"/>
              </w:rPr>
              <w:t>5.500 –   10.000</w:t>
            </w:r>
          </w:p>
        </w:tc>
      </w:tr>
      <w:tr>
        <w:trPr/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>Auditoria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</w:rPr>
              <w:t xml:space="preserve">  </w:t>
            </w:r>
            <w:r>
              <w:rPr>
                <w:rStyle w:val="Strong"/>
                <w:rFonts w:ascii="Arial" w:hAnsi="Arial"/>
              </w:rPr>
              <w:t>20.000 –   60.000</w:t>
            </w:r>
          </w:p>
        </w:tc>
      </w:tr>
      <w:tr>
        <w:trPr/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>Documentação Final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</w:rPr>
              <w:t xml:space="preserve">    </w:t>
            </w:r>
            <w:r>
              <w:rPr>
                <w:rStyle w:val="Strong"/>
                <w:rFonts w:ascii="Arial" w:hAnsi="Arial"/>
              </w:rPr>
              <w:t>4.000 –     8.000</w:t>
            </w:r>
          </w:p>
        </w:tc>
      </w:tr>
      <w:tr>
        <w:trPr/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Arial" w:hAnsi="Arial"/>
              </w:rPr>
              <w:t xml:space="preserve">   </w:t>
            </w:r>
            <w:r>
              <w:rPr>
                <w:rStyle w:val="Strong"/>
                <w:rFonts w:ascii="Arial" w:hAnsi="Arial"/>
              </w:rPr>
              <w:t>Total Geral Estimado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Contedodatabela"/>
              <w:bidi w:val="0"/>
              <w:spacing w:lineRule="auto" w:line="276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Arial" w:hAnsi="Arial"/>
              </w:rPr>
              <w:t>156.500 – 267.000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firstLine="567" w:left="0" w:right="0"/>
        <w:jc w:val="left"/>
        <w:outlineLvl w:val="1"/>
        <w:rPr>
          <w:rStyle w:val="Strong"/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7. Resultados Esperados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Um novo método de autenticação moderno, seguro e escalável.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Inclusão do novo padrão no Stellar Ecosystem Proposals (SEP).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Exemplos de referência completos para comunidade e empresas.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Redução do risco associado ao uso de seed phrases.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Aumento da adoção institucional da rede Stellar.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Melhoria na experiência de usuário e acessibilidade.</w:t>
      </w:r>
    </w:p>
    <w:p>
      <w:pPr>
        <w:pStyle w:val="Normal"/>
        <w:widowControl/>
        <w:numPr>
          <w:ilvl w:val="0"/>
          <w:numId w:val="17"/>
        </w:numPr>
        <w:tabs>
          <w:tab w:val="clear" w:pos="720"/>
          <w:tab w:val="left" w:pos="0" w:leader="none"/>
        </w:tabs>
        <w:bidi w:val="0"/>
        <w:spacing w:lineRule="auto" w:line="276" w:before="0" w:after="0"/>
        <w:ind w:hanging="283" w:left="709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Inovação na camada de autenticação, tornando Stellar mais competitiva no cenário global.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0"/>
        <w:ind w:hanging="0" w:left="0" w:right="0"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1"/>
        <w:spacing w:before="0" w:after="0"/>
        <w:rPr/>
      </w:pPr>
      <w:r>
        <w:rPr>
          <w:rStyle w:val="Strong"/>
          <w:rFonts w:ascii="Arial" w:hAnsi="Arial"/>
          <w:b/>
          <w:bCs/>
          <w:color w:val="000000"/>
        </w:rPr>
        <w:t>8. Considerações Finais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 integração de Passkeys/WebAuthn e MPC representa um avanço estratégico para o ecossistema Stellar, oferecendo segurança de nível empresarial, usabilidade moderna e compatibilidade global com fabricantes e sistemas operacionais.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Este projeto está alinhado às diretrizes de inovação, segurança e acessibilidade promovidas pela Stellar Development Foundation e representa um passo importante para evolução da plataforma.</w:t>
      </w:r>
    </w:p>
    <w:p>
      <w:pPr>
        <w:pStyle w:val="Normal"/>
        <w:widowControl/>
        <w:bidi w:val="0"/>
        <w:spacing w:lineRule="auto" w:line="276" w:before="0" w:after="0"/>
        <w:ind w:firstLine="567" w:left="0" w:right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Solicitamos avaliação e apoio financeiro para execução completa do projeto, com compromisso de transparência, colaboração com a comunidade e entrega de resultados de alto impacto para o ecossistema.</w:t>
      </w:r>
    </w:p>
    <w:p>
      <w:pPr>
        <w:pStyle w:val="Normal"/>
        <w:spacing w:before="0" w:after="0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</w:r>
    </w:p>
    <w:sectPr>
      <w:type w:val="nextPage"/>
      <w:pgSz w:w="12240" w:h="15840"/>
      <w:pgMar w:left="1134" w:right="1800" w:gutter="0" w:header="0" w:top="144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1287"/>
        </w:tabs>
        <w:ind w:left="1287" w:hanging="360"/>
      </w:pPr>
      <w:rPr/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  <w:rPr/>
    </w:lvl>
    <w:lvl w:ilvl="2">
      <w:start w:val="1"/>
      <w:numFmt w:val="decimal"/>
      <w:lvlText w:val="%3."/>
      <w:lvlJc w:val="left"/>
      <w:pPr>
        <w:tabs>
          <w:tab w:val="num" w:pos="2007"/>
        </w:tabs>
        <w:ind w:left="2007" w:hanging="360"/>
      </w:pPr>
      <w:rPr/>
    </w:lvl>
    <w:lvl w:ilvl="3">
      <w:start w:val="1"/>
      <w:numFmt w:val="decimal"/>
      <w:lvlText w:val="%4."/>
      <w:lvlJc w:val="left"/>
      <w:pPr>
        <w:tabs>
          <w:tab w:val="num" w:pos="2367"/>
        </w:tabs>
        <w:ind w:left="2367" w:hanging="360"/>
      </w:pPr>
      <w:rPr/>
    </w:lvl>
    <w:lvl w:ilvl="4">
      <w:start w:val="1"/>
      <w:numFmt w:val="decimal"/>
      <w:lvlText w:val="%5."/>
      <w:lvlJc w:val="left"/>
      <w:pPr>
        <w:tabs>
          <w:tab w:val="num" w:pos="2727"/>
        </w:tabs>
        <w:ind w:left="2727" w:hanging="360"/>
      </w:pPr>
      <w:rPr/>
    </w:lvl>
    <w:lvl w:ilvl="5">
      <w:start w:val="1"/>
      <w:numFmt w:val="decimal"/>
      <w:lvlText w:val="%6."/>
      <w:lvlJc w:val="left"/>
      <w:pPr>
        <w:tabs>
          <w:tab w:val="num" w:pos="3087"/>
        </w:tabs>
        <w:ind w:left="3087" w:hanging="360"/>
      </w:pPr>
      <w:rPr/>
    </w:lvl>
    <w:lvl w:ilvl="6">
      <w:start w:val="1"/>
      <w:numFmt w:val="decimal"/>
      <w:lvlText w:val="%7."/>
      <w:lvlJc w:val="left"/>
      <w:pPr>
        <w:tabs>
          <w:tab w:val="num" w:pos="3447"/>
        </w:tabs>
        <w:ind w:left="3447" w:hanging="360"/>
      </w:pPr>
      <w:rPr/>
    </w:lvl>
    <w:lvl w:ilvl="7">
      <w:start w:val="1"/>
      <w:numFmt w:val="decimal"/>
      <w:lvlText w:val="%8."/>
      <w:lvlJc w:val="left"/>
      <w:pPr>
        <w:tabs>
          <w:tab w:val="num" w:pos="3807"/>
        </w:tabs>
        <w:ind w:left="3807" w:hanging="360"/>
      </w:pPr>
      <w:rPr/>
    </w:lvl>
    <w:lvl w:ilvl="8">
      <w:start w:val="1"/>
      <w:numFmt w:val="decimal"/>
      <w:lvlText w:val="%9."/>
      <w:lvlJc w:val="left"/>
      <w:pPr>
        <w:tabs>
          <w:tab w:val="num" w:pos="4167"/>
        </w:tabs>
        <w:ind w:left="4167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InternetLink">
    <w:name w:val="Internet Link"/>
    <w:qFormat/>
    <w:rPr>
      <w:color w:val="000080"/>
      <w:u w:val="single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LibreOffice/24.2.5.2$Windows_X86_64 LibreOffice_project/bffef4ea93e59bebbeaf7f431bb02b1a39ee8a59</Application>
  <AppVersion>15.0000</AppVersion>
  <Pages>7</Pages>
  <Words>1020</Words>
  <Characters>6205</Characters>
  <CharactersWithSpaces>7095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cp:lastPrinted>2025-12-05T15:45:19Z</cp:lastPrinted>
  <dcterms:modified xsi:type="dcterms:W3CDTF">2025-12-05T16:12:56Z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