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sz w:val="24"/>
          <w:szCs w:val="24"/>
        </w:rPr>
      </w:pPr>
      <w:r w:rsidDel="00000000" w:rsidR="00000000" w:rsidRPr="00000000">
        <w:rPr>
          <w:sz w:val="24"/>
          <w:szCs w:val="24"/>
          <w:rtl w:val="0"/>
        </w:rPr>
        <w:t xml:space="preserve">Creating a study plan for an MBA in Business Administration over the course of two years in China requires structuring both academic coursework and practical experiences while integrating the unique aspects of studying abroad in China. Here is a sample study plan Foundation and Core Knowledge</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  1. Introduction to Business Administration</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     Overview of business fundamentals, key principles in business decision-making, and ethics.</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  2. Economics for Business</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     Focus on microeconomics and macroeconomics principles that affect businesses globally.</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  3. Accounting and Financial Management</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     Introduction to financial accounting, reporting, budgeting, and analysis.</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  4. Organizational Behavior</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    Explore human behavior in organizations and strategies for effective leadership.</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  5. Chinese Business Environment</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     Understanding the business landscape in China, government regulations, and market strategies.</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 Extracurricular Activities:</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  - Attend introductory seminars on Chinese business culture.</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  - Participate in networking events for international students.</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Semester 2 </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Courses:</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  1. Marketing Management</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     Study the principles and practices of marketing in both Chinese and global contexts.</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  2. Corporate Finance</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     Learn advanced financial analysis, investment decision-making, and risk management.</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  3. Business Statistics</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     Analytical skills for interpreting business data and making informed decisions.</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  4. Strategic Management</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     Understand how businesses create and implement strategies for competitive advantage.</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  5. Cross-Cultural Management</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     Insights into managing teams and businesses in diverse cultural settings, especially in Asia.</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 Extracurricular Activities:</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  - Engage with student business organizations or clubs.</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  - Participate in business case competitions or team-building exercises.</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Summer Break (Internship/Work Experience)</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 Secure a short-term internship with a Chinese or international company in China. Focus on gaining exposure to the Chinese market and how businesses adapt to local challenges.</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Year 2: Specialization, Advanced Knowledge, and Networking**</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Semester 3 </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Courses:</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  1. International Business and Trade</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     Study the dynamics of global trade and international business management.</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  2. Business Ethics and Corporate Social Responsibility (CSR)</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     Deepen understanding of ethical decision-making and CSR, especially in the Chinese context.</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  3. Human Resource Management</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     Learn advanced HRM strategies, employee development, and organizational culture management.</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  4. Entrepreneurship and Innovation</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     Explore strategies for new venture creation, innovation management, and scalability.</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  5. Operations and Supply Chain Management</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     Examine the processes that drive the production, logistics, and distribution of goods and services.</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 Extracurricular Activities:</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  - Attend business conferences or seminars in China.</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  - Join a startup accelerator program or participate in innovation challenges.</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Semester 4 </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 Courses:</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  1. Leadership and Change Management</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     Learn how to lead organizations through change and inspire teams to perform at their best.</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  2. Digital Transformation and Business Technology</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     Study how technology (AI, Blockchain, IoT) is transforming businesses globally and in China.</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  3. Risk Management</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     Learn techniques for identifying, assessing, and mitigating risks in global and local contexts.</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  4. Advanced Marketing Strategy</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     Explore advanced topics in digital marketing, branding, and customer engagement.</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  5. Global Business Strategy</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     Understanding international strategies and managing businesses across borders.</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 Extracurricular Activities:</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  - Engage in global business simulations.</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  - Network with industry professionals in China and globally.</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Summer Break (Capstone Project and Networking)</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 Complete the Capstone Project or Thesis focused on a business challenge within China or Asia.</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 Seek networking opportunities at business conferences or trade events in China to connect with professionals for post-graduation opportunities.</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Final Year (Post-Graduation)</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 Networking and Job Search: Begin looking for potential full-time positions, leveraging both your academic learnings and your network in China.</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 Alumni Connections: Engage with alumni for advice, mentorship, and job opportunities.</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Language Consideration:</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While studying in China, learning Mandarin will significantly enhance your experience and career prospects. You may consider a language course alongside your studies to improve your communication skills in the local context.</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Study Plan Recap:</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1. Year 1 Build core business knowledge, understand the Chinese market, and focus on foundational subjects.</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2. Dive deeper into specializations, such as international business, digital transformation, and leadership. Work on a capstone project.</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3. Language &amp; Networking:Learn Chinese for better cultural integration and professional networking.</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This plan ensures that you not only graduate with strong academic qualifications but also gain valuable real-world insights and a global network.</w:t>
      </w:r>
    </w:p>
    <w:p w:rsidR="00000000" w:rsidDel="00000000" w:rsidP="00000000" w:rsidRDefault="00000000" w:rsidRPr="00000000" w14:paraId="0000004C">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