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ourier New" w:cs="Courier New" w:eastAsia="Courier New" w:hAnsi="Courier New"/>
          <w:b/>
          <w:bCs/>
          <w:caps/>
          <w:color w:val="C2410C"/>
          <w:spacing w:val="24"/>
          <w:sz w:val="15"/>
          <w:szCs w:val="15"/>
        </w:rPr>
        <w:t xml:space="preserve">DENORMAL LABS</w:t>
      </w:r>
    </w:p>
    <w:p>
      <w:pPr>
        <w:pStyle w:val="Title"/>
        <w:spacing w:after="200"/>
      </w:pPr>
      <w:r>
        <w:rPr>
          <w:rFonts w:ascii="Calibri" w:cs="Calibri" w:eastAsia="Calibri" w:hAnsi="Calibri"/>
          <w:b/>
          <w:bCs/>
          <w:color w:val="18181B"/>
          <w:sz w:val="52"/>
          <w:szCs w:val="52"/>
        </w:rPr>
        <w:t xml:space="preserve">Five systems for work that has to stand up to audit.</w:t>
      </w:r>
    </w:p>
    <w:p>
      <w:pPr>
        <w:spacing w:after="260" w:before="0"/>
      </w:pPr>
      <w:r>
        <w:rPr>
          <w:rFonts w:ascii="Calibri" w:cs="Calibri" w:eastAsia="Calibri" w:hAnsi="Calibri"/>
          <w:color w:val="3F3F46"/>
          <w:sz w:val="22"/>
          <w:szCs w:val="22"/>
        </w:rPr>
        <w:t xml:space="preserve">Each one began as a process we ran ourselves before we wrote any software for it — a tender read, a claim built, a hold point held, a hazard closed out. They share no runtime. They share one rule: every answer arrives with the evidence it was built from.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00"/>
        <w:gridCol w:w="7306"/>
      </w:tblGrid>
      <w:tr>
        <w:tc>
          <w:tcPr>
            <w:tcW w:type="dxa" w:w="24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ourier New" w:cs="Courier New" w:eastAsia="Courier New" w:hAnsi="Courier New"/>
                <w:b/>
                <w:bCs/>
                <w:color w:val="C2410C"/>
                <w:sz w:val="18"/>
                <w:szCs w:val="18"/>
              </w:rPr>
              <w:t xml:space="preserve">01</w:t>
            </w:r>
          </w:p>
          <w:p>
            <w:pPr>
              <w:spacing w:after="30" w:before="0"/>
            </w:pPr>
            <w:r>
              <w:rPr>
                <w:rFonts w:ascii="Calibri" w:cs="Calibri" w:eastAsia="Calibri" w:hAnsi="Calibri"/>
                <w:b/>
                <w:bCs/>
                <w:color w:val="18181B"/>
                <w:sz w:val="21"/>
                <w:szCs w:val="21"/>
              </w:rPr>
              <w:t xml:space="preserve">Power Contract Intelligence</w:t>
            </w:r>
          </w:p>
          <w:p>
            <w:pPr>
              <w:spacing w:after="120" w:before="0"/>
            </w:pPr>
            <w:r>
              <w:rPr>
                <w:rFonts w:ascii="Calibri" w:cs="Calibri" w:eastAsia="Calibri" w:hAnsi="Calibri"/>
                <w:color w:val="6B6B72"/>
                <w:sz w:val="17"/>
                <w:szCs w:val="17"/>
              </w:rPr>
              <w:t xml:space="preserve">Pre-award tender review</w:t>
            </w:r>
          </w:p>
        </w:tc>
        <w:tc>
          <w:tcPr>
            <w:tcW w:type="dxa" w:w="73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120" w:before="0"/>
            </w:pPr>
            <w:r>
              <w:rPr>
                <w:rFonts w:ascii="Calibri" w:cs="Calibri" w:eastAsia="Calibri" w:hAnsi="Calibri"/>
                <w:color w:val="3F3F46"/>
                <w:sz w:val="19"/>
                <w:szCs w:val="19"/>
              </w:rPr>
              <w:t xml:space="preserve">A workspace for reading a tender pack before you bid or before you award. The pack goes in; risks, deviations, pre-bid queries and a clause map come out.</w:t>
            </w:r>
          </w:p>
        </w:tc>
      </w:tr>
      <w:tr>
        <w:tc>
          <w:tcPr>
            <w:tcW w:type="dxa" w:w="24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ourier New" w:cs="Courier New" w:eastAsia="Courier New" w:hAnsi="Courier New"/>
                <w:b/>
                <w:bCs/>
                <w:color w:val="C2410C"/>
                <w:sz w:val="18"/>
                <w:szCs w:val="18"/>
              </w:rPr>
              <w:t xml:space="preserve">02</w:t>
            </w:r>
          </w:p>
          <w:p>
            <w:pPr>
              <w:spacing w:after="30" w:before="0"/>
            </w:pPr>
            <w:r>
              <w:rPr>
                <w:rFonts w:ascii="Calibri" w:cs="Calibri" w:eastAsia="Calibri" w:hAnsi="Calibri"/>
                <w:b/>
                <w:bCs/>
                <w:color w:val="18181B"/>
                <w:sz w:val="21"/>
                <w:szCs w:val="21"/>
              </w:rPr>
              <w:t xml:space="preserve">OneLegal</w:t>
            </w:r>
          </w:p>
          <w:p>
            <w:pPr>
              <w:spacing w:after="120" w:before="0"/>
            </w:pPr>
            <w:r>
              <w:rPr>
                <w:rFonts w:ascii="Calibri" w:cs="Calibri" w:eastAsia="Calibri" w:hAnsi="Calibri"/>
                <w:color w:val="6B6B72"/>
                <w:sz w:val="17"/>
                <w:szCs w:val="17"/>
              </w:rPr>
              <w:t xml:space="preserve">Contracts and claims</w:t>
            </w:r>
          </w:p>
        </w:tc>
        <w:tc>
          <w:tcPr>
            <w:tcW w:type="dxa" w:w="73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120" w:before="0"/>
            </w:pPr>
            <w:r>
              <w:rPr>
                <w:rFonts w:ascii="Calibri" w:cs="Calibri" w:eastAsia="Calibri" w:hAnsi="Calibri"/>
                <w:color w:val="3F3F46"/>
                <w:sz w:val="19"/>
                <w:szCs w:val="19"/>
              </w:rPr>
              <w:t xml:space="preserve">A workbench for contract review and dispute work. A contract set is read into an isolated matter and returned as a risk matrix with clause-level citations.</w:t>
            </w:r>
          </w:p>
        </w:tc>
      </w:tr>
      <w:tr>
        <w:tc>
          <w:tcPr>
            <w:tcW w:type="dxa" w:w="24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ourier New" w:cs="Courier New" w:eastAsia="Courier New" w:hAnsi="Courier New"/>
                <w:b/>
                <w:bCs/>
                <w:color w:val="C2410C"/>
                <w:sz w:val="18"/>
                <w:szCs w:val="18"/>
              </w:rPr>
              <w:t xml:space="preserve">03</w:t>
            </w:r>
          </w:p>
          <w:p>
            <w:pPr>
              <w:spacing w:after="30" w:before="0"/>
            </w:pPr>
            <w:r>
              <w:rPr>
                <w:rFonts w:ascii="Calibri" w:cs="Calibri" w:eastAsia="Calibri" w:hAnsi="Calibri"/>
                <w:b/>
                <w:bCs/>
                <w:color w:val="18181B"/>
                <w:sz w:val="21"/>
                <w:szCs w:val="21"/>
              </w:rPr>
              <w:t xml:space="preserve">Peak Logic</w:t>
            </w:r>
          </w:p>
          <w:p>
            <w:pPr>
              <w:spacing w:after="120" w:before="0"/>
            </w:pPr>
            <w:r>
              <w:rPr>
                <w:rFonts w:ascii="Calibri" w:cs="Calibri" w:eastAsia="Calibri" w:hAnsi="Calibri"/>
                <w:color w:val="6B6B72"/>
                <w:sz w:val="17"/>
                <w:szCs w:val="17"/>
              </w:rPr>
              <w:t xml:space="preserve">Schedule and delay analysis</w:t>
            </w:r>
          </w:p>
        </w:tc>
        <w:tc>
          <w:tcPr>
            <w:tcW w:type="dxa" w:w="73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120" w:before="0"/>
            </w:pPr>
            <w:r>
              <w:rPr>
                <w:rFonts w:ascii="Calibri" w:cs="Calibri" w:eastAsia="Calibri" w:hAnsi="Calibri"/>
                <w:color w:val="3F3F46"/>
                <w:sz w:val="19"/>
                <w:szCs w:val="19"/>
              </w:rPr>
              <w:t xml:space="preserve">A critical-path scheduling and forensic delay-analysis platform. It reads a Primavera P6 schedule, grades it, then produces a defensible extension-of-time position.</w:t>
            </w:r>
          </w:p>
        </w:tc>
      </w:tr>
      <w:tr>
        <w:tc>
          <w:tcPr>
            <w:tcW w:type="dxa" w:w="24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ourier New" w:cs="Courier New" w:eastAsia="Courier New" w:hAnsi="Courier New"/>
                <w:b/>
                <w:bCs/>
                <w:color w:val="C2410C"/>
                <w:sz w:val="18"/>
                <w:szCs w:val="18"/>
              </w:rPr>
              <w:t xml:space="preserve">04</w:t>
            </w:r>
          </w:p>
          <w:p>
            <w:pPr>
              <w:spacing w:after="30" w:before="0"/>
            </w:pPr>
            <w:r>
              <w:rPr>
                <w:rFonts w:ascii="Calibri" w:cs="Calibri" w:eastAsia="Calibri" w:hAnsi="Calibri"/>
                <w:b/>
                <w:bCs/>
                <w:color w:val="18181B"/>
                <w:sz w:val="21"/>
                <w:szCs w:val="21"/>
              </w:rPr>
              <w:t xml:space="preserve">Sentinel</w:t>
            </w:r>
          </w:p>
          <w:p>
            <w:pPr>
              <w:spacing w:after="120" w:before="0"/>
            </w:pPr>
            <w:r>
              <w:rPr>
                <w:rFonts w:ascii="Calibri" w:cs="Calibri" w:eastAsia="Calibri" w:hAnsi="Calibri"/>
                <w:color w:val="6B6B72"/>
                <w:sz w:val="17"/>
                <w:szCs w:val="17"/>
              </w:rPr>
              <w:t xml:space="preserve">Safety and permits</w:t>
            </w:r>
          </w:p>
        </w:tc>
        <w:tc>
          <w:tcPr>
            <w:tcW w:type="dxa" w:w="73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120" w:before="0"/>
            </w:pPr>
            <w:r>
              <w:rPr>
                <w:rFonts w:ascii="Calibri" w:cs="Calibri" w:eastAsia="Calibri" w:hAnsi="Calibri"/>
                <w:color w:val="3F3F46"/>
                <w:sz w:val="19"/>
                <w:szCs w:val="19"/>
              </w:rPr>
              <w:t xml:space="preserve">A mobile-first environment, health and safety platform for plants and construction sites. A worker photographs a hazard; a cited countermeasure comes back.</w:t>
            </w:r>
          </w:p>
        </w:tc>
      </w:tr>
      <w:tr>
        <w:tc>
          <w:tcPr>
            <w:tcW w:type="dxa" w:w="24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ourier New" w:cs="Courier New" w:eastAsia="Courier New" w:hAnsi="Courier New"/>
                <w:b/>
                <w:bCs/>
                <w:color w:val="C2410C"/>
                <w:sz w:val="18"/>
                <w:szCs w:val="18"/>
              </w:rPr>
              <w:t xml:space="preserve">05</w:t>
            </w:r>
          </w:p>
          <w:p>
            <w:pPr>
              <w:spacing w:after="30" w:before="0"/>
            </w:pPr>
            <w:r>
              <w:rPr>
                <w:rFonts w:ascii="Calibri" w:cs="Calibri" w:eastAsia="Calibri" w:hAnsi="Calibri"/>
                <w:b/>
                <w:bCs/>
                <w:color w:val="18181B"/>
                <w:sz w:val="21"/>
                <w:szCs w:val="21"/>
              </w:rPr>
              <w:t xml:space="preserve">Quality AI</w:t>
            </w:r>
          </w:p>
          <w:p>
            <w:pPr>
              <w:spacing w:after="120" w:before="0"/>
            </w:pPr>
            <w:r>
              <w:rPr>
                <w:rFonts w:ascii="Calibri" w:cs="Calibri" w:eastAsia="Calibri" w:hAnsi="Calibri"/>
                <w:color w:val="6B6B72"/>
                <w:sz w:val="17"/>
                <w:szCs w:val="17"/>
              </w:rPr>
              <w:t xml:space="preserve">Inspection and non-conformance</w:t>
            </w:r>
          </w:p>
        </w:tc>
        <w:tc>
          <w:tcPr>
            <w:tcW w:type="dxa" w:w="73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120" w:before="0"/>
            </w:pPr>
            <w:r>
              <w:rPr>
                <w:rFonts w:ascii="Calibri" w:cs="Calibri" w:eastAsia="Calibri" w:hAnsi="Calibri"/>
                <w:color w:val="3F3F46"/>
                <w:sz w:val="19"/>
                <w:szCs w:val="19"/>
              </w:rPr>
              <w:t xml:space="preserve">Document-grounded quality control for manufacturing and project work packages. Requirements in, inspection and test plan out, non-conformance closed with evidence.</w:t>
            </w:r>
          </w:p>
        </w:tc>
      </w:tr>
    </w:tbl>
    <w:p>
      <w:r>
        <w:br w:type="page"/>
      </w:r>
    </w:p>
    <w:p>
      <w:pPr>
        <w:spacing w:after="60" w:before="0"/>
      </w:pPr>
      <w:r>
        <w:rPr>
          <w:rFonts w:ascii="Courier New" w:cs="Courier New" w:eastAsia="Courier New" w:hAnsi="Courier New"/>
          <w:b/>
          <w:bCs/>
          <w:caps/>
          <w:color w:val="C2410C"/>
          <w:spacing w:val="24"/>
          <w:sz w:val="15"/>
          <w:szCs w:val="15"/>
        </w:rPr>
        <w:t xml:space="preserve">01  //  PRE-AWARD TENDER REVIEW</w:t>
      </w:r>
    </w:p>
    <w:p>
      <w:pPr>
        <w:pStyle w:val="Heading1"/>
        <w:spacing w:after="140" w:before="320"/>
      </w:pPr>
      <w:r>
        <w:rPr>
          <w:rFonts w:ascii="Calibri" w:cs="Calibri" w:eastAsia="Calibri" w:hAnsi="Calibri"/>
          <w:b/>
          <w:bCs/>
          <w:color w:val="18181B"/>
          <w:sz w:val="34"/>
          <w:szCs w:val="34"/>
        </w:rPr>
        <w:t xml:space="preserve">Power Contract Intelligence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1</w:t>
            </w:r>
          </w:p>
          <w:p>
            <w:pPr>
              <w:spacing w:after="120" w:before="0"/>
            </w:pPr>
            <w:r>
              <w:rPr>
                <w:rFonts w:ascii="Calibri" w:cs="Calibri" w:eastAsia="Calibri" w:hAnsi="Calibri"/>
                <w:color w:val="18181B"/>
                <w:sz w:val="18"/>
                <w:szCs w:val="18"/>
              </w:rPr>
              <w:t xml:space="preserve">Tender pack</w:t>
            </w:r>
          </w:p>
        </w:tc>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2</w:t>
            </w:r>
          </w:p>
          <w:p>
            <w:pPr>
              <w:spacing w:after="120" w:before="0"/>
            </w:pPr>
            <w:r>
              <w:rPr>
                <w:rFonts w:ascii="Calibri" w:cs="Calibri" w:eastAsia="Calibri" w:hAnsi="Calibri"/>
                <w:color w:val="18181B"/>
                <w:sz w:val="18"/>
                <w:szCs w:val="18"/>
              </w:rPr>
              <w:t xml:space="preserve">Read against 13 fixed questions</w:t>
            </w:r>
          </w:p>
        </w:tc>
        <w:tc>
          <w:tcPr>
            <w:tcW w:type="dxa" w:w="323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3</w:t>
            </w:r>
          </w:p>
          <w:p>
            <w:pPr>
              <w:spacing w:after="120" w:before="0"/>
            </w:pPr>
            <w:r>
              <w:rPr>
                <w:rFonts w:ascii="Calibri" w:cs="Calibri" w:eastAsia="Calibri" w:hAnsi="Calibri"/>
                <w:color w:val="18181B"/>
                <w:sz w:val="18"/>
                <w:szCs w:val="18"/>
              </w:rPr>
              <w:t xml:space="preserve">Deviation register → go/no-go</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is</w:t>
            </w:r>
          </w:p>
          <w:p>
            <w:pPr>
              <w:spacing w:after="0" w:before="0"/>
            </w:pPr>
            <w:r>
              <w:rPr>
                <w:rFonts w:ascii="Calibri" w:cs="Calibri" w:eastAsia="Calibri" w:hAnsi="Calibri"/>
                <w:color w:val="3F3F46"/>
                <w:sz w:val="19"/>
                <w:szCs w:val="19"/>
              </w:rPr>
              <w:t xml:space="preserve">A workspace for reading a tender pack before you bid or before you award. The pack goes in; risks, deviations, pre-bid queries and a clause map come out.</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does</w:t>
            </w:r>
          </w:p>
          <w:p>
            <w:pPr>
              <w:spacing w:after="0" w:before="0"/>
            </w:pPr>
            <w:r>
              <w:rPr>
                <w:rFonts w:ascii="Calibri" w:cs="Calibri" w:eastAsia="Calibri" w:hAnsi="Calibri"/>
                <w:color w:val="3F3F46"/>
                <w:sz w:val="19"/>
                <w:szCs w:val="19"/>
              </w:rPr>
              <w:t xml:space="preserve">Reads hundreds of pages of general and special conditions, scope, bill of quantities and tax appendices against the same thirteen questions every time — penalties, warranty, local content, change in law, termination — then carries the findings through three review gates to a recorded go/no-go.</w:t>
            </w:r>
          </w:p>
        </w:tc>
      </w:tr>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Why buy it</w:t>
            </w:r>
          </w:p>
          <w:p>
            <w:pPr>
              <w:spacing w:after="0" w:before="0"/>
            </w:pPr>
            <w:r>
              <w:rPr>
                <w:rFonts w:ascii="Calibri" w:cs="Calibri" w:eastAsia="Calibri" w:hAnsi="Calibri"/>
                <w:color w:val="3F3F46"/>
                <w:sz w:val="19"/>
                <w:szCs w:val="19"/>
              </w:rPr>
              <w:t xml:space="preserve">What sinks a contract is the clause nobody had time to read. Bid decisions are made in days; the pack is read by whoever was free. This makes the reading uniform, so coverage does not depend on who ran it or how busy that week was.</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How it helps you</w:t>
            </w:r>
          </w:p>
          <w:p>
            <w:pPr>
              <w:spacing w:after="0" w:before="0"/>
            </w:pPr>
            <w:r>
              <w:rPr>
                <w:rFonts w:ascii="Calibri" w:cs="Calibri" w:eastAsia="Calibri" w:hAnsi="Calibri"/>
                <w:color w:val="3F3F46"/>
                <w:sz w:val="19"/>
                <w:szCs w:val="19"/>
              </w:rPr>
              <w:t xml:space="preserve">Your committee receives a deviation register, a risk register, pre-bid queries and the gate records as one workbook. Every finding cites the clause it came from, so a reviewer can check it rather than take it on trust.</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YOU GET BACK</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Man-hours</w:t>
            </w:r>
          </w:p>
          <w:p>
            <w:pPr>
              <w:spacing w:after="0" w:before="0"/>
            </w:pPr>
            <w:r>
              <w:rPr>
                <w:rFonts w:ascii="Calibri" w:cs="Calibri" w:eastAsia="Calibri" w:hAnsi="Calibri"/>
                <w:color w:val="3F3F46"/>
                <w:sz w:val="18"/>
                <w:szCs w:val="18"/>
              </w:rPr>
              <w:t xml:space="preserve">One pack, read once, against the same thirteen questions — rather than each reviewer reading as far as the calendar allowed. Your arithmetic: staff-days per tender pack today × packs per year.</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Records digitised</w:t>
            </w:r>
          </w:p>
          <w:p>
            <w:pPr>
              <w:spacing w:after="0" w:before="0"/>
            </w:pPr>
            <w:r>
              <w:rPr>
                <w:rFonts w:ascii="Calibri" w:cs="Calibri" w:eastAsia="Calibri" w:hAnsi="Calibri"/>
                <w:color w:val="3F3F46"/>
                <w:sz w:val="18"/>
                <w:szCs w:val="18"/>
              </w:rPr>
              <w:t xml:space="preserve">The deviation register, pre-bid queries, pricing assumptions and all three gate decisions stop being an email thread and become one workbook, every finding cited to the clause it came from.</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Money</w:t>
            </w:r>
          </w:p>
          <w:p>
            <w:pPr>
              <w:spacing w:after="0" w:before="0"/>
            </w:pPr>
            <w:r>
              <w:rPr>
                <w:rFonts w:ascii="Calibri" w:cs="Calibri" w:eastAsia="Calibri" w:hAnsi="Calibri"/>
                <w:color w:val="3F3F46"/>
                <w:sz w:val="18"/>
                <w:szCs w:val="18"/>
              </w:rPr>
              <w:t xml:space="preserve">The exposure you avoid is the clause nobody had time to read. Price it the way your own contracts do — the LD ladder, the change-in-law position, the local-content undertaking you would otherwise have accepted unpriced.</w:t>
            </w:r>
          </w:p>
        </w:tc>
      </w:tr>
    </w:tbl>
    <w:p>
      <w:r>
        <w:br w:type="page"/>
      </w:r>
    </w:p>
    <w:p>
      <w:pPr>
        <w:spacing w:after="60" w:before="0"/>
      </w:pPr>
      <w:r>
        <w:rPr>
          <w:rFonts w:ascii="Courier New" w:cs="Courier New" w:eastAsia="Courier New" w:hAnsi="Courier New"/>
          <w:b/>
          <w:bCs/>
          <w:caps/>
          <w:color w:val="C2410C"/>
          <w:spacing w:val="24"/>
          <w:sz w:val="15"/>
          <w:szCs w:val="15"/>
        </w:rPr>
        <w:t xml:space="preserve">02  //  CONTRACTS AND CLAIMS</w:t>
      </w:r>
    </w:p>
    <w:p>
      <w:pPr>
        <w:pStyle w:val="Heading1"/>
        <w:spacing w:after="140" w:before="320"/>
      </w:pPr>
      <w:r>
        <w:rPr>
          <w:rFonts w:ascii="Calibri" w:cs="Calibri" w:eastAsia="Calibri" w:hAnsi="Calibri"/>
          <w:b/>
          <w:bCs/>
          <w:color w:val="18181B"/>
          <w:sz w:val="34"/>
          <w:szCs w:val="34"/>
        </w:rPr>
        <w:t xml:space="preserve">OneLegal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1</w:t>
            </w:r>
          </w:p>
          <w:p>
            <w:pPr>
              <w:spacing w:after="120" w:before="0"/>
            </w:pPr>
            <w:r>
              <w:rPr>
                <w:rFonts w:ascii="Calibri" w:cs="Calibri" w:eastAsia="Calibri" w:hAnsi="Calibri"/>
                <w:color w:val="18181B"/>
                <w:sz w:val="18"/>
                <w:szCs w:val="18"/>
              </w:rPr>
              <w:t xml:space="preserve">Contract set</w:t>
            </w:r>
          </w:p>
        </w:tc>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2</w:t>
            </w:r>
          </w:p>
          <w:p>
            <w:pPr>
              <w:spacing w:after="120" w:before="0"/>
            </w:pPr>
            <w:r>
              <w:rPr>
                <w:rFonts w:ascii="Calibri" w:cs="Calibri" w:eastAsia="Calibri" w:hAnsi="Calibri"/>
                <w:color w:val="18181B"/>
                <w:sz w:val="18"/>
                <w:szCs w:val="18"/>
              </w:rPr>
              <w:t xml:space="preserve">Sealed evidence, cited to clause</w:t>
            </w:r>
          </w:p>
        </w:tc>
        <w:tc>
          <w:tcPr>
            <w:tcW w:type="dxa" w:w="323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3</w:t>
            </w:r>
          </w:p>
          <w:p>
            <w:pPr>
              <w:spacing w:after="120" w:before="0"/>
            </w:pPr>
            <w:r>
              <w:rPr>
                <w:rFonts w:ascii="Calibri" w:cs="Calibri" w:eastAsia="Calibri" w:hAnsi="Calibri"/>
                <w:color w:val="18181B"/>
                <w:sz w:val="18"/>
                <w:szCs w:val="18"/>
              </w:rPr>
              <w:t xml:space="preserve">Risk matrix → drafted notice</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is</w:t>
            </w:r>
          </w:p>
          <w:p>
            <w:pPr>
              <w:spacing w:after="0" w:before="0"/>
            </w:pPr>
            <w:r>
              <w:rPr>
                <w:rFonts w:ascii="Calibri" w:cs="Calibri" w:eastAsia="Calibri" w:hAnsi="Calibri"/>
                <w:color w:val="3F3F46"/>
                <w:sz w:val="19"/>
                <w:szCs w:val="19"/>
              </w:rPr>
              <w:t xml:space="preserve">A workbench for contract review and dispute work. A contract set is read into an isolated matter and returned as a risk matrix with clause-level citations.</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does</w:t>
            </w:r>
          </w:p>
          <w:p>
            <w:pPr>
              <w:spacing w:after="0" w:before="0"/>
            </w:pPr>
            <w:r>
              <w:rPr>
                <w:rFonts w:ascii="Calibri" w:cs="Calibri" w:eastAsia="Calibri" w:hAnsi="Calibri"/>
                <w:color w:val="3F3F46"/>
                <w:sz w:val="19"/>
                <w:szCs w:val="19"/>
              </w:rPr>
              <w:t xml:space="preserve">Maps a contract against roughly three hundred canonical questions across eleven contract families, including FIDIC, IChemE, Orgalime and the NTPC general conditions. For a dispute, counsel curates an evidence set and seals it; drafting may then run only over that frozen set.</w:t>
            </w:r>
          </w:p>
        </w:tc>
      </w:tr>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Why buy it</w:t>
            </w:r>
          </w:p>
          <w:p>
            <w:pPr>
              <w:spacing w:after="0" w:before="0"/>
            </w:pPr>
            <w:r>
              <w:rPr>
                <w:rFonts w:ascii="Calibri" w:cs="Calibri" w:eastAsia="Calibri" w:hAnsi="Calibri"/>
                <w:color w:val="3F3F46"/>
                <w:sz w:val="19"/>
                <w:szCs w:val="19"/>
              </w:rPr>
              <w:t xml:space="preserve">A six-hundred-page contract is unreadable under deal pressure. And in a dispute, drafting over a corpus that keeps growing means you can never state precisely what a submission was based on — which is the first question the other side asks.</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How it helps you</w:t>
            </w:r>
          </w:p>
          <w:p>
            <w:pPr>
              <w:spacing w:after="0" w:before="0"/>
            </w:pPr>
            <w:r>
              <w:rPr>
                <w:rFonts w:ascii="Calibri" w:cs="Calibri" w:eastAsia="Calibri" w:hAnsi="Calibri"/>
                <w:color w:val="3F3F46"/>
                <w:sz w:val="19"/>
                <w:szCs w:val="19"/>
              </w:rPr>
              <w:t xml:space="preserve">Deviation review that occupies an officer for a fortnight becomes a day with a written trail. The sealed set means that when you say what a claim was built from, you can prove it — to the tribunal, and to audit.</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YOU GET BACK</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Man-hours</w:t>
            </w:r>
          </w:p>
          <w:p>
            <w:pPr>
              <w:spacing w:after="0" w:before="0"/>
            </w:pPr>
            <w:r>
              <w:rPr>
                <w:rFonts w:ascii="Calibri" w:cs="Calibri" w:eastAsia="Calibri" w:hAnsi="Calibri"/>
                <w:color w:val="3F3F46"/>
                <w:sz w:val="18"/>
                <w:szCs w:val="18"/>
              </w:rPr>
              <w:t xml:space="preserve">Deviation review against your general conditions, on every bidder, without the review shortening as the deadline approaches. Your arithmetic: reviewer-days per bidder × bidders per tender.</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Records digitised</w:t>
            </w:r>
          </w:p>
          <w:p>
            <w:pPr>
              <w:spacing w:after="0" w:before="0"/>
            </w:pPr>
            <w:r>
              <w:rPr>
                <w:rFonts w:ascii="Calibri" w:cs="Calibri" w:eastAsia="Calibri" w:hAnsi="Calibri"/>
                <w:color w:val="3F3F46"/>
                <w:sz w:val="18"/>
                <w:szCs w:val="18"/>
              </w:rPr>
              <w:t xml:space="preserve">A contract set becomes a searchable matter with clause-level citation, and an evidence set can be sealed so a draft states exactly what it was built from — instead of a corpus that has moved on since.</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Money</w:t>
            </w:r>
          </w:p>
          <w:p>
            <w:pPr>
              <w:spacing w:after="0" w:before="0"/>
            </w:pPr>
            <w:r>
              <w:rPr>
                <w:rFonts w:ascii="Calibri" w:cs="Calibri" w:eastAsia="Calibri" w:hAnsi="Calibri"/>
                <w:color w:val="3F3F46"/>
                <w:sz w:val="18"/>
                <w:szCs w:val="18"/>
              </w:rPr>
              <w:t xml:space="preserve">External counsel hours on first-pass review, and the far larger figure behind them: claims that fail on documentation rather than entitlement. Your own arbitration history is the honest input here.</w:t>
            </w:r>
          </w:p>
        </w:tc>
      </w:tr>
    </w:tbl>
    <w:p>
      <w:r>
        <w:br w:type="page"/>
      </w:r>
    </w:p>
    <w:p>
      <w:pPr>
        <w:spacing w:after="60" w:before="0"/>
      </w:pPr>
      <w:r>
        <w:rPr>
          <w:rFonts w:ascii="Courier New" w:cs="Courier New" w:eastAsia="Courier New" w:hAnsi="Courier New"/>
          <w:b/>
          <w:bCs/>
          <w:caps/>
          <w:color w:val="C2410C"/>
          <w:spacing w:val="24"/>
          <w:sz w:val="15"/>
          <w:szCs w:val="15"/>
        </w:rPr>
        <w:t xml:space="preserve">03  //  SCHEDULE AND DELAY ANALYSIS</w:t>
      </w:r>
    </w:p>
    <w:p>
      <w:pPr>
        <w:pStyle w:val="Heading1"/>
        <w:spacing w:after="140" w:before="320"/>
      </w:pPr>
      <w:r>
        <w:rPr>
          <w:rFonts w:ascii="Calibri" w:cs="Calibri" w:eastAsia="Calibri" w:hAnsi="Calibri"/>
          <w:b/>
          <w:bCs/>
          <w:color w:val="18181B"/>
          <w:sz w:val="34"/>
          <w:szCs w:val="34"/>
        </w:rPr>
        <w:t xml:space="preserve">Peak Logic</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1</w:t>
            </w:r>
          </w:p>
          <w:p>
            <w:pPr>
              <w:spacing w:after="120" w:before="0"/>
            </w:pPr>
            <w:r>
              <w:rPr>
                <w:rFonts w:ascii="Calibri" w:cs="Calibri" w:eastAsia="Calibri" w:hAnsi="Calibri"/>
                <w:color w:val="18181B"/>
                <w:sz w:val="18"/>
                <w:szCs w:val="18"/>
              </w:rPr>
              <w:t xml:space="preserve">P6 schedule (XER)</w:t>
            </w:r>
          </w:p>
        </w:tc>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2</w:t>
            </w:r>
          </w:p>
          <w:p>
            <w:pPr>
              <w:spacing w:after="120" w:before="0"/>
            </w:pPr>
            <w:r>
              <w:rPr>
                <w:rFonts w:ascii="Calibri" w:cs="Calibri" w:eastAsia="Calibri" w:hAnsi="Calibri"/>
                <w:color w:val="18181B"/>
                <w:sz w:val="18"/>
                <w:szCs w:val="18"/>
              </w:rPr>
              <w:t xml:space="preserve">Graded, then analysed event by event</w:t>
            </w:r>
          </w:p>
        </w:tc>
        <w:tc>
          <w:tcPr>
            <w:tcW w:type="dxa" w:w="323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3</w:t>
            </w:r>
          </w:p>
          <w:p>
            <w:pPr>
              <w:spacing w:after="120" w:before="0"/>
            </w:pPr>
            <w:r>
              <w:rPr>
                <w:rFonts w:ascii="Calibri" w:cs="Calibri" w:eastAsia="Calibri" w:hAnsi="Calibri"/>
                <w:color w:val="18181B"/>
                <w:sz w:val="18"/>
                <w:szCs w:val="18"/>
              </w:rPr>
              <w:t xml:space="preserve">Net EOT, with the working shown</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is</w:t>
            </w:r>
          </w:p>
          <w:p>
            <w:pPr>
              <w:spacing w:after="0" w:before="0"/>
            </w:pPr>
            <w:r>
              <w:rPr>
                <w:rFonts w:ascii="Calibri" w:cs="Calibri" w:eastAsia="Calibri" w:hAnsi="Calibri"/>
                <w:color w:val="3F3F46"/>
                <w:sz w:val="19"/>
                <w:szCs w:val="19"/>
              </w:rPr>
              <w:t xml:space="preserve">A critical-path scheduling and forensic delay-analysis platform. It reads a Primavera P6 schedule, grades it, then produces a defensible extension-of-time position.</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does</w:t>
            </w:r>
          </w:p>
          <w:p>
            <w:pPr>
              <w:spacing w:after="0" w:before="0"/>
            </w:pPr>
            <w:r>
              <w:rPr>
                <w:rFonts w:ascii="Calibri" w:cs="Calibri" w:eastAsia="Calibri" w:hAnsi="Calibri"/>
                <w:color w:val="3F3F46"/>
                <w:sz w:val="19"/>
                <w:szCs w:val="19"/>
              </w:rPr>
              <w:t xml:space="preserve">Imports the XER directly, runs its own CPM engine over it — forward and backward pass, float, calendars, constraints, lag — then applies delay events one at a time in an SCL Protocol time-impact analysis with Malmaison attribution.</w:t>
            </w:r>
          </w:p>
        </w:tc>
      </w:tr>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Why buy it</w:t>
            </w:r>
          </w:p>
          <w:p>
            <w:pPr>
              <w:spacing w:after="0" w:before="0"/>
            </w:pPr>
            <w:r>
              <w:rPr>
                <w:rFonts w:ascii="Calibri" w:cs="Calibri" w:eastAsia="Calibri" w:hAnsi="Calibri"/>
                <w:color w:val="3F3F46"/>
                <w:sz w:val="19"/>
                <w:szCs w:val="19"/>
              </w:rPr>
              <w:t xml:space="preserve">Building an extension-of-time claim takes weeks, and the number has to survive an opposing expert who will attack the method before the arithmetic. Meanwhile you need a Primavera licence simply to open the file.</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How it helps you</w:t>
            </w:r>
          </w:p>
          <w:p>
            <w:pPr>
              <w:spacing w:after="0" w:before="0"/>
            </w:pPr>
            <w:r>
              <w:rPr>
                <w:rFonts w:ascii="Calibri" w:cs="Calibri" w:eastAsia="Calibri" w:hAnsi="Calibri"/>
                <w:color w:val="3F3F46"/>
                <w:sz w:val="19"/>
                <w:szCs w:val="19"/>
              </w:rPr>
              <w:t xml:space="preserve">You get a cumulative waterfall showing how the number was produced, not just the number. A schedule-quality gate blocks the analysis until the programme is fit to analyse, and any override is recorded.</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YOU GET BACK</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Man-hours</w:t>
            </w:r>
          </w:p>
          <w:p>
            <w:pPr>
              <w:spacing w:after="0" w:before="0"/>
            </w:pPr>
            <w:r>
              <w:rPr>
                <w:rFonts w:ascii="Calibri" w:cs="Calibri" w:eastAsia="Calibri" w:hAnsi="Calibri"/>
                <w:color w:val="3F3F46"/>
                <w:sz w:val="18"/>
                <w:szCs w:val="18"/>
              </w:rPr>
              <w:t xml:space="preserve">A schedule graded and a delay analysis run event by event, in place of weeks of manual forensic work. Your arithmetic: analyst-weeks per claim × claims in dispute.</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Records digitised</w:t>
            </w:r>
          </w:p>
          <w:p>
            <w:pPr>
              <w:spacing w:after="0" w:before="0"/>
            </w:pPr>
            <w:r>
              <w:rPr>
                <w:rFonts w:ascii="Calibri" w:cs="Calibri" w:eastAsia="Calibri" w:hAnsi="Calibri"/>
                <w:color w:val="3F3F46"/>
                <w:sz w:val="18"/>
                <w:szCs w:val="18"/>
              </w:rPr>
              <w:t xml:space="preserve">Baselines, schedule-quality scores, delay events and the attribution behind the entitlement become a stored, re-runnable record rather than one consultant's working file.</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Money</w:t>
            </w:r>
          </w:p>
          <w:p>
            <w:pPr>
              <w:spacing w:after="0" w:before="0"/>
            </w:pPr>
            <w:r>
              <w:rPr>
                <w:rFonts w:ascii="Calibri" w:cs="Calibri" w:eastAsia="Calibri" w:hAnsi="Calibri"/>
                <w:color w:val="3F3F46"/>
                <w:sz w:val="18"/>
                <w:szCs w:val="18"/>
              </w:rPr>
              <w:t xml:space="preserve">A forensic delay analysis bought from a claims consultant is a market rate you can check against quotes you already hold. Add the Primavera licences currently needed simply to open the file.</w:t>
            </w:r>
          </w:p>
        </w:tc>
      </w:tr>
    </w:tbl>
    <w:p>
      <w:r>
        <w:br w:type="page"/>
      </w:r>
    </w:p>
    <w:p>
      <w:pPr>
        <w:spacing w:after="60" w:before="0"/>
      </w:pPr>
      <w:r>
        <w:rPr>
          <w:rFonts w:ascii="Courier New" w:cs="Courier New" w:eastAsia="Courier New" w:hAnsi="Courier New"/>
          <w:b/>
          <w:bCs/>
          <w:caps/>
          <w:color w:val="C2410C"/>
          <w:spacing w:val="24"/>
          <w:sz w:val="15"/>
          <w:szCs w:val="15"/>
        </w:rPr>
        <w:t xml:space="preserve">04  //  SAFETY AND PERMITS</w:t>
      </w:r>
    </w:p>
    <w:p>
      <w:pPr>
        <w:pStyle w:val="Heading1"/>
        <w:spacing w:after="140" w:before="320"/>
      </w:pPr>
      <w:r>
        <w:rPr>
          <w:rFonts w:ascii="Calibri" w:cs="Calibri" w:eastAsia="Calibri" w:hAnsi="Calibri"/>
          <w:b/>
          <w:bCs/>
          <w:color w:val="18181B"/>
          <w:sz w:val="34"/>
          <w:szCs w:val="34"/>
        </w:rPr>
        <w:t xml:space="preserve">Sentinel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1</w:t>
            </w:r>
          </w:p>
          <w:p>
            <w:pPr>
              <w:spacing w:after="120" w:before="0"/>
            </w:pPr>
            <w:r>
              <w:rPr>
                <w:rFonts w:ascii="Calibri" w:cs="Calibri" w:eastAsia="Calibri" w:hAnsi="Calibri"/>
                <w:color w:val="18181B"/>
                <w:sz w:val="18"/>
                <w:szCs w:val="18"/>
              </w:rPr>
              <w:t xml:space="preserve">Photograph at the workface</w:t>
            </w:r>
          </w:p>
        </w:tc>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2</w:t>
            </w:r>
          </w:p>
          <w:p>
            <w:pPr>
              <w:spacing w:after="120" w:before="0"/>
            </w:pPr>
            <w:r>
              <w:rPr>
                <w:rFonts w:ascii="Calibri" w:cs="Calibri" w:eastAsia="Calibri" w:hAnsi="Calibri"/>
                <w:color w:val="18181B"/>
                <w:sz w:val="18"/>
                <w:szCs w:val="18"/>
              </w:rPr>
              <w:t xml:space="preserve">Classified and grounded in standards</w:t>
            </w:r>
          </w:p>
        </w:tc>
        <w:tc>
          <w:tcPr>
            <w:tcW w:type="dxa" w:w="323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3</w:t>
            </w:r>
          </w:p>
          <w:p>
            <w:pPr>
              <w:spacing w:after="120" w:before="0"/>
            </w:pPr>
            <w:r>
              <w:rPr>
                <w:rFonts w:ascii="Calibri" w:cs="Calibri" w:eastAsia="Calibri" w:hAnsi="Calibri"/>
                <w:color w:val="18181B"/>
                <w:sz w:val="18"/>
                <w:szCs w:val="18"/>
              </w:rPr>
              <w:t xml:space="preserve">Cited countermeasure + audit row</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is</w:t>
            </w:r>
          </w:p>
          <w:p>
            <w:pPr>
              <w:spacing w:after="0" w:before="0"/>
            </w:pPr>
            <w:r>
              <w:rPr>
                <w:rFonts w:ascii="Calibri" w:cs="Calibri" w:eastAsia="Calibri" w:hAnsi="Calibri"/>
                <w:color w:val="3F3F46"/>
                <w:sz w:val="19"/>
                <w:szCs w:val="19"/>
              </w:rPr>
              <w:t xml:space="preserve">A mobile-first environment, health and safety platform for plants and construction sites. A worker photographs a hazard; a cited countermeasure comes back.</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does</w:t>
            </w:r>
          </w:p>
          <w:p>
            <w:pPr>
              <w:spacing w:after="0" w:before="0"/>
            </w:pPr>
            <w:r>
              <w:rPr>
                <w:rFonts w:ascii="Calibri" w:cs="Calibri" w:eastAsia="Calibri" w:hAnsi="Calibri"/>
                <w:color w:val="3F3F46"/>
                <w:sz w:val="19"/>
                <w:szCs w:val="19"/>
              </w:rPr>
              <w:t xml:space="preserve">Classifies the photograph against a twenty-one-type hazard taxonomy, drafts the report, and retrieves countermeasures from a corpus spanning OSHA, HSE UK, NIOSH and Lean material — each answer carrying its citation chain and a grounding score.</w:t>
            </w:r>
          </w:p>
        </w:tc>
      </w:tr>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Why buy it</w:t>
            </w:r>
          </w:p>
          <w:p>
            <w:pPr>
              <w:spacing w:after="0" w:before="0"/>
            </w:pPr>
            <w:r>
              <w:rPr>
                <w:rFonts w:ascii="Calibri" w:cs="Calibri" w:eastAsia="Calibri" w:hAnsi="Calibri"/>
                <w:color w:val="3F3F46"/>
                <w:sz w:val="19"/>
                <w:szCs w:val="19"/>
              </w:rPr>
              <w:t xml:space="preserve">Safety software collects reports. The gap is the loop from an observation to a corrected condition. Near-misses are under-reported to the point where leading indicators stop meaning anything, because reporting one costs twelve minutes of paperwork.</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How it helps you</w:t>
            </w:r>
          </w:p>
          <w:p>
            <w:pPr>
              <w:spacing w:after="0" w:before="0"/>
            </w:pPr>
            <w:r>
              <w:rPr>
                <w:rFonts w:ascii="Calibri" w:cs="Calibri" w:eastAsia="Calibri" w:hAnsi="Calibri"/>
                <w:color w:val="3F3F46"/>
                <w:sz w:val="19"/>
                <w:szCs w:val="19"/>
              </w:rPr>
              <w:t xml:space="preserve">Reporting takes under a minute from the phone already in the worker's hand, which is the only intervention that reliably moves reporting rates. Permit-to-work audits return PASS, FAIL or UNCERTAIN against a cited standard rather than one inspector's opinion.</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YOU GET BACK</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Man-hours</w:t>
            </w:r>
          </w:p>
          <w:p>
            <w:pPr>
              <w:spacing w:after="0" w:before="0"/>
            </w:pPr>
            <w:r>
              <w:rPr>
                <w:rFonts w:ascii="Calibri" w:cs="Calibri" w:eastAsia="Calibri" w:hAnsi="Calibri"/>
                <w:color w:val="3F3F46"/>
                <w:sz w:val="18"/>
                <w:szCs w:val="18"/>
              </w:rPr>
              <w:t xml:space="preserve">Reporting a hazard takes under a minute from the phone already in the worker's hand. Your arithmetic: minutes per paper report today × reports per site per month × sites.</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Records digitised</w:t>
            </w:r>
          </w:p>
          <w:p>
            <w:pPr>
              <w:spacing w:after="0" w:before="0"/>
            </w:pPr>
            <w:r>
              <w:rPr>
                <w:rFonts w:ascii="Calibri" w:cs="Calibri" w:eastAsia="Calibri" w:hAnsi="Calibri"/>
                <w:color w:val="3F3F46"/>
                <w:sz w:val="18"/>
                <w:szCs w:val="18"/>
              </w:rPr>
              <w:t xml:space="preserve">Near-miss and hazard data becomes real rather than notional, with photograph, location, capture-time and the cited standard attached — a contemporaneous record, not one reconstructed after an incident.</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Money</w:t>
            </w:r>
          </w:p>
          <w:p>
            <w:pPr>
              <w:spacing w:after="0" w:before="0"/>
            </w:pPr>
            <w:r>
              <w:rPr>
                <w:rFonts w:ascii="Calibri" w:cs="Calibri" w:eastAsia="Calibri" w:hAnsi="Calibri"/>
                <w:color w:val="3F3F46"/>
                <w:sz w:val="18"/>
                <w:szCs w:val="18"/>
              </w:rPr>
              <w:t xml:space="preserve">This is the product where labour saved is the smallest part. The number that matters is one lost-time injury: enquiry, stoppage, statutory exposure, and the ministry correspondence that follows.</w:t>
            </w:r>
          </w:p>
        </w:tc>
      </w:tr>
    </w:tbl>
    <w:p>
      <w:r>
        <w:br w:type="page"/>
      </w:r>
    </w:p>
    <w:p>
      <w:pPr>
        <w:spacing w:after="60" w:before="0"/>
      </w:pPr>
      <w:r>
        <w:rPr>
          <w:rFonts w:ascii="Courier New" w:cs="Courier New" w:eastAsia="Courier New" w:hAnsi="Courier New"/>
          <w:b/>
          <w:bCs/>
          <w:caps/>
          <w:color w:val="C2410C"/>
          <w:spacing w:val="24"/>
          <w:sz w:val="15"/>
          <w:szCs w:val="15"/>
        </w:rPr>
        <w:t xml:space="preserve">05  //  INSPECTION AND NON-CONFORMANCE</w:t>
      </w:r>
    </w:p>
    <w:p>
      <w:pPr>
        <w:pStyle w:val="Heading1"/>
        <w:spacing w:after="140" w:before="320"/>
      </w:pPr>
      <w:r>
        <w:rPr>
          <w:rFonts w:ascii="Calibri" w:cs="Calibri" w:eastAsia="Calibri" w:hAnsi="Calibri"/>
          <w:b/>
          <w:bCs/>
          <w:color w:val="18181B"/>
          <w:sz w:val="34"/>
          <w:szCs w:val="34"/>
        </w:rPr>
        <w:t xml:space="preserve">Quality AI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1</w:t>
            </w:r>
          </w:p>
          <w:p>
            <w:pPr>
              <w:spacing w:after="120" w:before="0"/>
            </w:pPr>
            <w:r>
              <w:rPr>
                <w:rFonts w:ascii="Calibri" w:cs="Calibri" w:eastAsia="Calibri" w:hAnsi="Calibri"/>
                <w:color w:val="18181B"/>
                <w:sz w:val="18"/>
                <w:szCs w:val="18"/>
              </w:rPr>
              <w:t xml:space="preserve">Three specifications</w:t>
            </w:r>
          </w:p>
        </w:tc>
        <w:tc>
          <w:tcPr>
            <w:tcW w:type="dxa" w:w="3235"/>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2</w:t>
            </w:r>
          </w:p>
          <w:p>
            <w:pPr>
              <w:spacing w:after="120" w:before="0"/>
            </w:pPr>
            <w:r>
              <w:rPr>
                <w:rFonts w:ascii="Calibri" w:cs="Calibri" w:eastAsia="Calibri" w:hAnsi="Calibri"/>
                <w:color w:val="18181B"/>
                <w:sz w:val="18"/>
                <w:szCs w:val="18"/>
              </w:rPr>
              <w:t xml:space="preserve">Precedence decided and recorded</w:t>
            </w:r>
          </w:p>
        </w:tc>
        <w:tc>
          <w:tcPr>
            <w:tcW w:type="dxa" w:w="323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40" w:before="0"/>
            </w:pPr>
            <w:r>
              <w:rPr>
                <w:rFonts w:ascii="Courier New" w:cs="Courier New" w:eastAsia="Courier New" w:hAnsi="Courier New"/>
                <w:b/>
                <w:bCs/>
                <w:color w:val="C2410C"/>
                <w:sz w:val="15"/>
                <w:szCs w:val="15"/>
              </w:rPr>
              <w:t xml:space="preserve">3</w:t>
            </w:r>
          </w:p>
          <w:p>
            <w:pPr>
              <w:spacing w:after="120" w:before="0"/>
            </w:pPr>
            <w:r>
              <w:rPr>
                <w:rFonts w:ascii="Calibri" w:cs="Calibri" w:eastAsia="Calibri" w:hAnsi="Calibri"/>
                <w:color w:val="18181B"/>
                <w:sz w:val="18"/>
                <w:szCs w:val="18"/>
              </w:rPr>
              <w:t xml:space="preserve">One governing requirement → ITP</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is</w:t>
            </w:r>
          </w:p>
          <w:p>
            <w:pPr>
              <w:spacing w:after="0" w:before="0"/>
            </w:pPr>
            <w:r>
              <w:rPr>
                <w:rFonts w:ascii="Calibri" w:cs="Calibri" w:eastAsia="Calibri" w:hAnsi="Calibri"/>
                <w:color w:val="3F3F46"/>
                <w:sz w:val="19"/>
                <w:szCs w:val="19"/>
              </w:rPr>
              <w:t xml:space="preserve">Document-grounded quality control for manufacturing and project work packages. Requirements in, inspection and test plan out, non-conformance closed with evidence.</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What it does</w:t>
            </w:r>
          </w:p>
          <w:p>
            <w:pPr>
              <w:spacing w:after="0" w:before="0"/>
            </w:pPr>
            <w:r>
              <w:rPr>
                <w:rFonts w:ascii="Calibri" w:cs="Calibri" w:eastAsia="Calibri" w:hAnsi="Calibri"/>
                <w:color w:val="3F3F46"/>
                <w:sz w:val="19"/>
                <w:szCs w:val="19"/>
              </w:rPr>
              <w:t xml:space="preserve">Breaks specifications into individually testable requirements, each returned with its clause and exact character span, then applies a deterministic precedence rule to decide which of the conflicting sources governs.</w:t>
            </w:r>
          </w:p>
        </w:tc>
      </w:tr>
      <w:tr>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Why buy it</w:t>
            </w:r>
          </w:p>
          <w:p>
            <w:pPr>
              <w:spacing w:after="0" w:before="0"/>
            </w:pPr>
            <w:r>
              <w:rPr>
                <w:rFonts w:ascii="Calibri" w:cs="Calibri" w:eastAsia="Calibri" w:hAnsi="Calibri"/>
                <w:color w:val="3F3F46"/>
                <w:sz w:val="19"/>
                <w:szCs w:val="19"/>
              </w:rPr>
              <w:t xml:space="preserve">Three requirement sources stack on every activity — the client specification, the corporate standard, the applicable code — and they contradict one another. Today an engineer reconciles them by hand, under time pressure, and nothing records why one won.</w:t>
            </w:r>
          </w:p>
        </w:tc>
        <w:tc>
          <w:tcPr>
            <w:tcW w:type="dxa" w:w="4853"/>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60" w:before="0"/>
            </w:pPr>
            <w:r>
              <w:rPr>
                <w:rFonts w:ascii="Courier New" w:cs="Courier New" w:eastAsia="Courier New" w:hAnsi="Courier New"/>
                <w:b/>
                <w:bCs/>
                <w:caps/>
                <w:color w:val="C2410C"/>
                <w:spacing w:val="24"/>
                <w:sz w:val="14"/>
                <w:szCs w:val="14"/>
              </w:rPr>
              <w:t xml:space="preserve">How it helps you</w:t>
            </w:r>
          </w:p>
          <w:p>
            <w:pPr>
              <w:spacing w:after="0" w:before="0"/>
            </w:pPr>
            <w:r>
              <w:rPr>
                <w:rFonts w:ascii="Calibri" w:cs="Calibri" w:eastAsia="Calibri" w:hAnsi="Calibri"/>
                <w:color w:val="3F3F46"/>
                <w:sz w:val="19"/>
                <w:szCs w:val="19"/>
              </w:rPr>
              <w:t xml:space="preserve">The governing requirement is recorded with its reasoning. Inspection hold points are enforced rather than advisory: skip one and the system refuses. The audit log is append-only and written in the same transaction as the change it records.</w:t>
            </w:r>
          </w:p>
        </w:tc>
      </w:tr>
    </w:tbl>
    <w:p>
      <w:pPr>
        <w:spacing w:after="14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YOU GET BACK</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Man-hours</w:t>
            </w:r>
          </w:p>
          <w:p>
            <w:pPr>
              <w:spacing w:after="0" w:before="0"/>
            </w:pPr>
            <w:r>
              <w:rPr>
                <w:rFonts w:ascii="Calibri" w:cs="Calibri" w:eastAsia="Calibri" w:hAnsi="Calibri"/>
                <w:color w:val="3F3F46"/>
                <w:sz w:val="18"/>
                <w:szCs w:val="18"/>
              </w:rPr>
              <w:t xml:space="preserve">Three specifications reconciled into one governing requirement with the reasoning recorded, instead of an engineer doing it by hand per activity. Your arithmetic: hours per work package × packages per project.</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Records digitised</w:t>
            </w:r>
          </w:p>
          <w:p>
            <w:pPr>
              <w:spacing w:after="0" w:before="0"/>
            </w:pPr>
            <w:r>
              <w:rPr>
                <w:rFonts w:ascii="Calibri" w:cs="Calibri" w:eastAsia="Calibri" w:hAnsi="Calibri"/>
                <w:color w:val="3F3F46"/>
                <w:sz w:val="18"/>
                <w:szCs w:val="18"/>
              </w:rPr>
              <w:t xml:space="preserve">Requirements, the precedence decision, the inspection and test plan and every non-conformance become a linked record with an append-only audit trail written in the same transaction as the change.</w:t>
            </w:r>
          </w:p>
        </w:tc>
      </w:tr>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50" w:before="0"/>
            </w:pPr>
            <w:r>
              <w:rPr>
                <w:rFonts w:ascii="Calibri" w:cs="Calibri" w:eastAsia="Calibri" w:hAnsi="Calibri"/>
                <w:b/>
                <w:bCs/>
                <w:color w:val="18181B"/>
                <w:sz w:val="20"/>
                <w:szCs w:val="20"/>
              </w:rPr>
              <w:t xml:space="preserve">Money</w:t>
            </w:r>
          </w:p>
          <w:p>
            <w:pPr>
              <w:spacing w:after="0" w:before="0"/>
            </w:pPr>
            <w:r>
              <w:rPr>
                <w:rFonts w:ascii="Calibri" w:cs="Calibri" w:eastAsia="Calibri" w:hAnsi="Calibri"/>
                <w:color w:val="3F3F46"/>
                <w:sz w:val="18"/>
                <w:szCs w:val="18"/>
              </w:rPr>
              <w:t xml:space="preserve">Rework and the cost of poor quality, plus the schedule cost of a hold point discovered late. Your NCR register already holds both figures.</w:t>
            </w:r>
          </w:p>
        </w:tc>
      </w:tr>
    </w:tbl>
    <w:p>
      <w:r>
        <w:br w:type="page"/>
      </w:r>
    </w:p>
    <w:p>
      <w:pPr>
        <w:spacing w:after="80" w:before="0"/>
      </w:pPr>
      <w:r>
        <w:rPr>
          <w:rFonts w:ascii="Courier New" w:cs="Courier New" w:eastAsia="Courier New" w:hAnsi="Courier New"/>
          <w:b/>
          <w:bCs/>
          <w:caps/>
          <w:color w:val="C2410C"/>
          <w:spacing w:val="24"/>
          <w:sz w:val="15"/>
          <w:szCs w:val="15"/>
        </w:rPr>
        <w:t xml:space="preserve">THE BUSINESS CASE</w:t>
      </w:r>
    </w:p>
    <w:p>
      <w:pPr>
        <w:pStyle w:val="Heading1"/>
        <w:spacing w:after="140" w:before="320"/>
      </w:pPr>
      <w:r>
        <w:rPr>
          <w:rFonts w:ascii="Calibri" w:cs="Calibri" w:eastAsia="Calibri" w:hAnsi="Calibri"/>
          <w:b/>
          <w:bCs/>
          <w:color w:val="18181B"/>
          <w:sz w:val="34"/>
          <w:szCs w:val="34"/>
        </w:rPr>
        <w:t xml:space="preserve">Three places the money is.</w:t>
      </w:r>
    </w:p>
    <w:p>
      <w:pPr>
        <w:spacing w:after="180" w:before="0"/>
      </w:pPr>
      <w:r>
        <w:rPr>
          <w:rFonts w:ascii="Calibri" w:cs="Calibri" w:eastAsia="Calibri" w:hAnsi="Calibri"/>
          <w:color w:val="3F3F46"/>
          <w:sz w:val="21"/>
          <w:szCs w:val="21"/>
        </w:rPr>
        <w:t xml:space="preserve">In ascending order of size, and descending order of how easily you can prove them. We would rather you built the case on the first and were surprised by the third than the other way round.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00"/>
        <w:gridCol w:w="8806"/>
      </w:tblGrid>
      <w:tr>
        <w:tc>
          <w:tcPr>
            <w:tcW w:type="dxa" w:w="9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ourier New" w:cs="Courier New" w:eastAsia="Courier New" w:hAnsi="Courier New"/>
                <w:b/>
                <w:bCs/>
                <w:color w:val="C2410C"/>
                <w:sz w:val="26"/>
                <w:szCs w:val="26"/>
              </w:rPr>
              <w:t xml:space="preserve">01</w:t>
            </w:r>
          </w:p>
        </w:tc>
        <w:tc>
          <w:tcPr>
            <w:tcW w:type="dxa" w:w="88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2"/>
                <w:szCs w:val="22"/>
              </w:rPr>
              <w:t xml:space="preserve">Staff time</w:t>
            </w:r>
          </w:p>
          <w:p>
            <w:pPr>
              <w:spacing w:after="80" w:before="0"/>
            </w:pPr>
            <w:r>
              <w:rPr>
                <w:rFonts w:ascii="Courier New" w:cs="Courier New" w:eastAsia="Courier New" w:hAnsi="Courier New"/>
                <w:b/>
                <w:bCs/>
                <w:caps/>
                <w:color w:val="6B6B72"/>
                <w:spacing w:val="24"/>
                <w:sz w:val="14"/>
                <w:szCs w:val="14"/>
              </w:rPr>
              <w:t xml:space="preserve">Smallest number. Easiest to compute. Put it in the paper first.</w:t>
            </w:r>
          </w:p>
          <w:p>
            <w:pPr>
              <w:spacing w:after="0" w:before="0"/>
            </w:pPr>
            <w:r>
              <w:rPr>
                <w:rFonts w:ascii="Calibri" w:cs="Calibri" w:eastAsia="Calibri" w:hAnsi="Calibri"/>
                <w:color w:val="3F3F46"/>
                <w:sz w:val="19"/>
                <w:szCs w:val="19"/>
              </w:rPr>
              <w:t xml:space="preserve">Reviewer-days per tender pack, analyst-weeks per claim, engineer-hours per work package, minutes per hazard report. You already know these figures, or the people who do sit two desks away. Multiply by your own volumes; we have deliberately not guessed at them for you.</w:t>
            </w:r>
          </w:p>
        </w:tc>
      </w:tr>
    </w:tbl>
    <w:p>
      <w:pPr>
        <w:spacing w:after="8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00"/>
        <w:gridCol w:w="8806"/>
      </w:tblGrid>
      <w:tr>
        <w:tc>
          <w:tcPr>
            <w:tcW w:type="dxa" w:w="9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ourier New" w:cs="Courier New" w:eastAsia="Courier New" w:hAnsi="Courier New"/>
                <w:b/>
                <w:bCs/>
                <w:color w:val="C2410C"/>
                <w:sz w:val="26"/>
                <w:szCs w:val="26"/>
              </w:rPr>
              <w:t xml:space="preserve">02</w:t>
            </w:r>
          </w:p>
        </w:tc>
        <w:tc>
          <w:tcPr>
            <w:tcW w:type="dxa" w:w="88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2"/>
                <w:szCs w:val="22"/>
              </w:rPr>
              <w:t xml:space="preserve">Records that did not exist before</w:t>
            </w:r>
          </w:p>
          <w:p>
            <w:pPr>
              <w:spacing w:after="80" w:before="0"/>
            </w:pPr>
            <w:r>
              <w:rPr>
                <w:rFonts w:ascii="Courier New" w:cs="Courier New" w:eastAsia="Courier New" w:hAnsi="Courier New"/>
                <w:b/>
                <w:bCs/>
                <w:caps/>
                <w:color w:val="6B6B72"/>
                <w:spacing w:val="24"/>
                <w:sz w:val="14"/>
                <w:szCs w:val="14"/>
              </w:rPr>
              <w:t xml:space="preserve">Hard to price. Decisive on the day it is tested.</w:t>
            </w:r>
          </w:p>
          <w:p>
            <w:pPr>
              <w:spacing w:after="0" w:before="0"/>
            </w:pPr>
            <w:r>
              <w:rPr>
                <w:rFonts w:ascii="Calibri" w:cs="Calibri" w:eastAsia="Calibri" w:hAnsi="Calibri"/>
                <w:color w:val="3F3F46"/>
                <w:sz w:val="19"/>
                <w:szCs w:val="19"/>
              </w:rPr>
              <w:t xml:space="preserve">Every one of these systems turns work that currently lives in mailboxes, spreadsheets and individual working files into a record with its source attached: the clause a finding came from, the standard a countermeasure cites, the reasoning behind a precedence decision, the schedule state an entitlement was computed against. That record is what an audit, a tribunal or a departmental enquiry actually asks for — and it is the thing organisations discover they do not have at precisely the wrong moment.</w:t>
            </w:r>
          </w:p>
        </w:tc>
      </w:tr>
    </w:tbl>
    <w:p>
      <w:pPr>
        <w:spacing w:after="8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00"/>
        <w:gridCol w:w="8806"/>
      </w:tblGrid>
      <w:tr>
        <w:tc>
          <w:tcPr>
            <w:tcW w:type="dxa" w:w="9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ourier New" w:cs="Courier New" w:eastAsia="Courier New" w:hAnsi="Courier New"/>
                <w:b/>
                <w:bCs/>
                <w:color w:val="C2410C"/>
                <w:sz w:val="26"/>
                <w:szCs w:val="26"/>
              </w:rPr>
              <w:t xml:space="preserve">03</w:t>
            </w:r>
          </w:p>
        </w:tc>
        <w:tc>
          <w:tcPr>
            <w:tcW w:type="dxa" w:w="88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2"/>
                <w:szCs w:val="22"/>
              </w:rPr>
              <w:t xml:space="preserve">Loss avoided</w:t>
            </w:r>
          </w:p>
          <w:p>
            <w:pPr>
              <w:spacing w:after="80" w:before="0"/>
            </w:pPr>
            <w:r>
              <w:rPr>
                <w:rFonts w:ascii="Courier New" w:cs="Courier New" w:eastAsia="Courier New" w:hAnsi="Courier New"/>
                <w:b/>
                <w:bCs/>
                <w:caps/>
                <w:color w:val="6B6B72"/>
                <w:spacing w:val="24"/>
                <w:sz w:val="14"/>
                <w:szCs w:val="14"/>
              </w:rPr>
              <w:t xml:space="preserve">Largest by an order of magnitude. Hardest to attribute.</w:t>
            </w:r>
          </w:p>
          <w:p>
            <w:pPr>
              <w:spacing w:after="0" w:before="0"/>
            </w:pPr>
            <w:r>
              <w:rPr>
                <w:rFonts w:ascii="Calibri" w:cs="Calibri" w:eastAsia="Calibri" w:hAnsi="Calibri"/>
                <w:color w:val="3F3F46"/>
                <w:sz w:val="19"/>
                <w:szCs w:val="19"/>
              </w:rPr>
              <w:t xml:space="preserve">One arbitration lost on record-keeping rather than merit. One clause accepted unpriced at award. One lost-time injury and the enquiry behind it. No honest vendor can promise you avoided any of these — but your own files will tell you what the last one cost, and that figure is the real size of the problem.</w:t>
            </w:r>
          </w:p>
        </w:tc>
      </w:tr>
    </w:tbl>
    <w:p>
      <w:pPr>
        <w:spacing w:after="8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FF7F2" w:color="auto" w:val="clear"/>
            <w:tcMar>
              <w:top w:type="dxa" w:w="120"/>
              <w:left w:type="dxa" w:w="140"/>
              <w:bottom w:type="dxa" w:w="120"/>
              <w:right w:type="dxa" w:w="140"/>
            </w:tcMar>
          </w:tcPr>
          <w:p>
            <w:pPr>
              <w:spacing w:after="0" w:before="0"/>
            </w:pPr>
            <w:r>
              <w:rPr>
                <w:rFonts w:ascii="Calibri" w:cs="Calibri" w:eastAsia="Calibri" w:hAnsi="Calibri"/>
                <w:color w:val="18181B"/>
                <w:sz w:val="20"/>
                <w:szCs w:val="20"/>
              </w:rPr>
              <w:t xml:space="preserve">We have put no savings percentage in this document, and that is deliberate. We have no customers yet, so any figure we printed would be invented — and you have read enough vendor claims to discount an invented one instantly. What is here instead is the arithmetic and the inputs. Run it with your own numbers, or give us one real document and we will run it with you on your own work.</w:t>
            </w:r>
          </w:p>
        </w:tc>
      </w:tr>
    </w:tbl>
    <w:p>
      <w:r>
        <w:br w:type="page"/>
      </w:r>
    </w:p>
    <w:p>
      <w:pPr>
        <w:spacing w:after="80" w:before="0"/>
      </w:pPr>
      <w:r>
        <w:rPr>
          <w:rFonts w:ascii="Courier New" w:cs="Courier New" w:eastAsia="Courier New" w:hAnsi="Courier New"/>
          <w:b/>
          <w:bCs/>
          <w:caps/>
          <w:color w:val="C2410C"/>
          <w:spacing w:val="24"/>
          <w:sz w:val="15"/>
          <w:szCs w:val="15"/>
        </w:rPr>
        <w:t xml:space="preserve">DATA SECURITY</w:t>
      </w:r>
    </w:p>
    <w:p>
      <w:pPr>
        <w:pStyle w:val="Heading1"/>
        <w:spacing w:after="140" w:before="320"/>
      </w:pPr>
      <w:r>
        <w:rPr>
          <w:rFonts w:ascii="Calibri" w:cs="Calibri" w:eastAsia="Calibri" w:hAnsi="Calibri"/>
          <w:b/>
          <w:bCs/>
          <w:color w:val="18181B"/>
          <w:sz w:val="34"/>
          <w:szCs w:val="34"/>
        </w:rPr>
        <w:t xml:space="preserve">Where your data is stored.</w:t>
      </w:r>
    </w:p>
    <w:p>
      <w:pPr>
        <w:spacing w:after="180" w:before="0"/>
      </w:pPr>
      <w:r>
        <w:rPr>
          <w:rFonts w:ascii="Calibri" w:cs="Calibri" w:eastAsia="Calibri" w:hAnsi="Calibri"/>
          <w:color w:val="3F3F46"/>
          <w:sz w:val="21"/>
          <w:szCs w:val="21"/>
        </w:rPr>
        <w:t xml:space="preserve">Every one of these systems is a self-contained service. It does not need to live with us, and in almost every case it should not. These are the three ways it can be deployed, in the order we would recommend them.</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5006"/>
      </w:tblGrid>
      <w:tr>
        <w:tc>
          <w:tcPr>
            <w:tcW w:type="dxa" w:w="2100"/>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Option</w:t>
            </w:r>
          </w:p>
        </w:tc>
        <w:tc>
          <w:tcPr>
            <w:tcW w:type="dxa" w:w="2600"/>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Where the data sits</w:t>
            </w:r>
          </w:p>
        </w:tc>
        <w:tc>
          <w:tcPr>
            <w:tcW w:type="dxa" w:w="5006"/>
            <w:tcBorders>
              <w:top w:val="single" w:color="D9D9DE" w:sz="4"/>
              <w:left w:val="single" w:color="D9D9DE" w:sz="4"/>
              <w:bottom w:val="single" w:color="D9D9DE" w:sz="4"/>
              <w:right w:val="single" w:color="D9D9DE" w:sz="4"/>
            </w:tcBorders>
            <w:shd w:fill="F4F4F5" w:color="auto" w:val="clear"/>
            <w:tcMar>
              <w:top w:type="dxa" w:w="120"/>
              <w:left w:type="dxa" w:w="140"/>
              <w:bottom w:type="dxa" w:w="120"/>
              <w:right w:type="dxa" w:w="140"/>
            </w:tcMar>
          </w:tcPr>
          <w:p>
            <w:pPr>
              <w:spacing w:after="0" w:before="0"/>
            </w:pPr>
            <w:r>
              <w:rPr>
                <w:rFonts w:ascii="Courier New" w:cs="Courier New" w:eastAsia="Courier New" w:hAnsi="Courier New"/>
                <w:b/>
                <w:bCs/>
                <w:caps/>
                <w:color w:val="6B6B72"/>
                <w:spacing w:val="24"/>
                <w:sz w:val="14"/>
                <w:szCs w:val="14"/>
              </w:rPr>
              <w:t xml:space="preserve">What it means for you</w:t>
            </w:r>
          </w:p>
        </w:tc>
      </w:tr>
      <w:tr>
        <w:tc>
          <w:tcPr>
            <w:tcW w:type="dxa" w:w="21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0"/>
                <w:szCs w:val="20"/>
              </w:rPr>
              <w:t xml:space="preserve">On your own servers</w:t>
            </w:r>
          </w:p>
          <w:p>
            <w:pPr>
              <w:spacing w:after="0" w:before="0"/>
            </w:pPr>
            <w:r>
              <w:rPr>
                <w:rFonts w:ascii="Courier New" w:cs="Courier New" w:eastAsia="Courier New" w:hAnsi="Courier New"/>
                <w:b/>
                <w:bCs/>
                <w:caps/>
                <w:color w:val="C2410C"/>
                <w:spacing w:val="24"/>
                <w:sz w:val="13"/>
                <w:szCs w:val="13"/>
              </w:rPr>
              <w:t xml:space="preserve">RECOMMENDED</w:t>
            </w:r>
          </w:p>
        </w:tc>
        <w:tc>
          <w:tcPr>
            <w:tcW w:type="dxa" w:w="26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Inside your network, on hardware you already own.</w:t>
            </w:r>
          </w:p>
        </w:tc>
        <w:tc>
          <w:tcPr>
            <w:tcW w:type="dxa" w:w="50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Your existing access control, backup and retention policies apply unchanged. Nothing of yours is in our hands, so there is nothing for us to lose, disclose, or hand back when the contract ends.</w:t>
            </w:r>
          </w:p>
        </w:tc>
      </w:tr>
      <w:tr>
        <w:tc>
          <w:tcPr>
            <w:tcW w:type="dxa" w:w="21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0"/>
                <w:szCs w:val="20"/>
              </w:rPr>
              <w:t xml:space="preserve">In your own cloud account</w:t>
            </w:r>
          </w:p>
          <w:p>
            <w:pPr>
              <w:spacing w:after="0" w:before="0"/>
            </w:pPr>
            <w:r>
              <w:rPr>
                <w:rFonts w:ascii="Courier New" w:cs="Courier New" w:eastAsia="Courier New" w:hAnsi="Courier New"/>
                <w:b/>
                <w:bCs/>
                <w:caps/>
                <w:color w:val="0E7490"/>
                <w:spacing w:val="24"/>
                <w:sz w:val="13"/>
                <w:szCs w:val="13"/>
              </w:rPr>
              <w:t xml:space="preserve">ALSO GOOD</w:t>
            </w:r>
          </w:p>
        </w:tc>
        <w:tc>
          <w:tcPr>
            <w:tcW w:type="dxa" w:w="26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Your own MeitY-empanelled tenancy — AWS Mumbai and Azure India among them.</w:t>
            </w:r>
          </w:p>
        </w:tc>
        <w:tc>
          <w:tcPr>
            <w:tcW w:type="dxa" w:w="50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You inherit your own empanelment, audit trail and controls, and procurement has nothing new to assess. For a PSU with an existing cloud footprint this is usually the shortest route.</w:t>
            </w:r>
          </w:p>
        </w:tc>
      </w:tr>
      <w:tr>
        <w:tc>
          <w:tcPr>
            <w:tcW w:type="dxa" w:w="21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20"/>
                <w:szCs w:val="20"/>
              </w:rPr>
              <w:t xml:space="preserve">Hosted by us</w:t>
            </w:r>
          </w:p>
          <w:p>
            <w:pPr>
              <w:spacing w:after="0" w:before="0"/>
            </w:pPr>
            <w:r>
              <w:rPr>
                <w:rFonts w:ascii="Courier New" w:cs="Courier New" w:eastAsia="Courier New" w:hAnsi="Courier New"/>
                <w:b/>
                <w:bCs/>
                <w:caps/>
                <w:color w:val="6B6B72"/>
                <w:spacing w:val="24"/>
                <w:sz w:val="13"/>
                <w:szCs w:val="13"/>
              </w:rPr>
              <w:t xml:space="preserve">ONLY IF YOU PREFER</w:t>
            </w:r>
          </w:p>
        </w:tc>
        <w:tc>
          <w:tcPr>
            <w:tcW w:type="dxa" w:w="2600"/>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An India region, so the data stays in the country.</w:t>
            </w:r>
          </w:p>
        </w:tc>
        <w:tc>
          <w:tcPr>
            <w:tcW w:type="dxa" w:w="50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0" w:before="0"/>
            </w:pPr>
            <w:r>
              <w:rPr>
                <w:rFonts w:ascii="Calibri" w:cs="Calibri" w:eastAsia="Calibri" w:hAnsi="Calibri"/>
                <w:color w:val="3F3F46"/>
                <w:sz w:val="18"/>
                <w:szCs w:val="18"/>
              </w:rPr>
              <w:t xml:space="preserve">We would still rather you chose one of the options above: they keep the data inside your control and under your compliance posture rather than ours — a better answer for you and an easier one for your auditors.</w:t>
            </w:r>
          </w:p>
        </w:tc>
      </w:tr>
    </w:tbl>
    <w:p>
      <w:pPr>
        <w:pStyle w:val="Heading2"/>
        <w:spacing w:after="90" w:before="200"/>
      </w:pPr>
      <w:r>
        <w:rPr>
          <w:rFonts w:ascii="Calibri" w:cs="Calibri" w:eastAsia="Calibri" w:hAnsi="Calibri"/>
          <w:b/>
          <w:bCs/>
          <w:color w:val="18181B"/>
          <w:sz w:val="24"/>
          <w:szCs w:val="24"/>
        </w:rPr>
        <w:t xml:space="preserve">What is held, and what is not</w:t>
      </w:r>
    </w:p>
    <w:p>
      <w:pPr>
        <w:spacing w:after="100"/>
        <w:ind w:left="280" w:hanging="280"/>
      </w:pPr>
      <w:r>
        <w:rPr>
          <w:rFonts w:ascii="Calibri" w:cs="Calibri" w:eastAsia="Calibri" w:hAnsi="Calibri"/>
          <w:b/>
          <w:bCs/>
          <w:color w:val="C2410C"/>
          <w:sz w:val="20"/>
          <w:szCs w:val="20"/>
        </w:rPr>
        <w:t xml:space="preserve">— </w:t>
      </w:r>
      <w:r>
        <w:rPr>
          <w:rFonts w:ascii="Calibri" w:cs="Calibri" w:eastAsia="Calibri" w:hAnsi="Calibri"/>
          <w:b/>
          <w:bCs/>
          <w:color w:val="18181B"/>
          <w:sz w:val="20"/>
          <w:szCs w:val="20"/>
        </w:rPr>
        <w:t xml:space="preserve">Held: </w:t>
      </w:r>
      <w:r>
        <w:rPr>
          <w:rFonts w:ascii="Calibri" w:cs="Calibri" w:eastAsia="Calibri" w:hAnsi="Calibri"/>
          <w:color w:val="3F3F46"/>
          <w:sz w:val="20"/>
          <w:szCs w:val="20"/>
        </w:rPr>
        <w:t xml:space="preserve">the documents you supply — the tender pack, the contract set, the schedule, the photographs.</w:t>
      </w:r>
    </w:p>
    <w:p>
      <w:pPr>
        <w:spacing w:after="100"/>
        <w:ind w:left="280" w:hanging="280"/>
      </w:pPr>
      <w:r>
        <w:rPr>
          <w:rFonts w:ascii="Calibri" w:cs="Calibri" w:eastAsia="Calibri" w:hAnsi="Calibri"/>
          <w:b/>
          <w:bCs/>
          <w:color w:val="C2410C"/>
          <w:sz w:val="20"/>
          <w:szCs w:val="20"/>
        </w:rPr>
        <w:t xml:space="preserve">— </w:t>
      </w:r>
      <w:r>
        <w:rPr>
          <w:rFonts w:ascii="Calibri" w:cs="Calibri" w:eastAsia="Calibri" w:hAnsi="Calibri"/>
          <w:b/>
          <w:bCs/>
          <w:color w:val="18181B"/>
          <w:sz w:val="20"/>
          <w:szCs w:val="20"/>
        </w:rPr>
        <w:t xml:space="preserve">Held: </w:t>
      </w:r>
      <w:r>
        <w:rPr>
          <w:rFonts w:ascii="Calibri" w:cs="Calibri" w:eastAsia="Calibri" w:hAnsi="Calibri"/>
          <w:color w:val="3F3F46"/>
          <w:sz w:val="20"/>
          <w:szCs w:val="20"/>
        </w:rPr>
        <w:t xml:space="preserve">the record derived from them — findings, citations, decisions, and the audit trail that shows how each was reached.</w:t>
      </w:r>
    </w:p>
    <w:p>
      <w:pPr>
        <w:spacing w:after="100"/>
        <w:ind w:left="280" w:hanging="280"/>
      </w:pPr>
      <w:r>
        <w:rPr>
          <w:rFonts w:ascii="Calibri" w:cs="Calibri" w:eastAsia="Calibri" w:hAnsi="Calibri"/>
          <w:b/>
          <w:bCs/>
          <w:color w:val="C2410C"/>
          <w:sz w:val="20"/>
          <w:szCs w:val="20"/>
        </w:rPr>
        <w:t xml:space="preserve">— </w:t>
      </w:r>
      <w:r>
        <w:rPr>
          <w:rFonts w:ascii="Calibri" w:cs="Calibri" w:eastAsia="Calibri" w:hAnsi="Calibri"/>
          <w:b/>
          <w:bCs/>
          <w:color w:val="18181B"/>
          <w:sz w:val="20"/>
          <w:szCs w:val="20"/>
        </w:rPr>
        <w:t xml:space="preserve">Not held: </w:t>
      </w:r>
      <w:r>
        <w:rPr>
          <w:rFonts w:ascii="Calibri" w:cs="Calibri" w:eastAsia="Calibri" w:hAnsi="Calibri"/>
          <w:color w:val="3F3F46"/>
          <w:sz w:val="20"/>
          <w:szCs w:val="20"/>
        </w:rPr>
        <w:t xml:space="preserve">anything else. No copies, no analytics on your content, no shadow index.</w:t>
      </w:r>
    </w:p>
    <w:p>
      <w:pPr>
        <w:spacing w:after="100"/>
        <w:ind w:left="280" w:hanging="280"/>
      </w:pPr>
      <w:r>
        <w:rPr>
          <w:rFonts w:ascii="Calibri" w:cs="Calibri" w:eastAsia="Calibri" w:hAnsi="Calibri"/>
          <w:b/>
          <w:bCs/>
          <w:color w:val="C2410C"/>
          <w:sz w:val="20"/>
          <w:szCs w:val="20"/>
        </w:rPr>
        <w:t xml:space="preserve">— </w:t>
      </w:r>
      <w:r>
        <w:rPr>
          <w:rFonts w:ascii="Calibri" w:cs="Calibri" w:eastAsia="Calibri" w:hAnsi="Calibri"/>
          <w:b/>
          <w:bCs/>
          <w:color w:val="18181B"/>
          <w:sz w:val="20"/>
          <w:szCs w:val="20"/>
        </w:rPr>
        <w:t xml:space="preserve">Not done: </w:t>
      </w:r>
      <w:r>
        <w:rPr>
          <w:rFonts w:ascii="Calibri" w:cs="Calibri" w:eastAsia="Calibri" w:hAnsi="Calibri"/>
          <w:color w:val="3F3F46"/>
          <w:sz w:val="20"/>
          <w:szCs w:val="20"/>
        </w:rPr>
        <w:t xml:space="preserve">we do not train on your material. There is no training pipeline in any of these systems — not a policy we have chosen to follow, but a component that does not exist.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FF7F2" w:color="auto" w:val="clear"/>
            <w:tcMar>
              <w:top w:type="dxa" w:w="120"/>
              <w:left w:type="dxa" w:w="140"/>
              <w:bottom w:type="dxa" w:w="120"/>
              <w:right w:type="dxa" w:w="140"/>
            </w:tcMar>
          </w:tcPr>
          <w:p>
            <w:pPr>
              <w:spacing w:after="0" w:before="0"/>
            </w:pPr>
            <w:r>
              <w:rPr>
                <w:rFonts w:ascii="Calibri" w:cs="Calibri" w:eastAsia="Calibri" w:hAnsi="Calibri"/>
                <w:color w:val="18181B"/>
                <w:sz w:val="20"/>
                <w:szCs w:val="20"/>
              </w:rPr>
              <w:t xml:space="preserve">Some features can call an external model service. Before you deploy, we will tell you exactly which product calls which service, and precisely what that service receives — in writing, so your security team can assess it rather than take our word for it. Where you would rather nothing left your network at all, say so and we will scope the deployment that way.</w:t>
            </w:r>
          </w:p>
        </w:tc>
      </w:tr>
    </w:tbl>
    <w:p>
      <w:pPr>
        <w:spacing w:after="160" w:before="0"/>
      </w:pPr>
      <w:r>
        <w:rPr>
          <w:rFonts w:ascii="Calibri" w:cs="Calibri" w:eastAsia="Calibri" w:hAnsi="Calibri"/>
          <w:color w:val="18181B"/>
          <w:sz w:val="21"/>
          <w:szCs w:val="21"/>
        </w:rPr>
        <w:t xml:space="preserve"/>
      </w:r>
    </w:p>
    <w:p>
      <w:pPr>
        <w:pStyle w:val="Heading2"/>
        <w:spacing w:after="90" w:before="200"/>
      </w:pPr>
      <w:r>
        <w:rPr>
          <w:rFonts w:ascii="Calibri" w:cs="Calibri" w:eastAsia="Calibri" w:hAnsi="Calibri"/>
          <w:b/>
          <w:bCs/>
          <w:color w:val="18181B"/>
          <w:sz w:val="24"/>
          <w:szCs w:val="24"/>
        </w:rPr>
        <w:t xml:space="preserve">What is not built yet — roadmap, not shipped</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19"/>
                <w:szCs w:val="19"/>
              </w:rPr>
              <w:t xml:space="preserve">Hosted deployment on MeitY-empanelled infrastructure</w:t>
            </w:r>
          </w:p>
          <w:p>
            <w:pPr>
              <w:spacing w:after="0" w:before="0"/>
            </w:pPr>
            <w:r>
              <w:rPr>
                <w:rFonts w:ascii="Calibri" w:cs="Calibri" w:eastAsia="Calibri" w:hAnsi="Calibri"/>
                <w:color w:val="3F3F46"/>
                <w:sz w:val="18"/>
                <w:szCs w:val="18"/>
              </w:rPr>
              <w:t xml:space="preserve">Today our own hosting is an India region but not an empanelled offering. If you want us to host, this is the gap to close first — and deploying into your own tenancy sidesteps it entirely.</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19"/>
                <w:szCs w:val="19"/>
              </w:rPr>
              <w:t xml:space="preserve">Encryption at rest, applied by the application</w:t>
            </w:r>
          </w:p>
          <w:p>
            <w:pPr>
              <w:spacing w:after="0" w:before="0"/>
            </w:pPr>
            <w:r>
              <w:rPr>
                <w:rFonts w:ascii="Calibri" w:cs="Calibri" w:eastAsia="Calibri" w:hAnsi="Calibri"/>
                <w:color w:val="3F3F46"/>
                <w:sz w:val="18"/>
                <w:szCs w:val="18"/>
              </w:rPr>
              <w:t xml:space="preserve">On your own infrastructure, the disk and volume encryption you already run covers this. As a hosted service, it is work we still owe you.</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19"/>
                <w:szCs w:val="19"/>
              </w:rPr>
              <w:t xml:space="preserve">Single sign-on against your directory</w:t>
            </w:r>
          </w:p>
          <w:p>
            <w:pPr>
              <w:spacing w:after="0" w:before="0"/>
            </w:pPr>
            <w:r>
              <w:rPr>
                <w:rFonts w:ascii="Calibri" w:cs="Calibri" w:eastAsia="Calibri" w:hAnsi="Calibri"/>
                <w:color w:val="3F3F46"/>
                <w:sz w:val="18"/>
                <w:szCs w:val="18"/>
              </w:rPr>
              <w:t xml:space="preserve">Today these are built for a trusted network behind your own perimeter authentication, not for the open internet.</w:t>
            </w:r>
          </w:p>
        </w:tc>
      </w:tr>
    </w:tbl>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tcMar>
              <w:top w:type="dxa" w:w="120"/>
              <w:left w:type="dxa" w:w="140"/>
              <w:bottom w:type="dxa" w:w="120"/>
              <w:right w:type="dxa" w:w="140"/>
            </w:tcMar>
          </w:tcPr>
          <w:p>
            <w:pPr>
              <w:spacing w:after="40" w:before="0"/>
            </w:pPr>
            <w:r>
              <w:rPr>
                <w:rFonts w:ascii="Calibri" w:cs="Calibri" w:eastAsia="Calibri" w:hAnsi="Calibri"/>
                <w:b/>
                <w:bCs/>
                <w:color w:val="18181B"/>
                <w:sz w:val="19"/>
                <w:szCs w:val="19"/>
              </w:rPr>
              <w:t xml:space="preserve">A formal retention, deletion and legal-hold policy</w:t>
            </w:r>
          </w:p>
          <w:p>
            <w:pPr>
              <w:spacing w:after="0" w:before="0"/>
            </w:pPr>
            <w:r>
              <w:rPr>
                <w:rFonts w:ascii="Calibri" w:cs="Calibri" w:eastAsia="Calibri" w:hAnsi="Calibri"/>
                <w:color w:val="3F3F46"/>
                <w:sz w:val="18"/>
                <w:szCs w:val="18"/>
              </w:rPr>
              <w:t xml:space="preserve">Deployed with you, retention follows your policy on your storage. As a product feature, it is not there yet.</w:t>
            </w:r>
          </w:p>
        </w:tc>
      </w:tr>
    </w:tbl>
    <w:p>
      <w:pPr>
        <w:spacing w:after="120" w:before="0"/>
      </w:pPr>
      <w:r>
        <w:rPr>
          <w:rFonts w:ascii="Calibri" w:cs="Calibri" w:eastAsia="Calibri" w:hAnsi="Calibri"/>
          <w:color w:val="18181B"/>
          <w:sz w:val="21"/>
          <w:szCs w:val="21"/>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D9D9DE" w:sz="4"/>
              <w:left w:val="single" w:color="D9D9DE" w:sz="4"/>
              <w:bottom w:val="single" w:color="D9D9DE" w:sz="4"/>
              <w:right w:val="single" w:color="D9D9DE" w:sz="4"/>
            </w:tcBorders>
            <w:shd w:fill="FFF7F2" w:color="auto" w:val="clear"/>
            <w:tcMar>
              <w:top w:type="dxa" w:w="120"/>
              <w:left w:type="dxa" w:w="140"/>
              <w:bottom w:type="dxa" w:w="120"/>
              <w:right w:type="dxa" w:w="140"/>
            </w:tcMar>
          </w:tcPr>
          <w:p>
            <w:pPr>
              <w:spacing w:after="0" w:before="0"/>
            </w:pPr>
            <w:r>
              <w:rPr>
                <w:rFonts w:ascii="Calibri" w:cs="Calibri" w:eastAsia="Calibri" w:hAnsi="Calibri"/>
                <w:color w:val="18181B"/>
                <w:sz w:val="20"/>
                <w:szCs w:val="20"/>
              </w:rPr>
              <w:t xml:space="preserve">We would rather write that list down than have you find it during a security review. Every claim in this brochure is meant to survive being checked — which only means anything if we are equally plain about what is missing.</w:t>
            </w:r>
          </w:p>
        </w:tc>
      </w:tr>
    </w:tbl>
    <w:p>
      <w:r>
        <w:br w:type="page"/>
      </w:r>
    </w:p>
    <w:p>
      <w:pPr>
        <w:spacing w:after="80" w:before="0"/>
      </w:pPr>
      <w:r>
        <w:rPr>
          <w:rFonts w:ascii="Courier New" w:cs="Courier New" w:eastAsia="Courier New" w:hAnsi="Courier New"/>
          <w:b/>
          <w:bCs/>
          <w:caps/>
          <w:color w:val="C2410C"/>
          <w:spacing w:val="24"/>
          <w:sz w:val="15"/>
          <w:szCs w:val="15"/>
        </w:rPr>
        <w:t xml:space="preserve">NEXT STEP</w:t>
      </w:r>
    </w:p>
    <w:p>
      <w:pPr>
        <w:pStyle w:val="Heading1"/>
        <w:spacing w:after="140" w:before="320"/>
      </w:pPr>
      <w:r>
        <w:rPr>
          <w:rFonts w:ascii="Calibri" w:cs="Calibri" w:eastAsia="Calibri" w:hAnsi="Calibri"/>
          <w:b/>
          <w:bCs/>
          <w:color w:val="18181B"/>
          <w:sz w:val="34"/>
          <w:szCs w:val="34"/>
        </w:rPr>
        <w:t xml:space="preserve">Start with one document.</w:t>
      </w:r>
    </w:p>
    <w:p>
      <w:pPr>
        <w:spacing w:after="240" w:before="0"/>
      </w:pPr>
      <w:r>
        <w:rPr>
          <w:rFonts w:ascii="Calibri" w:cs="Calibri" w:eastAsia="Calibri" w:hAnsi="Calibri"/>
          <w:color w:val="3F3F46"/>
          <w:sz w:val="21"/>
          <w:szCs w:val="21"/>
        </w:rPr>
        <w:t xml:space="preserve">Give us one real artifact — a tender pack, a programme, a contract set, six months of near-miss reports — and we will return a written findings document on it. A fixed scope, a fixed fee, and no deployment, no integration and no procurement exercise required. If it tells you something you did not already know, we will talk about a pilot. If it does not, you will have lost two weeks and very little money.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W w:type="dxa" w:w="3235"/>
            <w:tcBorders>
              <w:top w:val="none" w:color="FFFFFF" w:sz="0"/>
              <w:left w:val="none" w:color="FFFFFF" w:sz="0"/>
              <w:bottom w:val="none" w:color="FFFFFF" w:sz="0"/>
              <w:right w:val="none" w:color="FFFFFF" w:sz="0"/>
            </w:tcBorders>
            <w:tcMar>
              <w:top w:type="dxa" w:w="120"/>
              <w:left w:type="dxa" w:w="140"/>
              <w:bottom w:type="dxa" w:w="120"/>
              <w:right w:type="dxa" w:w="140"/>
            </w:tcMar>
          </w:tcPr>
          <w:p>
            <w:pPr>
              <w:spacing w:after="40" w:before="0"/>
            </w:pPr>
            <w:r>
              <w:rPr>
                <w:rFonts w:ascii="Courier New" w:cs="Courier New" w:eastAsia="Courier New" w:hAnsi="Courier New"/>
                <w:b/>
                <w:bCs/>
                <w:caps/>
                <w:color w:val="6B6B72"/>
                <w:spacing w:val="24"/>
                <w:sz w:val="14"/>
                <w:szCs w:val="14"/>
              </w:rPr>
              <w:t xml:space="preserve">WEB</w:t>
            </w:r>
          </w:p>
          <w:p>
            <w:pPr>
              <w:spacing w:after="0" w:before="0"/>
            </w:pPr>
            <w:r>
              <w:rPr>
                <w:rFonts w:ascii="Courier New" w:cs="Courier New" w:eastAsia="Courier New" w:hAnsi="Courier New"/>
                <w:b/>
                <w:bCs/>
                <w:color w:val="18181B"/>
                <w:sz w:val="21"/>
                <w:szCs w:val="21"/>
              </w:rPr>
              <w:t xml:space="preserve">denormal.in</w:t>
            </w:r>
          </w:p>
        </w:tc>
        <w:tc>
          <w:tcPr>
            <w:tcW w:type="dxa" w:w="3235"/>
            <w:tcBorders>
              <w:top w:val="none" w:color="FFFFFF" w:sz="0"/>
              <w:left w:val="none" w:color="FFFFFF" w:sz="0"/>
              <w:bottom w:val="none" w:color="FFFFFF" w:sz="0"/>
              <w:right w:val="none" w:color="FFFFFF" w:sz="0"/>
            </w:tcBorders>
            <w:tcMar>
              <w:top w:type="dxa" w:w="120"/>
              <w:left w:type="dxa" w:w="140"/>
              <w:bottom w:type="dxa" w:w="120"/>
              <w:right w:type="dxa" w:w="140"/>
            </w:tcMar>
          </w:tcPr>
          <w:p>
            <w:pPr>
              <w:spacing w:after="40" w:before="0"/>
            </w:pPr>
            <w:r>
              <w:rPr>
                <w:rFonts w:ascii="Courier New" w:cs="Courier New" w:eastAsia="Courier New" w:hAnsi="Courier New"/>
                <w:b/>
                <w:bCs/>
                <w:caps/>
                <w:color w:val="6B6B72"/>
                <w:spacing w:val="24"/>
                <w:sz w:val="14"/>
                <w:szCs w:val="14"/>
              </w:rPr>
              <w:t xml:space="preserve">MAIL</w:t>
            </w:r>
          </w:p>
          <w:p>
            <w:pPr>
              <w:spacing w:after="0" w:before="0"/>
            </w:pPr>
            <w:r>
              <w:rPr>
                <w:rFonts w:ascii="Courier New" w:cs="Courier New" w:eastAsia="Courier New" w:hAnsi="Courier New"/>
                <w:b/>
                <w:bCs/>
                <w:color w:val="18181B"/>
                <w:sz w:val="21"/>
                <w:szCs w:val="21"/>
              </w:rPr>
              <w:t xml:space="preserve">manzil@denormal.in</w:t>
            </w:r>
          </w:p>
        </w:tc>
        <w:tc>
          <w:tcPr>
            <w:tcW w:type="dxa" w:w="3236"/>
            <w:tcBorders>
              <w:top w:val="none" w:color="FFFFFF" w:sz="0"/>
              <w:left w:val="none" w:color="FFFFFF" w:sz="0"/>
              <w:bottom w:val="none" w:color="FFFFFF" w:sz="0"/>
              <w:right w:val="none" w:color="FFFFFF" w:sz="0"/>
            </w:tcBorders>
            <w:tcMar>
              <w:top w:type="dxa" w:w="120"/>
              <w:left w:type="dxa" w:w="140"/>
              <w:bottom w:type="dxa" w:w="120"/>
              <w:right w:type="dxa" w:w="140"/>
            </w:tcMar>
          </w:tcPr>
          <w:p>
            <w:pPr>
              <w:spacing w:after="40" w:before="0"/>
            </w:pPr>
            <w:r>
              <w:rPr>
                <w:rFonts w:ascii="Courier New" w:cs="Courier New" w:eastAsia="Courier New" w:hAnsi="Courier New"/>
                <w:b/>
                <w:bCs/>
                <w:caps/>
                <w:color w:val="6B6B72"/>
                <w:spacing w:val="24"/>
                <w:sz w:val="14"/>
                <w:szCs w:val="14"/>
              </w:rPr>
              <w:t xml:space="preserve">BASED IN</w:t>
            </w:r>
          </w:p>
          <w:p>
            <w:pPr>
              <w:spacing w:after="0" w:before="0"/>
            </w:pPr>
            <w:r>
              <w:rPr>
                <w:rFonts w:ascii="Courier New" w:cs="Courier New" w:eastAsia="Courier New" w:hAnsi="Courier New"/>
                <w:b/>
                <w:bCs/>
                <w:color w:val="18181B"/>
                <w:sz w:val="21"/>
                <w:szCs w:val="21"/>
              </w:rPr>
              <w:t xml:space="preserve">New Delhi, India</w:t>
            </w:r>
          </w:p>
        </w:tc>
      </w:tr>
    </w:tbl>
    <w:p>
      <w:pPr>
        <w:pBdr>
          <w:top w:val="single" w:color="D9D9DE" w:sz="4" w:space="10"/>
        </w:pBdr>
        <w:spacing w:after="120" w:before="300"/>
      </w:pPr>
      <w:r>
        <w:rPr>
          <w:rFonts w:ascii="Courier New" w:cs="Courier New" w:eastAsia="Courier New" w:hAnsi="Courier New"/>
          <w:color w:val="6B6B72"/>
          <w:sz w:val="14"/>
          <w:szCs w:val="14"/>
        </w:rPr>
        <w:t xml:space="preserve">DENORMAL LABS · FIVE SYSTEMS · CLAIMS LIMITED TO SHIPPED CAPABILITY · NO CERTIFICATIONS ASSERTED</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Denormal Labs — Five Systems</dc:title>
  <dc:creator>Denormal Labs</dc:creator>
  <dc:description>Product brochure</dc:description>
  <cp:lastModifiedBy>Un-named</cp:lastModifiedBy>
  <cp:revision>1</cp:revision>
  <dcterms:created xsi:type="dcterms:W3CDTF">2026-09-17T13:20:01.191Z</dcterms:created>
  <dcterms:modified xsi:type="dcterms:W3CDTF">2026-09-17T13:20:01.192Z</dcterms:modified>
</cp:coreProperties>
</file>

<file path=docProps/custom.xml><?xml version="1.0" encoding="utf-8"?>
<Properties xmlns="http://schemas.openxmlformats.org/officeDocument/2006/custom-properties" xmlns:vt="http://schemas.openxmlformats.org/officeDocument/2006/docPropsVTypes"/>
</file>