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after="80"/>
        <w:jc w:val="center"/>
      </w:pPr>
      <w:r>
        <w:rPr>
          <w:b/>
          <w:color w:val="2A9D8F"/>
          <w:sz w:val="30"/>
        </w:rPr>
        <w:t>MANUALE FORMATORE</w:t>
      </w:r>
    </w:p>
    <w:p>
      <w:pPr>
        <w:pStyle w:val="Title"/>
        <w:spacing w:line="259" w:lineRule="auto"/>
        <w:jc w:val="center"/>
      </w:pPr>
      <w:r>
        <w:t>Sicurezza sul lavoro</w:t>
      </w:r>
    </w:p>
    <w:p>
      <w:pPr>
        <w:spacing w:line="259" w:lineRule="auto" w:after="80"/>
        <w:jc w:val="center"/>
      </w:pPr>
      <w:r>
        <w:rPr>
          <w:b/>
          <w:color w:val="16324F"/>
          <w:sz w:val="32"/>
        </w:rPr>
        <w:t>Principi, responsabilità e prevenzione</w:t>
        <w:br/>
        <w:t>secondo il D.Lgs. 81/2008 e il quadro europeo</w:t>
      </w:r>
    </w:p>
    <w:p>
      <w:pPr>
        <w:spacing w:line="259" w:lineRule="auto" w:after="80"/>
        <w:jc w:val="center"/>
      </w:pPr>
      <w:r>
        <w:rPr>
          <w:color w:val="667085"/>
          <w:sz w:val="24"/>
        </w:rPr>
        <w:t>Corso introduttivo professionale — 4 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10166"/>
            <w:shd w:fill="FFF4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E07A2D"/>
                <w:sz w:val="22"/>
              </w:rPr>
              <w:t>Uso del pacchetto</w:t>
            </w:r>
          </w:p>
          <w:p>
            <w:pPr/>
            <w:r>
              <w:rPr>
                <w:rFonts w:ascii="Aptos" w:hAnsi="Aptos"/>
                <w:sz w:val="18"/>
              </w:rPr>
              <w:t>Il manuale guida il docente nell’erogazione del corso, nelle esercitazioni e nel debrief. Non sostituisce i requisiti formali previsti per la formazione obbligatoria: soggetto formatore, requisiti del docente, progetto formativo, presenze, verifica finale, attestazione e modalità di erogazione devono essere gestiti secondo la normativa applicabile.</w:t>
            </w:r>
          </w:p>
        </w:tc>
      </w:tr>
    </w:tbl>
    <w:p>
      <w:pPr>
        <w:spacing w:line="259" w:lineRule="auto" w:after="80"/>
      </w:pPr>
    </w:p>
    <w:p>
      <w:pPr>
        <w:spacing w:line="259" w:lineRule="auto" w:after="80"/>
        <w:jc w:val="center"/>
      </w:pPr>
      <w:r>
        <w:rPr>
          <w:i/>
          <w:color w:val="667085"/>
        </w:rPr>
        <w:t>Stile editoriale: Voce Viva — diretto, concreto, tecnicamente preciso</w:t>
      </w:r>
    </w:p>
    <w:p>
      <w:pPr>
        <w:spacing w:line="259" w:lineRule="auto" w:after="80"/>
      </w:pPr>
      <w:r>
        <w:br w:type="page"/>
      </w:r>
    </w:p>
    <w:p>
      <w:pPr>
        <w:pStyle w:val="Heading1"/>
        <w:spacing w:line="259" w:lineRule="auto"/>
      </w:pPr>
      <w:r>
        <w:t>1. Come usare questo manuale</w:t>
      </w:r>
    </w:p>
    <w:p>
      <w:pPr>
        <w:spacing w:line="259" w:lineRule="auto" w:after="80"/>
      </w:pPr>
      <w:r>
        <w:t>Questo documento non è un copione da leggere. È una guida di conduzione: indica cosa spiegare, dove fermarsi, quali domande porre e come trasformare i concetti normativi in situazioni riconoscibili dai partecipanti.</w:t>
      </w:r>
    </w:p>
    <w:p>
      <w:pPr>
        <w:spacing w:line="259" w:lineRule="auto" w:after="80"/>
      </w:pPr>
      <w:r>
        <w:rPr>
          <w:b/>
          <w:color w:val="2A9D8F"/>
        </w:rPr>
        <w:t xml:space="preserve">Prima del corso: </w:t>
      </w:r>
      <w:r>
        <w:t>Verifica destinatari, settore, mansioni, modalità di erogazione e presenza di procedure aziendali da richiamare senza esporre dati riservati.</w:t>
      </w:r>
    </w:p>
    <w:p>
      <w:pPr>
        <w:spacing w:line="259" w:lineRule="auto" w:after="80"/>
      </w:pPr>
      <w:r>
        <w:rPr>
          <w:b/>
          <w:color w:val="2A9D8F"/>
        </w:rPr>
        <w:t xml:space="preserve">Durante il corso: </w:t>
      </w:r>
      <w:r>
        <w:t>Alterna spiegazione, domande e casi brevi. Usa le slide come supporto visivo: il contenuto principale resta nella spiegazione del docente.</w:t>
      </w:r>
    </w:p>
    <w:p>
      <w:pPr>
        <w:spacing w:line="259" w:lineRule="auto" w:after="80"/>
      </w:pPr>
      <w:r>
        <w:rPr>
          <w:b/>
          <w:color w:val="2A9D8F"/>
        </w:rPr>
        <w:t xml:space="preserve">Dopo ogni modulo: </w:t>
      </w:r>
      <w:r>
        <w:t>Esegui la micro-verifica prevista e chiarisci subito gli errori più frequenti.</w:t>
      </w:r>
    </w:p>
    <w:p>
      <w:pPr>
        <w:spacing w:line="259" w:lineRule="auto" w:after="80"/>
      </w:pPr>
      <w:r>
        <w:rPr>
          <w:b/>
          <w:color w:val="2A9D8F"/>
        </w:rPr>
        <w:t xml:space="preserve">A fine corso: </w:t>
      </w:r>
      <w:r>
        <w:t>Per un percorso obbligatorio applica le modalità di verifica, verbalizzazione e attestazione previste dal progetto formativo e dall’Accordo Stato-Regioni applicabile.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E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color w:val="207A4B"/>
                <w:sz w:val="18"/>
              </w:rPr>
              <w:t>Verifica normativa del pacchetto — 11/09/2026</w:t>
            </w:r>
          </w:p>
          <w:p>
            <w:r>
              <w:rPr>
                <w:rFonts w:ascii="Aptos" w:hAnsi="Aptos"/>
                <w:sz w:val="18"/>
              </w:rPr>
              <w:t>I riferimenti principali sono stati ricontrollati sulle fonti ufficiali: D.Lgs. 81/2008, Accordo Stato-Regioni 17 aprile 2025 (Rep. 59/CSR), Gazzetta Ufficiale e Direttiva 89/391/CEE. Il modulo generale per lavoratori non può essere inferiore a 4 ore; la formazione specifica è aggiuntiva e varia in funzione dei rischi. L’Accordo richiede almeno il 90% di frequenza per l’ammissione alla verifica finale; per i lavoratori la verifica finale può essere colloquio o test. Se si usa il test, il totale minimo è 30 domande con almeno tre alternative e superamento al 70%.</w:t>
            </w:r>
          </w:p>
        </w:tc>
      </w:tr>
    </w:tbl>
    <w:p>
      <w:pPr>
        <w:pStyle w:val="Heading1"/>
        <w:spacing w:line="259" w:lineRule="auto"/>
      </w:pPr>
      <w:r>
        <w:t>2. Mappa del corso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6324F"/>
            <w:vAlign w:val="center"/>
          </w:tcPr>
          <w:p>
            <w:r>
              <w:rPr>
                <w:rFonts w:ascii="Aptos" w:hAnsi="Aptos"/>
                <w:color w:val="FFFFFF"/>
                <w:sz w:val="18"/>
              </w:rPr>
              <w:t>Fase</w:t>
            </w:r>
          </w:p>
        </w:tc>
        <w:tc>
          <w:tcPr>
            <w:tcW w:type="dxa" w:w="2541"/>
            <w:shd w:fill="16324F"/>
            <w:vAlign w:val="center"/>
          </w:tcPr>
          <w:p>
            <w:r>
              <w:rPr>
                <w:rFonts w:ascii="Aptos" w:hAnsi="Aptos"/>
                <w:color w:val="FFFFFF"/>
                <w:sz w:val="18"/>
              </w:rPr>
              <w:t>Tempo indicativo</w:t>
            </w:r>
          </w:p>
        </w:tc>
        <w:tc>
          <w:tcPr>
            <w:tcW w:type="dxa" w:w="2541"/>
            <w:shd w:fill="16324F"/>
            <w:vAlign w:val="center"/>
          </w:tcPr>
          <w:p>
            <w:r>
              <w:rPr>
                <w:rFonts w:ascii="Aptos" w:hAnsi="Aptos"/>
                <w:color w:val="FFFFFF"/>
                <w:sz w:val="18"/>
              </w:rPr>
              <w:t>Obiettivo</w:t>
            </w:r>
          </w:p>
        </w:tc>
        <w:tc>
          <w:tcPr>
            <w:tcW w:type="dxa" w:w="2541"/>
            <w:shd w:fill="16324F"/>
            <w:vAlign w:val="center"/>
          </w:tcPr>
          <w:p>
            <w:r>
              <w:rPr>
                <w:rFonts w:ascii="Aptos" w:hAnsi="Aptos"/>
                <w:color w:val="FFFFFF"/>
                <w:sz w:val="18"/>
              </w:rPr>
              <w:t>Metodo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Apertura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10 min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Attivare attenzione e aspettative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Domanda + cornice normativa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Modulo 1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45 min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Pericolo, rischio, danno; prevenzione e quadro UE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Spiegazione + scenario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Modulo 2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60 min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Ruoli, diritti/doveri, partecipazione, vigilanza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Mappa ruoli + casi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Pausa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10 min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Recupero attenzione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—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Modulo 3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50 min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Valutazione dei rischi e gerarchia delle misure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Caso rumore + discussione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Modulo 4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45 min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Comportamenti, near miss, formazione, emergenze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Caso operativo + debrief</w:t>
            </w:r>
          </w:p>
        </w:tc>
      </w:tr>
      <w:t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Ripasso e verifica formativa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20 min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Consolidare i concetti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Domande + correzione ragionata</w:t>
            </w:r>
          </w:p>
        </w:tc>
      </w:tr>
    </w:tbl>
    <w:p>
      <w:pPr>
        <w:pStyle w:val="TrainerNote"/>
        <w:spacing w:line="259" w:lineRule="auto"/>
      </w:pPr>
      <w:r>
        <w:t>Nota: la scansione dei tempi è una proposta didattica. Per un corso formalmente valido, la progettazione e la gestione devono rispettare i requisiti dell’Accordo e del soggetto formatore.</w:t>
      </w:r>
    </w:p>
    <w:p>
      <w:pPr>
        <w:pStyle w:val="Heading1"/>
        <w:pageBreakBefore/>
        <w:spacing w:line="259" w:lineRule="auto"/>
      </w:pPr>
      <w:r>
        <w:t>MODULO 1 — Il sistema della sicurezza: Italia e Unione europea</w:t>
      </w:r>
    </w:p>
    <w:p>
      <w:pPr>
        <w:spacing w:line="259" w:lineRule="auto" w:after="80"/>
      </w:pPr>
      <w:r>
        <w:rPr>
          <w:b/>
          <w:color w:val="2A9D8F"/>
        </w:rPr>
        <w:t xml:space="preserve">Obiettivo per il partecipante: </w:t>
      </w:r>
      <w:r>
        <w:t>Distinguere pericolo, rischio e danno; comprendere prevenzione e protezione; riconoscere i riferimenti normativi principali.</w:t>
      </w:r>
    </w:p>
    <w:p>
      <w:pPr>
        <w:pStyle w:val="TrainerNote"/>
        <w:spacing w:line="259" w:lineRule="auto"/>
      </w:pPr>
      <w:r>
        <w:t>Obiettivo del docente: portare rapidamente la norma dentro una situazione reale, evitando un’apertura troppo giuridica.</w:t>
      </w:r>
    </w:p>
    <w:p>
      <w:pPr>
        <w:pStyle w:val="Heading2"/>
        <w:spacing w:line="259" w:lineRule="auto"/>
      </w:pPr>
      <w:r>
        <w:t>Apertura consigliata</w:t>
      </w:r>
    </w:p>
    <w:p>
      <w:pPr>
        <w:spacing w:line="259" w:lineRule="auto" w:after="80"/>
      </w:pPr>
      <w:r>
        <w:t>Mostra un’immagine mentale semplice: “Un cavo attraversa il corridoio. Non è ancora successo nulla. Dov’è la sicurezza: nel cartello, nel comportamento delle persone o nella rimozione del problema?” Lascia 30–60 secondi alle risposte e poi introduci i concetti.</w:t>
      </w:r>
    </w:p>
    <w:p>
      <w:pPr>
        <w:pStyle w:val="Heading2"/>
        <w:spacing w:line="259" w:lineRule="auto"/>
      </w:pPr>
      <w:r>
        <w:t>Messaggi chiave da spiegare</w:t>
      </w:r>
    </w:p>
    <w:p>
      <w:pPr>
        <w:pStyle w:val="ListBullet"/>
        <w:spacing w:line="259" w:lineRule="auto"/>
      </w:pPr>
      <w:r>
        <w:rPr>
          <w:b/>
        </w:rPr>
        <w:t xml:space="preserve">D.Lgs. 81/2008: </w:t>
      </w:r>
      <w:r>
        <w:t>È il principale riferimento italiano del corso. Organizza obblighi, ruoli e misure di prevenzione e protezione.</w:t>
      </w:r>
    </w:p>
    <w:p>
      <w:pPr>
        <w:pStyle w:val="ListBullet"/>
        <w:spacing w:line="259" w:lineRule="auto"/>
      </w:pPr>
      <w:r>
        <w:rPr>
          <w:b/>
        </w:rPr>
        <w:t xml:space="preserve">Prevenzione: </w:t>
      </w:r>
      <w:r>
        <w:t>L’obiettivo è riconoscere e controllare il rischio prima che si trasformi in danno.</w:t>
      </w:r>
    </w:p>
    <w:p>
      <w:pPr>
        <w:pStyle w:val="ListBullet"/>
        <w:spacing w:line="259" w:lineRule="auto"/>
      </w:pPr>
      <w:r>
        <w:rPr>
          <w:b/>
        </w:rPr>
        <w:t xml:space="preserve">Pericolo, rischio, danno: </w:t>
      </w:r>
      <w:r>
        <w:t>Non sono sinonimi. Il pericolo è la fonte potenziale di danno; il rischio riguarda la possibilità che il danno si verifichi nelle condizioni di esposizione; il danno è la conseguenza.</w:t>
      </w:r>
    </w:p>
    <w:p>
      <w:pPr>
        <w:pStyle w:val="ListBullet"/>
        <w:spacing w:line="259" w:lineRule="auto"/>
      </w:pPr>
      <w:r>
        <w:rPr>
          <w:b/>
        </w:rPr>
        <w:t xml:space="preserve">Quadro europeo: </w:t>
      </w:r>
      <w:r>
        <w:t>La Direttiva 89/391/CEE stabilisce principi generali su prevenzione, informazione, consultazione, partecipazione e formazione.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2A9D8F"/>
                <w:sz w:val="18"/>
              </w:rPr>
              <w:t>Esempio da usare in aula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Pavimento bagnato: il pavimento scivoloso è il pericolo. Il rischio dipende da chi passa, quanto spesso e in quali condizioni. Una caduta con lesione è il danno.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Domanda al gruppo: quale intervento elimina il problema alla fonte e quale, invece, si limita ad avvisare?</w:t>
            </w:r>
          </w:p>
        </w:tc>
      </w:tr>
    </w:tbl>
    <w:p>
      <w:pPr>
        <w:pStyle w:val="Heading2"/>
        <w:spacing w:line="259" w:lineRule="auto"/>
      </w:pPr>
      <w:r>
        <w:t>Domande da porre</w:t>
      </w:r>
    </w:p>
    <w:p>
      <w:pPr>
        <w:pStyle w:val="ListBullet"/>
        <w:spacing w:line="259" w:lineRule="auto"/>
      </w:pPr>
      <w:r>
        <w:t>Quale pericolo vedete più spesso nel vostro lavoro?</w:t>
      </w:r>
    </w:p>
    <w:p>
      <w:pPr>
        <w:pStyle w:val="ListBullet"/>
        <w:spacing w:line="259" w:lineRule="auto"/>
      </w:pPr>
      <w:r>
        <w:t>Un rischio esiste anche se non è ancora accaduto un incidente?</w:t>
      </w:r>
    </w:p>
    <w:p>
      <w:pPr>
        <w:pStyle w:val="ListBullet"/>
        <w:spacing w:line="259" w:lineRule="auto"/>
      </w:pPr>
      <w:r>
        <w:t>Un cartello di avvertimento elimina il pericolo?</w:t>
      </w:r>
    </w:p>
    <w:p>
      <w:pPr>
        <w:pStyle w:val="Heading2"/>
        <w:spacing w:line="259" w:lineRule="auto"/>
      </w:pPr>
      <w:r>
        <w:t>Esercitazione — Il cavo nel corridoio</w:t>
      </w:r>
    </w:p>
    <w:p>
      <w:pPr>
        <w:spacing w:line="259" w:lineRule="auto" w:after="80"/>
      </w:pPr>
      <w:r>
        <w:t>Scenario: in un ufficio, un cavo elettrico attraversa una zona di passaggio. Chiedi ai partecipanti di indicare: pericolo, persone esposte, possibili danni, due misure preventive e la differenza tra eliminare il problema e limitarsi ad avvertire.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E07A2D"/>
                <w:sz w:val="18"/>
              </w:rPr>
              <w:t>Debrief del docente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Risposta attesa: rischio di inciampo/caduta e, a seconda del cavo e delle condizioni, possibili ulteriori rischi elettrici da valutare.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Punto didattico: non cercare una soluzione “perfetta”; fai emergere la gerarchia tra rimuovere/sistemare il cavo e affidarsi soltanto all’attenzione delle persone.</w:t>
            </w:r>
          </w:p>
        </w:tc>
      </w:tr>
    </w:tbl>
    <w:p>
      <w:pPr>
        <w:pStyle w:val="Heading2"/>
        <w:spacing w:line="259" w:lineRule="auto"/>
      </w:pPr>
      <w:r>
        <w:t>Errore da evitare</w:t>
      </w:r>
    </w:p>
    <w:p>
      <w:pPr>
        <w:spacing w:line="259" w:lineRule="auto" w:after="80"/>
      </w:pPr>
      <w:r>
        <w:t>Non trasformare la distinzione pericolo/rischio/danno in una definizione da memorizzare parola per parola. Chiedi sempre un esempio concreto.</w:t>
      </w:r>
    </w:p>
    <w:p>
      <w:pPr>
        <w:pStyle w:val="Heading2"/>
        <w:spacing w:line="259" w:lineRule="auto"/>
      </w:pPr>
      <w:r>
        <w:t>Micro-verifica</w:t>
      </w:r>
    </w:p>
    <w:p>
      <w:pPr>
        <w:pStyle w:val="ListNumber"/>
        <w:spacing w:line="259" w:lineRule="auto"/>
      </w:pPr>
      <w:r>
        <w:t>Il D.Lgs. 81/2008 è il riferimento centrale italiano trattato nel corso?</w:t>
      </w:r>
    </w:p>
    <w:p>
      <w:pPr>
        <w:pStyle w:val="ListNumber"/>
        <w:spacing w:line="259" w:lineRule="auto"/>
      </w:pPr>
      <w:r>
        <w:t>Prevenzione significa intervenire soltanto dopo un infortunio?</w:t>
      </w:r>
    </w:p>
    <w:p>
      <w:pPr>
        <w:pStyle w:val="ListNumber"/>
        <w:spacing w:line="259" w:lineRule="auto"/>
      </w:pPr>
      <w:r>
        <w:t>La Direttiva 89/391/CEE è una direttiva quadro?</w:t>
      </w:r>
    </w:p>
    <w:p>
      <w:pPr>
        <w:pStyle w:val="Heading1"/>
        <w:pageBreakBefore/>
        <w:spacing w:line="259" w:lineRule="auto"/>
      </w:pPr>
      <w:r>
        <w:t>MODULO 2 — Soggetti, ruoli, diritti e responsabilità</w:t>
      </w:r>
    </w:p>
    <w:p>
      <w:pPr>
        <w:spacing w:line="259" w:lineRule="auto" w:after="80"/>
      </w:pPr>
      <w:r>
        <w:rPr>
          <w:b/>
          <w:color w:val="2A9D8F"/>
        </w:rPr>
        <w:t xml:space="preserve">Obiettivo per il partecipante: </w:t>
      </w:r>
      <w:r>
        <w:t>Riconoscere le principali figure della prevenzione, distinguere RSPP e RLS e sapere come comportarsi davanti a un’anomalia.</w:t>
      </w:r>
    </w:p>
    <w:p>
      <w:pPr>
        <w:pStyle w:val="TrainerNote"/>
        <w:spacing w:line="259" w:lineRule="auto"/>
      </w:pPr>
      <w:r>
        <w:t>Obiettivo del docente: evitare l’elenco di sigle: far capire “chi fa cosa” e dove passa l’informazione quando emerge un problema.</w:t>
      </w:r>
    </w:p>
    <w:p>
      <w:pPr>
        <w:pStyle w:val="Heading2"/>
        <w:spacing w:line="259" w:lineRule="auto"/>
      </w:pPr>
      <w:r>
        <w:t>Messaggi chiave da spiegare</w:t>
      </w:r>
    </w:p>
    <w:p>
      <w:pPr>
        <w:pStyle w:val="ListBullet"/>
        <w:spacing w:line="259" w:lineRule="auto"/>
      </w:pPr>
      <w:r>
        <w:rPr>
          <w:b/>
        </w:rPr>
        <w:t xml:space="preserve">Datore di lavoro: </w:t>
      </w:r>
      <w:r>
        <w:t>Ha responsabilità centrali nell’organizzazione della prevenzione e alcuni obblighi non delegabili previsti dalla legge.</w:t>
      </w:r>
    </w:p>
    <w:p>
      <w:pPr>
        <w:pStyle w:val="ListBullet"/>
        <w:spacing w:line="259" w:lineRule="auto"/>
      </w:pPr>
      <w:r>
        <w:rPr>
          <w:b/>
        </w:rPr>
        <w:t xml:space="preserve">Dirigente: </w:t>
      </w:r>
      <w:r>
        <w:t>Attua le direttive del datore di lavoro organizzando l’attività e vigilando secondo le attribuzioni e competenze.</w:t>
      </w:r>
    </w:p>
    <w:p>
      <w:pPr>
        <w:pStyle w:val="ListBullet"/>
        <w:spacing w:line="259" w:lineRule="auto"/>
      </w:pPr>
      <w:r>
        <w:rPr>
          <w:b/>
        </w:rPr>
        <w:t xml:space="preserve">Preposto: </w:t>
      </w:r>
      <w:r>
        <w:t>Sovrintende all’attività lavorativa e controlla l’esecuzione secondo le attribuzioni previste.</w:t>
      </w:r>
    </w:p>
    <w:p>
      <w:pPr>
        <w:pStyle w:val="ListBullet"/>
        <w:spacing w:line="259" w:lineRule="auto"/>
      </w:pPr>
      <w:r>
        <w:rPr>
          <w:b/>
        </w:rPr>
        <w:t xml:space="preserve">Lavoratore: </w:t>
      </w:r>
      <w:r>
        <w:t>Non è passivo: deve prendersi cura della propria sicurezza e di quella delle altre persone interessate dalle sue azioni, rispettando formazione, istruzioni e procedure.</w:t>
      </w:r>
    </w:p>
    <w:p>
      <w:pPr>
        <w:pStyle w:val="ListBullet"/>
        <w:spacing w:line="259" w:lineRule="auto"/>
      </w:pPr>
      <w:r>
        <w:rPr>
          <w:b/>
        </w:rPr>
        <w:t xml:space="preserve">RSPP: </w:t>
      </w:r>
      <w:r>
        <w:t>Responsabile del Servizio di Prevenzione e Protezione. Supporta il sistema di prevenzione secondo i compiti normativi.</w:t>
      </w:r>
    </w:p>
    <w:p>
      <w:pPr>
        <w:pStyle w:val="ListBullet"/>
        <w:spacing w:line="259" w:lineRule="auto"/>
      </w:pPr>
      <w:r>
        <w:rPr>
          <w:b/>
        </w:rPr>
        <w:t xml:space="preserve">RLS: </w:t>
      </w:r>
      <w:r>
        <w:t>Rappresentante dei Lavoratori per la Sicurezza. Rappresenta i lavoratori sui temi di salute e sicurezza.</w:t>
      </w:r>
    </w:p>
    <w:p>
      <w:pPr>
        <w:pStyle w:val="ListBullet"/>
        <w:spacing w:line="259" w:lineRule="auto"/>
      </w:pPr>
      <w:r>
        <w:rPr>
          <w:b/>
        </w:rPr>
        <w:t xml:space="preserve">Medico competente: </w:t>
      </w:r>
      <w:r>
        <w:t>Svolge le funzioni di sorveglianza sanitaria nei casi previsti dalla normativa.</w:t>
      </w:r>
    </w:p>
    <w:p>
      <w:pPr>
        <w:pStyle w:val="Heading2"/>
        <w:spacing w:line="259" w:lineRule="auto"/>
      </w:pPr>
      <w:r>
        <w:t>Integrazione necessaria per la formazione generale</w:t>
      </w:r>
    </w:p>
    <w:p>
      <w:pPr>
        <w:spacing w:line="259" w:lineRule="auto" w:after="80"/>
      </w:pPr>
      <w:r>
        <w:t>L’Accordo Stato-Regioni 2025 inserisce tra i contenuti minimi della formazione generale anche i diritti, i doveri e le sanzioni per i vari soggetti aziendali, oltre agli organi di vigilanza, controllo e assistenza. Nel corso introduttivo questi aspetti vanno trattati senza trasformare la lezione in un catalogo di sanzioni.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2A9D8F"/>
                <w:sz w:val="18"/>
              </w:rPr>
              <w:t>Come spiegarlo senza appesantire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Diritti e doveri: concentra l’attenzione sul fatto che ogni ruolo ha responsabilità diverse e che il lavoratore deve cooperare, usare correttamente attrezzature e DPI e segnalare situazioni di pericolo secondo l’organizzazione aziendale.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Sanzioni: chiarisci che la violazione degli obblighi può avere conseguenze previste dalla legge; evita di memorizzare importi se non sono oggetto specifico e aggiornato del corso.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Vigilanza e assistenza: presenta ASL/servizi competenti, Ispettorato Nazionale del Lavoro, Vigili del Fuoco, INAIL e altri soggetti pertinenti spiegandone il ruolo generale.</w:t>
            </w:r>
          </w:p>
        </w:tc>
      </w:tr>
    </w:tbl>
    <w:p>
      <w:pPr>
        <w:pStyle w:val="Heading2"/>
        <w:spacing w:line="259" w:lineRule="auto"/>
      </w:pPr>
      <w:r>
        <w:t>Caso rapido — Protezione mancante</w:t>
      </w:r>
    </w:p>
    <w:p>
      <w:pPr>
        <w:spacing w:line="259" w:lineRule="auto" w:after="80"/>
      </w:pPr>
      <w:r>
        <w:t>Un lavoratore nota che una protezione su una macchina è stata rimossa. Chiedi: “Chi deve saperlo? Cosa non deve fare il lavoratore? Quale procedura deve seguire?”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E07A2D"/>
                <w:sz w:val="18"/>
              </w:rPr>
              <w:t>Debrief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Messaggio atteso: il problema non va ignorato. Il lavoratore deve seguire le procedure e le istruzioni aziendali, segnalando la situazione alle figure competenti.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Evita formulazioni assolute del tipo “chiama sempre X”: la catena di segnalazione dipende dall’organizzazione e dalle procedure aziendali.</w:t>
            </w:r>
          </w:p>
        </w:tc>
      </w:tr>
    </w:tbl>
    <w:p>
      <w:pPr>
        <w:pStyle w:val="Heading2"/>
        <w:spacing w:line="259" w:lineRule="auto"/>
      </w:pPr>
      <w:r>
        <w:t>RSPP o RLS?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6324F"/>
          </w:tcPr>
          <w:p>
            <w:r>
              <w:rPr>
                <w:rFonts w:ascii="Aptos" w:hAnsi="Aptos"/>
                <w:color w:val="FFFFFF"/>
                <w:sz w:val="18"/>
              </w:rPr>
              <w:t>Figura</w:t>
            </w:r>
          </w:p>
        </w:tc>
        <w:tc>
          <w:tcPr>
            <w:tcW w:type="dxa" w:w="3389"/>
            <w:shd w:fill="16324F"/>
          </w:tcPr>
          <w:p>
            <w:r>
              <w:rPr>
                <w:rFonts w:ascii="Aptos" w:hAnsi="Aptos"/>
                <w:color w:val="FFFFFF"/>
                <w:sz w:val="18"/>
              </w:rPr>
              <w:t>Funzione da ricordare</w:t>
            </w:r>
          </w:p>
        </w:tc>
        <w:tc>
          <w:tcPr>
            <w:tcW w:type="dxa" w:w="3389"/>
            <w:shd w:fill="16324F"/>
          </w:tcPr>
          <w:p>
            <w:r>
              <w:rPr>
                <w:rFonts w:ascii="Aptos" w:hAnsi="Aptos"/>
                <w:color w:val="FFFFFF"/>
                <w:sz w:val="18"/>
              </w:rPr>
              <w:t>Errore frequente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RSPP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Supporta il sistema di prevenzione e protezione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Pensare che sia “il responsabile di tutta la sicurezza”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RLS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Rappresenta i lavoratori per la sicurezza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Confonderlo con una funzione gestionale o gerarchica</w:t>
            </w:r>
          </w:p>
        </w:tc>
      </w:tr>
    </w:tbl>
    <w:p>
      <w:pPr>
        <w:pStyle w:val="Heading2"/>
        <w:spacing w:line="259" w:lineRule="auto"/>
      </w:pPr>
      <w:r>
        <w:t>Micro-verifica</w:t>
      </w:r>
    </w:p>
    <w:p>
      <w:pPr>
        <w:pStyle w:val="ListNumber"/>
        <w:spacing w:line="259" w:lineRule="auto"/>
      </w:pPr>
      <w:r>
        <w:t>Il lavoratore ha un ruolo attivo nella prevenzione?</w:t>
      </w:r>
    </w:p>
    <w:p>
      <w:pPr>
        <w:pStyle w:val="ListNumber"/>
        <w:spacing w:line="259" w:lineRule="auto"/>
      </w:pPr>
      <w:r>
        <w:t>RSPP e RLS svolgono la stessa funzione?</w:t>
      </w:r>
    </w:p>
    <w:p>
      <w:pPr>
        <w:pStyle w:val="ListNumber"/>
        <w:spacing w:line="259" w:lineRule="auto"/>
      </w:pPr>
      <w:r>
        <w:t>Una situazione pericolosa può essere ignorata se non ha ancora causato danni?</w:t>
      </w:r>
    </w:p>
    <w:p>
      <w:pPr>
        <w:pStyle w:val="ListNumber"/>
        <w:spacing w:line="259" w:lineRule="auto"/>
      </w:pPr>
      <w:r>
        <w:t>Qual è la funzione generale degli organi di vigilanza e assistenza?</w:t>
      </w:r>
    </w:p>
    <w:p>
      <w:pPr>
        <w:pStyle w:val="Heading1"/>
        <w:pageBreakBefore/>
        <w:spacing w:line="259" w:lineRule="auto"/>
      </w:pPr>
      <w:r>
        <w:t>MODULO 3 — Valutare e controllare i rischi</w:t>
      </w:r>
    </w:p>
    <w:p>
      <w:pPr>
        <w:spacing w:line="259" w:lineRule="auto" w:after="80"/>
      </w:pPr>
      <w:r>
        <w:rPr>
          <w:b/>
          <w:color w:val="2A9D8F"/>
        </w:rPr>
        <w:t xml:space="preserve">Obiettivo per il partecipante: </w:t>
      </w:r>
      <w:r>
        <w:t>Comprendere lo scopo della valutazione dei rischi, la logica del DVR e la priorità delle misure collettive rispetto a quelle individuali.</w:t>
      </w:r>
    </w:p>
    <w:p>
      <w:pPr>
        <w:pStyle w:val="TrainerNote"/>
        <w:spacing w:line="259" w:lineRule="auto"/>
      </w:pPr>
      <w:r>
        <w:t>Obiettivo del docente: far ragionare sulla sequenza di controllo del rischio: prima la fonte, poi le altre misure, senza trasformare il modulo in una valutazione tecnica specialistica.</w:t>
      </w:r>
    </w:p>
    <w:p>
      <w:pPr>
        <w:pStyle w:val="Heading2"/>
        <w:spacing w:line="259" w:lineRule="auto"/>
      </w:pPr>
      <w:r>
        <w:t>La sequenza da fissare</w:t>
      </w:r>
    </w:p>
    <w:p>
      <w:pPr>
        <w:spacing w:line="259" w:lineRule="auto" w:after="80"/>
      </w:pPr>
      <w:r>
        <w:rPr>
          <w:b/>
          <w:color w:val="16324F"/>
          <w:sz w:val="28"/>
        </w:rPr>
        <w:t>PERICOLO  →  ESPOSIZIONE  →  RISCHIO  →  MISURA  →  VERIFICA</w:t>
      </w:r>
    </w:p>
    <w:p>
      <w:pPr>
        <w:spacing w:line="259" w:lineRule="auto" w:after="80"/>
      </w:pPr>
      <w:r>
        <w:t>Gli articoli 28 e 29 del D.Lgs. 81/2008 disciplinano la valutazione dei rischi e la relativa documentazione. Il partecipante non deve imparare a redigere un DVR: deve capire perché la valutazione precede la scelta della misura.</w:t>
      </w:r>
    </w:p>
    <w:p>
      <w:pPr>
        <w:pStyle w:val="Heading2"/>
        <w:spacing w:line="259" w:lineRule="auto"/>
      </w:pPr>
      <w:r>
        <w:t>Gerarchia pratica delle misure</w:t>
      </w:r>
    </w:p>
    <w:p>
      <w:pPr>
        <w:pStyle w:val="ListNumber"/>
        <w:spacing w:line="259" w:lineRule="auto"/>
      </w:pPr>
      <w:r>
        <w:t>Eliminare il pericolo, quando possibile.</w:t>
      </w:r>
    </w:p>
    <w:p>
      <w:pPr>
        <w:pStyle w:val="ListNumber"/>
        <w:spacing w:line="259" w:lineRule="auto"/>
      </w:pPr>
      <w:r>
        <w:t>Ridurre il rischio alla fonte con misure tecniche.</w:t>
      </w:r>
    </w:p>
    <w:p>
      <w:pPr>
        <w:pStyle w:val="ListNumber"/>
        <w:spacing w:line="259" w:lineRule="auto"/>
      </w:pPr>
      <w:r>
        <w:t>Usare misure organizzative e procedurali adeguate.</w:t>
      </w:r>
    </w:p>
    <w:p>
      <w:pPr>
        <w:pStyle w:val="ListNumber"/>
        <w:spacing w:line="259" w:lineRule="auto"/>
      </w:pPr>
      <w:r>
        <w:t>Privilegiare la protezione collettiva.</w:t>
      </w:r>
    </w:p>
    <w:p>
      <w:pPr>
        <w:pStyle w:val="ListNumber"/>
        <w:spacing w:line="259" w:lineRule="auto"/>
      </w:pPr>
      <w:r>
        <w:t>Utilizzare DPI quando il rischio residuo lo richiede.</w:t>
      </w:r>
    </w:p>
    <w:p>
      <w:pPr>
        <w:pStyle w:val="Heading2"/>
        <w:spacing w:line="259" w:lineRule="auto"/>
      </w:pPr>
      <w:r>
        <w:t>Caso didattico — Rumore elevato</w:t>
      </w:r>
    </w:p>
    <w:p>
      <w:pPr>
        <w:spacing w:line="259" w:lineRule="auto" w:after="80"/>
      </w:pPr>
      <w:r>
        <w:t>In un reparto il rumore è elevato. Prima di dire “diamo a tutti le cuffie”, chiedi al gruppo quali interventi potrebbero agire sulla sorgente, sull’ambiente o sull’organizzazione del lavoro.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E07A2D"/>
                <w:sz w:val="18"/>
              </w:rPr>
              <w:t>Debrief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Possibili categorie di risposta: eliminazione/modifica della sorgente; isolamento; riduzione dell’esposizione; organizzazione diversa; DPI quando necessari.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Punto chiave: il DPI può essere essenziale, ma non deve diventare la risposta automatica prima di aver valutato misure più efficaci alla fonte o collettive.</w:t>
            </w:r>
          </w:p>
        </w:tc>
      </w:tr>
    </w:tbl>
    <w:p>
      <w:pPr>
        <w:pStyle w:val="Heading2"/>
        <w:spacing w:line="259" w:lineRule="auto"/>
      </w:pPr>
      <w:r>
        <w:t>DVR: cosa dire e cosa non dire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A9D8F"/>
          </w:tcPr>
          <w:p>
            <w:r>
              <w:rPr>
                <w:rFonts w:ascii="Aptos" w:hAnsi="Aptos"/>
                <w:color w:val="FFFFFF"/>
                <w:sz w:val="18"/>
              </w:rPr>
              <w:t>Da dire</w:t>
            </w:r>
          </w:p>
        </w:tc>
        <w:tc>
          <w:tcPr>
            <w:tcW w:type="dxa" w:w="5083"/>
            <w:shd w:fill="2A9D8F"/>
          </w:tcPr>
          <w:p>
            <w:r>
              <w:rPr>
                <w:rFonts w:ascii="Aptos" w:hAnsi="Aptos"/>
                <w:color w:val="FFFFFF"/>
                <w:sz w:val="18"/>
              </w:rPr>
              <w:t>Da evitare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È il documento legato alla valutazione dei rischi prevista dalla normativa.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“Il DVR è un modulo standard uguale per tutte le aziende”.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La valutazione deve riferirsi ai rischi reali dell’attività.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Entrare in criteri tecnici specialistici non previsti dal corso introduttivo.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Le misure vanno verificate nel tempo.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Presentare il DPI come soluzione universale.</w:t>
            </w:r>
          </w:p>
        </w:tc>
      </w:tr>
    </w:tbl>
    <w:p>
      <w:pPr>
        <w:pStyle w:val="Heading2"/>
        <w:spacing w:line="259" w:lineRule="auto"/>
      </w:pPr>
      <w:r>
        <w:t>Micro-verifica</w:t>
      </w:r>
    </w:p>
    <w:p>
      <w:pPr>
        <w:pStyle w:val="ListNumber"/>
        <w:spacing w:line="259" w:lineRule="auto"/>
      </w:pPr>
      <w:r>
        <w:t>Quale misura ha normalmente priorità: ridurre il rischio alla fonte o consegnare subito un DPI?</w:t>
      </w:r>
    </w:p>
    <w:p>
      <w:pPr>
        <w:pStyle w:val="ListNumber"/>
        <w:spacing w:line="259" w:lineRule="auto"/>
      </w:pPr>
      <w:r>
        <w:t>Il DVR riguarda solo gli infortuni già accaduti?</w:t>
      </w:r>
    </w:p>
    <w:p>
      <w:pPr>
        <w:pStyle w:val="ListNumber"/>
        <w:spacing w:line="259" w:lineRule="auto"/>
      </w:pPr>
      <w:r>
        <w:t>Che cosa distingue una misura collettiva da un DPI?</w:t>
      </w:r>
    </w:p>
    <w:p>
      <w:pPr>
        <w:pStyle w:val="Heading1"/>
        <w:pageBreakBefore/>
        <w:spacing w:line="259" w:lineRule="auto"/>
      </w:pPr>
      <w:r>
        <w:t>MODULO 4 — Comportamenti sicuri, formazione, emergenze e miglioramento</w:t>
      </w:r>
    </w:p>
    <w:p>
      <w:pPr>
        <w:spacing w:line="259" w:lineRule="auto" w:after="80"/>
      </w:pPr>
      <w:r>
        <w:rPr>
          <w:b/>
          <w:color w:val="2A9D8F"/>
        </w:rPr>
        <w:t xml:space="preserve">Obiettivo per il partecipante: </w:t>
      </w:r>
      <w:r>
        <w:t>Collegare formazione e comportamento, riconoscere il valore dei near miss e sapere come reagire a un’anomalia o a un’emergenza.</w:t>
      </w:r>
    </w:p>
    <w:p>
      <w:pPr>
        <w:pStyle w:val="TrainerNote"/>
        <w:spacing w:line="259" w:lineRule="auto"/>
      </w:pPr>
      <w:r>
        <w:t>Obiettivo del docente: chiudere il corso sul comportamento reale: cosa fa la persona domani, nel posto di lavoro, quando vede qualcosa che non va?</w:t>
      </w:r>
    </w:p>
    <w:p>
      <w:pPr>
        <w:pStyle w:val="Heading2"/>
        <w:spacing w:line="259" w:lineRule="auto"/>
      </w:pPr>
      <w:r>
        <w:t>Formazione, informazione e addestramento</w:t>
      </w:r>
    </w:p>
    <w:p>
      <w:pPr>
        <w:spacing w:line="259" w:lineRule="auto" w:after="80"/>
      </w:pPr>
      <w:r>
        <w:t>Il D.Lgs. 81/2008 distingue strumenti diversi. La formazione costruisce conoscenze e competenze; l’informazione mette a disposizione contenuti necessari; l’addestramento riguarda l’apprendimento pratico nei casi previsti. Evita di usare i termini come sinonimi.</w:t>
      </w:r>
    </w:p>
    <w:p>
      <w:pPr>
        <w:pStyle w:val="Heading2"/>
        <w:spacing w:line="259" w:lineRule="auto"/>
      </w:pPr>
      <w:r>
        <w:t>Near miss: il quasi incidente che insegna</w:t>
      </w:r>
    </w:p>
    <w:p>
      <w:pPr>
        <w:spacing w:line="259" w:lineRule="auto" w:after="80"/>
      </w:pPr>
      <w:r>
        <w:t>Esempio: un oggetto cade da uno scaffale senza colpire nessuno. Nessun danno, ma un’informazione utile. Chiedi al gruppo: “Se non è successo nulla, perché dovremmo parlarne?”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2A9D8F"/>
                <w:sz w:val="18"/>
              </w:rPr>
              <w:t>Messaggio da fissare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Un mancato infortunio può mostrare una debolezza del sistema prima che produca un danno.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L’obiettivo non è cercare un colpevole ma capire cause, condizioni e azioni correttive.</w:t>
            </w:r>
          </w:p>
        </w:tc>
      </w:tr>
    </w:tbl>
    <w:p>
      <w:pPr>
        <w:pStyle w:val="Heading2"/>
        <w:spacing w:line="259" w:lineRule="auto"/>
      </w:pPr>
      <w:r>
        <w:t>Verifica dell’efficacia della formazione</w:t>
      </w:r>
    </w:p>
    <w:p>
      <w:pPr>
        <w:spacing w:line="259" w:lineRule="auto" w:after="80"/>
      </w:pPr>
      <w:r>
        <w:t>L’Accordo Stato-Regioni 2025 prevede la verifica dell’efficacia durante lo svolgimento della prestazione lavorativa. Tra le modalità richiamate figurano l’analisi infortunistica aziendale, questionari al personale e checklist di osservazione dei comportamenti.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2A9D8F"/>
                <w:sz w:val="18"/>
              </w:rPr>
              <w:t>Domanda al gruppo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“Come capiamo, tra un mese, se questo corso ha cambiato qualcosa nel modo di lavorare?”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Raccogli 3–4 risposte e collegale a comportamenti osservabili: uso corretto dei DPI, rispetto delle procedure, segnalazioni, uso delle attrezzature.</w:t>
            </w:r>
          </w:p>
        </w:tc>
      </w:tr>
    </w:tbl>
    <w:p>
      <w:pPr>
        <w:pStyle w:val="Heading2"/>
        <w:spacing w:line="259" w:lineRule="auto"/>
      </w:pPr>
      <w:r>
        <w:t>Caso finale — Protezione rimossa per lavorare più velocemente</w:t>
      </w:r>
    </w:p>
    <w:p>
      <w:pPr>
        <w:spacing w:line="259" w:lineRule="auto" w:after="80"/>
      </w:pPr>
      <w:r>
        <w:t>Durante il lavoro, un dipendente vede che una protezione è stata rimossa da un’attrezzatura per velocizzare la lavorazione. Chiedi di indicare: problema, comportamento da evitare, azione corretta, figure da coinvolgere secondo l’organizzazione e informazioni utili per evitare la ripetizione.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E07A2D"/>
                <w:sz w:val="18"/>
              </w:rPr>
              <w:t>Debrief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Non ignorare la situazione; non improvvisare modifiche tecniche; seguire istruzioni e procedure; segnalare secondo l’organizzazione aziendale.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Collega il caso ai quattro moduli: pericolo/rischio, ruoli, misure di prevenzione, comportamento e segnalazione.</w:t>
            </w:r>
          </w:p>
        </w:tc>
      </w:tr>
    </w:tbl>
    <w:p>
      <w:pPr>
        <w:pStyle w:val="Heading2"/>
        <w:spacing w:line="259" w:lineRule="auto"/>
      </w:pPr>
      <w:r>
        <w:t>Emergenze</w:t>
      </w:r>
    </w:p>
    <w:p>
      <w:pPr>
        <w:spacing w:line="259" w:lineRule="auto" w:after="80"/>
      </w:pPr>
      <w:r>
        <w:t>Ribadisci una regola semplice: in emergenza non si inventa una procedura. Il lavoratore deve conoscere le istruzioni aziendali che lo riguardano e sapere dove reperire le informazioni necessarie.</w:t>
      </w:r>
    </w:p>
    <w:p>
      <w:pPr>
        <w:pStyle w:val="Heading2"/>
        <w:spacing w:line="259" w:lineRule="auto"/>
      </w:pPr>
      <w:r>
        <w:t>Micro-verifica</w:t>
      </w:r>
    </w:p>
    <w:p>
      <w:pPr>
        <w:pStyle w:val="ListNumber"/>
        <w:spacing w:line="259" w:lineRule="auto"/>
      </w:pPr>
      <w:r>
        <w:t>Un near miss è irrilevante perché non ha causato danni?</w:t>
      </w:r>
    </w:p>
    <w:p>
      <w:pPr>
        <w:pStyle w:val="ListNumber"/>
        <w:spacing w:line="259" w:lineRule="auto"/>
      </w:pPr>
      <w:r>
        <w:t>La formazione è efficace soltanto se il partecipante supera un quiz?</w:t>
      </w:r>
    </w:p>
    <w:p>
      <w:pPr>
        <w:pStyle w:val="ListNumber"/>
        <w:spacing w:line="259" w:lineRule="auto"/>
      </w:pPr>
      <w:r>
        <w:t>In presenza di un’anomalia pericolosa è corretto improvvisare una modifica tecnica?</w:t>
      </w:r>
    </w:p>
    <w:p>
      <w:pPr>
        <w:pStyle w:val="Heading1"/>
        <w:pageBreakBefore/>
        <w:spacing w:line="259" w:lineRule="auto"/>
      </w:pPr>
      <w:r>
        <w:t>3. Debrief finale e ripasso</w:t>
      </w:r>
    </w:p>
    <w:p>
      <w:pPr>
        <w:spacing w:line="259" w:lineRule="auto" w:after="80"/>
      </w:pPr>
      <w:r>
        <w:t>Usa il ripasso per verificare comprensione, non memoria. Le domande seguenti devono essere risposte con parole proprie.</w:t>
      </w:r>
    </w:p>
    <w:p>
      <w:pPr>
        <w:pStyle w:val="ListNumber"/>
        <w:spacing w:line="259" w:lineRule="auto"/>
      </w:pPr>
      <w:r>
        <w:t>Che differenza c’è tra pericolo e rischio?</w:t>
      </w:r>
    </w:p>
    <w:p>
      <w:pPr>
        <w:pStyle w:val="ListNumber"/>
        <w:spacing w:line="259" w:lineRule="auto"/>
      </w:pPr>
      <w:r>
        <w:t>Perché un rischio va controllato prima alla fonte, quando possibile?</w:t>
      </w:r>
    </w:p>
    <w:p>
      <w:pPr>
        <w:pStyle w:val="ListNumber"/>
        <w:spacing w:line="259" w:lineRule="auto"/>
      </w:pPr>
      <w:r>
        <w:t>Qual è la differenza essenziale tra RSPP e RLS?</w:t>
      </w:r>
    </w:p>
    <w:p>
      <w:pPr>
        <w:pStyle w:val="ListNumber"/>
        <w:spacing w:line="259" w:lineRule="auto"/>
      </w:pPr>
      <w:r>
        <w:t>Cosa deve fare un lavoratore quando vede un’anomalia pericolosa?</w:t>
      </w:r>
    </w:p>
    <w:p>
      <w:pPr>
        <w:pStyle w:val="ListNumber"/>
        <w:spacing w:line="259" w:lineRule="auto"/>
      </w:pPr>
      <w:r>
        <w:t>Perché un near miss è utile?</w:t>
      </w:r>
    </w:p>
    <w:p>
      <w:pPr>
        <w:pStyle w:val="ListNumber"/>
        <w:spacing w:line="259" w:lineRule="auto"/>
      </w:pPr>
      <w:r>
        <w:t>Come possiamo verificare nel tempo che la formazione sia stata efficace?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E07A2D"/>
                <w:sz w:val="18"/>
              </w:rPr>
              <w:t>Tecnica di chiusura — “Una cosa che farò diversamente”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Chiedi a ogni partecipante di formulare una sola azione concreta applicabile nel proprio lavoro: segnalare prima un’anomalia, controllare una procedura, non aggirare una protezione, chiedere chiarimenti prima di improvvisare.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Non raccogliere promesse generiche: cerca comportamenti osservabili.</w:t>
            </w:r>
          </w:p>
        </w:tc>
      </w:tr>
    </w:tbl>
    <w:p>
      <w:pPr>
        <w:pStyle w:val="Heading1"/>
        <w:spacing w:line="259" w:lineRule="auto"/>
      </w:pPr>
      <w:r>
        <w:t>4. Verifica finale: regole operative</w:t>
      </w:r>
    </w:p>
    <w:p>
      <w:pPr>
        <w:spacing w:line="259" w:lineRule="auto" w:after="80"/>
      </w:pPr>
      <w:r>
        <w:t>Per i corsi disciplinati dall’Accordo Stato-Regioni 17 aprile 2025, la gestione della verifica finale deve essere prevista nel progetto formativo. Per i lavoratori, la modalità indicata è colloquio o test. Se viene utilizzato il test, l’Accordo stabilisce un totale minimo di 30 domande, ciascuna con almeno tre risposte alternative, e un esito positivo con almeno il 70% di risposte corrette.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6324F"/>
          </w:tcPr>
          <w:p>
            <w:r>
              <w:rPr>
                <w:rFonts w:ascii="Aptos" w:hAnsi="Aptos"/>
                <w:color w:val="FFFFFF"/>
                <w:sz w:val="18"/>
              </w:rPr>
              <w:t>Requisito</w:t>
            </w:r>
          </w:p>
        </w:tc>
        <w:tc>
          <w:tcPr>
            <w:tcW w:type="dxa" w:w="5083"/>
            <w:shd w:fill="16324F"/>
          </w:tcPr>
          <w:p>
            <w:r>
              <w:rPr>
                <w:rFonts w:ascii="Aptos" w:hAnsi="Aptos"/>
                <w:color w:val="FFFFFF"/>
                <w:sz w:val="18"/>
              </w:rPr>
              <w:t>Indicazione da gestire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Frequenza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Almeno il 90% delle ore previste per l’ammissione alla verifica finale.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Lavoratori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Verifica finale mediante colloquio o test.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Test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Minimo 30 domande, almeno 3 alternative, superamento al 70%.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Verbale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Predisporre il verbale della verifica finale con gli elementi minimi previsti.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Attestato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Predisporre l’attestato secondo i requisiti applicabili.</w:t>
            </w:r>
          </w:p>
        </w:tc>
      </w:tr>
      <w:tr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Banca quiz allegata</w:t>
            </w:r>
          </w:p>
        </w:tc>
        <w:tc>
          <w:tcPr>
            <w:tcW w:type="dxa" w:w="5083"/>
          </w:tcPr>
          <w:p>
            <w:r>
              <w:rPr>
                <w:rFonts w:ascii="Aptos" w:hAnsi="Aptos"/>
                <w:sz w:val="18"/>
              </w:rPr>
              <w:t>40 domande; il file Excel contiene anche un test da 30 quesiti e la chiave di correzione.</w:t>
            </w:r>
          </w:p>
        </w:tc>
      </w:tr>
    </w:tbl>
    <w:p>
      <w:pPr>
        <w:pStyle w:val="Heading1"/>
        <w:spacing w:line="259" w:lineRule="auto"/>
      </w:pPr>
      <w:r>
        <w:t>5. Checklist del formatore</w:t>
      </w:r>
    </w:p>
    <w:p>
      <w:pPr>
        <w:spacing w:line="259" w:lineRule="auto" w:after="80"/>
      </w:pPr>
      <w:r>
        <w:rPr>
          <w:color w:val="2A9D8F"/>
        </w:rPr>
        <w:t xml:space="preserve">☐ </w:t>
      </w:r>
      <w:r>
        <w:t>Ho verificato destinatari e obiettivi del corso.</w:t>
      </w:r>
    </w:p>
    <w:p>
      <w:pPr>
        <w:spacing w:line="259" w:lineRule="auto" w:after="80"/>
      </w:pPr>
      <w:r>
        <w:rPr>
          <w:color w:val="2A9D8F"/>
        </w:rPr>
        <w:t xml:space="preserve">☐ </w:t>
      </w:r>
      <w:r>
        <w:t>Ho chiarito che il pacchetto è introduttivo e non costituisce da solo attestazione valida.</w:t>
      </w:r>
    </w:p>
    <w:p>
      <w:pPr>
        <w:spacing w:line="259" w:lineRule="auto" w:after="80"/>
      </w:pPr>
      <w:r>
        <w:rPr>
          <w:color w:val="2A9D8F"/>
        </w:rPr>
        <w:t xml:space="preserve">☐ </w:t>
      </w:r>
      <w:r>
        <w:t>Ho previsto esempi coerenti con il contesto lavorativo dei partecipanti.</w:t>
      </w:r>
    </w:p>
    <w:p>
      <w:pPr>
        <w:spacing w:line="259" w:lineRule="auto" w:after="80"/>
      </w:pPr>
      <w:r>
        <w:rPr>
          <w:color w:val="2A9D8F"/>
        </w:rPr>
        <w:t xml:space="preserve">☐ </w:t>
      </w:r>
      <w:r>
        <w:t>Ho mantenuto separati formazione generale e rischi specifici.</w:t>
      </w:r>
    </w:p>
    <w:p>
      <w:pPr>
        <w:spacing w:line="259" w:lineRule="auto" w:after="80"/>
      </w:pPr>
      <w:r>
        <w:rPr>
          <w:color w:val="2A9D8F"/>
        </w:rPr>
        <w:t xml:space="preserve">☐ </w:t>
      </w:r>
      <w:r>
        <w:t>Ho trattato anche diritti, doveri, sanzioni e organi di vigilanza/assistenza come richiesto dai contenuti minimi della formazione generale.</w:t>
      </w:r>
    </w:p>
    <w:p>
      <w:pPr>
        <w:spacing w:line="259" w:lineRule="auto" w:after="80"/>
      </w:pPr>
      <w:r>
        <w:rPr>
          <w:color w:val="2A9D8F"/>
        </w:rPr>
        <w:t xml:space="preserve">☐ </w:t>
      </w:r>
      <w:r>
        <w:t>Ho preparato esercitazioni e debrief, non soltanto spiegazioni frontali.</w:t>
      </w:r>
    </w:p>
    <w:p>
      <w:pPr>
        <w:spacing w:line="259" w:lineRule="auto" w:after="80"/>
      </w:pPr>
      <w:r>
        <w:rPr>
          <w:color w:val="2A9D8F"/>
        </w:rPr>
        <w:t xml:space="preserve">☐ </w:t>
      </w:r>
      <w:r>
        <w:t>Ho predisposto la modalità di verifica finale prevista dal progetto.</w:t>
      </w:r>
    </w:p>
    <w:p>
      <w:pPr>
        <w:spacing w:line="259" w:lineRule="auto" w:after="80"/>
      </w:pPr>
      <w:r>
        <w:rPr>
          <w:color w:val="2A9D8F"/>
        </w:rPr>
        <w:t xml:space="preserve">☐ </w:t>
      </w:r>
      <w:r>
        <w:t>Ho previsto registrazione delle presenze e documentazione richiesta.</w:t>
      </w:r>
    </w:p>
    <w:p>
      <w:pPr>
        <w:spacing w:line="259" w:lineRule="auto" w:after="80"/>
      </w:pPr>
      <w:r>
        <w:rPr>
          <w:color w:val="2A9D8F"/>
        </w:rPr>
        <w:t xml:space="preserve">☐ </w:t>
      </w:r>
      <w:r>
        <w:t>Ho controllato eventuali aggiornamenti normativi prima dell’erogazione.</w:t>
      </w:r>
    </w:p>
    <w:p>
      <w:pPr>
        <w:pStyle w:val="Heading1"/>
        <w:spacing w:line="259" w:lineRule="auto"/>
      </w:pPr>
      <w:r>
        <w:t>6. Domande difficili dei partecipanti</w:t>
      </w:r>
    </w:p>
    <w:p>
      <w:pPr>
        <w:spacing w:line="259" w:lineRule="auto" w:after="80"/>
      </w:pPr>
      <w:r>
        <w:rPr>
          <w:b/>
          <w:color w:val="16324F"/>
        </w:rPr>
        <w:t>“Se uso il DPI sono sempre al sicuro?”</w:t>
      </w:r>
    </w:p>
    <w:p>
      <w:pPr>
        <w:spacing w:line="259" w:lineRule="auto" w:after="80"/>
      </w:pPr>
      <w:r>
        <w:t>No. Il DPI è una misura importante ma si inserisce in una strategia più ampia. Quando possibile, il rischio va eliminato o ridotto alla fonte e le misure collettive hanno priorità.</w:t>
      </w:r>
    </w:p>
    <w:p>
      <w:pPr>
        <w:spacing w:line="259" w:lineRule="auto" w:after="80"/>
      </w:pPr>
      <w:r>
        <w:rPr>
          <w:b/>
          <w:color w:val="16324F"/>
        </w:rPr>
        <w:t>“Se non è mai successo nulla, perché cambiare?”</w:t>
      </w:r>
    </w:p>
    <w:p>
      <w:pPr>
        <w:spacing w:line="259" w:lineRule="auto" w:after="80"/>
      </w:pPr>
      <w:r>
        <w:t>L’assenza di incidenti non dimostra l’assenza di rischio. Near miss, anomalie e condizioni di esposizione possono mostrare problemi prima di un danno.</w:t>
      </w:r>
    </w:p>
    <w:p>
      <w:pPr>
        <w:spacing w:line="259" w:lineRule="auto" w:after="80"/>
      </w:pPr>
      <w:r>
        <w:rPr>
          <w:b/>
          <w:color w:val="16324F"/>
        </w:rPr>
        <w:t>“L’RSPP è responsabile di tutto?”</w:t>
      </w:r>
    </w:p>
    <w:p>
      <w:pPr>
        <w:spacing w:line="259" w:lineRule="auto" w:after="80"/>
      </w:pPr>
      <w:r>
        <w:t>No. Il sistema attribuisce ruoli e obblighi diversi. L’RSPP svolge funzioni specifiche di supporto al sistema di prevenzione; non sostituisce automaticamente le responsabilità degli altri soggetti.</w:t>
      </w:r>
    </w:p>
    <w:p>
      <w:pPr>
        <w:spacing w:line="259" w:lineRule="auto" w:after="80"/>
      </w:pPr>
      <w:r>
        <w:rPr>
          <w:b/>
          <w:color w:val="16324F"/>
        </w:rPr>
        <w:t>“Posso sistemare da solo un problema pericoloso?”</w:t>
      </w:r>
    </w:p>
    <w:p>
      <w:pPr>
        <w:spacing w:line="259" w:lineRule="auto" w:after="80"/>
      </w:pPr>
      <w:r>
        <w:t>Solo entro le competenze, autorizzazioni, istruzioni e procedure previste. Davanti a un’anomalia non si improvvisano modifiche tecniche.</w:t>
      </w:r>
    </w:p>
    <w:p>
      <w:pPr>
        <w:spacing w:line="259" w:lineRule="auto" w:after="80"/>
      </w:pPr>
      <w:r>
        <w:rPr>
          <w:b/>
          <w:color w:val="16324F"/>
        </w:rPr>
        <w:t>“Il corso vale per qualsiasi lavoro?”</w:t>
      </w:r>
    </w:p>
    <w:p>
      <w:pPr>
        <w:spacing w:line="259" w:lineRule="auto" w:after="80"/>
      </w:pPr>
      <w:r>
        <w:t>I principi generali sono trasversali. La formazione specifica, invece, deve essere riferita ai rischi effettivi della mansione e del contesto lavorativo.</w:t>
      </w:r>
    </w:p>
    <w:p>
      <w:pPr>
        <w:pStyle w:val="Heading1"/>
        <w:pageBreakBefore/>
        <w:spacing w:line="259" w:lineRule="auto"/>
      </w:pPr>
      <w:r>
        <w:t>7. Fonti normative e istituzionali</w:t>
      </w:r>
    </w:p>
    <w:p>
      <w:pPr>
        <w:spacing w:line="259" w:lineRule="auto" w:after="80"/>
      </w:pPr>
      <w:r>
        <w:t>Riferimenti principali utilizzati per il pacchetto. Per l’erogazione reale del corso, verificare sempre la versione vigente e gli eventuali aggiornamenti successivi.</w:t>
      </w:r>
    </w:p>
    <w:p>
      <w:pPr>
        <w:pStyle w:val="ListBullet"/>
        <w:spacing w:line="259" w:lineRule="auto"/>
      </w:pPr>
      <w:r>
        <w:rPr>
          <w:b/>
        </w:rPr>
        <w:t xml:space="preserve">D.Lgs. 9 aprile 2008, n. 81 — testo vigente (Normattiva) — </w:t>
      </w:r>
      <w:hyperlink r:id="rId11">
        <w:r>
          <w:rPr>
            <w:color w:val="1F5E75"/>
            <w:u w:val="single"/>
          </w:rPr>
          <w:t>https://www.normattiva.it/uri-res/N2Ls?urn:nir:stato:decreto.legislativo:2008-04-09;81!vig=</w:t>
        </w:r>
      </w:hyperlink>
    </w:p>
    <w:p>
      <w:pPr>
        <w:pStyle w:val="ListBullet"/>
        <w:spacing w:line="259" w:lineRule="auto"/>
      </w:pPr>
      <w:r>
        <w:rPr>
          <w:b/>
        </w:rPr>
        <w:t xml:space="preserve">Accordo Stato-Regioni 17 aprile 2025, Rep. 59/CSR — Gazzetta Ufficiale — </w:t>
      </w:r>
      <w:hyperlink r:id="rId12">
        <w:r>
          <w:rPr>
            <w:color w:val="1F5E75"/>
            <w:u w:val="single"/>
          </w:rPr>
          <w:t>https://www.gazzettaufficiale.it/eli/id/2025/05/24/25A03080/sg</w:t>
        </w:r>
      </w:hyperlink>
    </w:p>
    <w:p>
      <w:pPr>
        <w:pStyle w:val="ListBullet"/>
        <w:spacing w:line="259" w:lineRule="auto"/>
      </w:pPr>
      <w:r>
        <w:rPr>
          <w:b/>
        </w:rPr>
        <w:t xml:space="preserve">Allegato A dell’Accordo 17 aprile 2025 — Ministero del Lavoro — </w:t>
      </w:r>
      <w:hyperlink r:id="rId13">
        <w:r>
          <w:rPr>
            <w:color w:val="1F5E75"/>
            <w:u w:val="single"/>
          </w:rPr>
          <w:t>https://www.lavoro.gov.it/temi-e-priorita-salute-e-sicurezza/focus/accordo-stato-regioni-17042025-allegato</w:t>
        </w:r>
      </w:hyperlink>
    </w:p>
    <w:p>
      <w:pPr>
        <w:pStyle w:val="ListBullet"/>
        <w:spacing w:line="259" w:lineRule="auto"/>
      </w:pPr>
      <w:r>
        <w:rPr>
          <w:b/>
        </w:rPr>
        <w:t xml:space="preserve">Pagina Ministero del Lavoro dedicata all’Accordo Stato-Regioni 2025 — </w:t>
      </w:r>
      <w:hyperlink r:id="rId14">
        <w:r>
          <w:rPr>
            <w:color w:val="1F5E75"/>
            <w:u w:val="single"/>
          </w:rPr>
          <w:t>https://www.lavoro.gov.it/temi-e-priorita/salute-e-sicurezza/focus/pagine/accordo-stato-regioni-del-17042025-materia-di-formazione</w:t>
        </w:r>
      </w:hyperlink>
    </w:p>
    <w:p>
      <w:pPr>
        <w:pStyle w:val="ListBullet"/>
        <w:spacing w:line="259" w:lineRule="auto"/>
      </w:pPr>
      <w:r>
        <w:rPr>
          <w:b/>
        </w:rPr>
        <w:t xml:space="preserve">Direttiva 89/391/CEE — EUR-Lex — </w:t>
      </w:r>
      <w:hyperlink r:id="rId15">
        <w:r>
          <w:rPr>
            <w:color w:val="1F5E75"/>
            <w:u w:val="single"/>
          </w:rPr>
          <w:t>https://eur-lex.europa.eu/legal-content/IT/TXT/?uri=CELEX:31989L0391</w:t>
        </w:r>
      </w:hyperlink>
    </w:p>
    <w:p>
      <w:pPr>
        <w:pStyle w:val="ListBullet"/>
        <w:spacing w:line="259" w:lineRule="auto"/>
      </w:pPr>
      <w:r>
        <w:rPr>
          <w:b/>
        </w:rPr>
        <w:t xml:space="preserve">Direttiva 89/656/CEE — EUR-Lex — </w:t>
      </w:r>
      <w:hyperlink r:id="rId16">
        <w:r>
          <w:rPr>
            <w:color w:val="1F5E75"/>
            <w:u w:val="single"/>
          </w:rPr>
          <w:t>https://eur-lex.europa.eu/legal-content/IT/TXT/?uri=CELEX:31989L0656</w:t>
        </w:r>
      </w:hyperlink>
    </w:p>
    <w:p>
      <w:pPr>
        <w:pStyle w:val="ListBullet"/>
        <w:spacing w:line="259" w:lineRule="auto"/>
      </w:pPr>
      <w:r>
        <w:rPr>
          <w:b/>
        </w:rPr>
        <w:t xml:space="preserve">Direttiva 2009/104/CE — EUR-Lex — </w:t>
      </w:r>
      <w:hyperlink r:id="rId17">
        <w:r>
          <w:rPr>
            <w:color w:val="1F5E75"/>
            <w:u w:val="single"/>
          </w:rPr>
          <w:t>https://eur-lex.europa.eu/legal-content/IT/TXT/?uri=CELEX:32009L0104</w:t>
        </w:r>
      </w:hyperlink>
    </w:p>
    <w:p>
      <w:pPr>
        <w:pStyle w:val="Heading1"/>
        <w:spacing w:line="259" w:lineRule="auto"/>
      </w:pPr>
      <w:r>
        <w:t>8. Mappa fonti per argomento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6324F"/>
          </w:tcPr>
          <w:p>
            <w:r>
              <w:rPr>
                <w:rFonts w:ascii="Aptos" w:hAnsi="Aptos"/>
                <w:color w:val="FFFFFF"/>
                <w:sz w:val="18"/>
              </w:rPr>
              <w:t>Argomento</w:t>
            </w:r>
          </w:p>
        </w:tc>
        <w:tc>
          <w:tcPr>
            <w:tcW w:type="dxa" w:w="3389"/>
            <w:shd w:fill="16324F"/>
          </w:tcPr>
          <w:p>
            <w:r>
              <w:rPr>
                <w:rFonts w:ascii="Aptos" w:hAnsi="Aptos"/>
                <w:color w:val="FFFFFF"/>
                <w:sz w:val="18"/>
              </w:rPr>
              <w:t>Riferimento principale</w:t>
            </w:r>
          </w:p>
        </w:tc>
        <w:tc>
          <w:tcPr>
            <w:tcW w:type="dxa" w:w="3389"/>
            <w:shd w:fill="16324F"/>
          </w:tcPr>
          <w:p>
            <w:r>
              <w:rPr>
                <w:rFonts w:ascii="Aptos" w:hAnsi="Aptos"/>
                <w:color w:val="FFFFFF"/>
                <w:sz w:val="18"/>
              </w:rPr>
              <w:t>Uso nel corso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Pericolo, rischio, prevenzione, protezione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D.Lgs. 81/2008; Accordo 2025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Modulo 1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Ruoli e obblighi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D.Lgs. 81/2008, Titolo I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Modulo 2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Partecipazione e formazione UE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Direttiva 89/391/CEE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Moduli 1–2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Valutazione dei rischi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D.Lgs. 81/2008, artt. 28–29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Modulo 3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Misure generali di tutela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D.Lgs. 81/2008, art. 15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Modulo 3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Informazione, formazione, addestramento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D.Lgs. 81/2008, artt. 36–37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Modulo 4</w:t>
            </w:r>
          </w:p>
        </w:tc>
      </w:tr>
      <w:tr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Verifica apprendimento, frequenza, efficacia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Accordo Stato-Regioni 17/04/2025</w:t>
            </w:r>
          </w:p>
        </w:tc>
        <w:tc>
          <w:tcPr>
            <w:tcW w:type="dxa" w:w="3389"/>
          </w:tcPr>
          <w:p>
            <w:r>
              <w:rPr>
                <w:rFonts w:ascii="Aptos" w:hAnsi="Aptos"/>
                <w:sz w:val="18"/>
              </w:rPr>
              <w:t>Valutazione finale / Modulo 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2A9D8F"/>
                <w:sz w:val="18"/>
              </w:rPr>
              <w:t>Nota editoriale Voce Viva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La voce del corso è volutamente diretta: la norma viene introdotta quando serve a capire una decisione o un comportamento.</w:t>
            </w:r>
          </w:p>
          <w:p>
            <w:pPr>
              <w:spacing w:after="40"/>
            </w:pPr>
            <w:r>
              <w:rPr>
                <w:rFonts w:ascii="Aptos" w:hAnsi="Aptos"/>
                <w:sz w:val="18"/>
              </w:rPr>
              <w:t>Le ripetizioni tecniche utili all’apprendimento sono mantenute. Sono invece ridotte le formule astratte, le dichiarazioni di importanza e le chiusure retoriche che non aggiungono contenuto.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7085"/>
        <w:sz w:val="16"/>
      </w:rPr>
      <w:t>Materiale didattico introduttivo | Versione 1.0 | 11 settembre 2026</w:t>
    </w:r>
  </w:p>
  <w:p>
    <w:pPr>
      <w:jc w:val="right"/>
    </w:pPr>
    <w:r>
      <w:rPr>
        <w:color w:val="667085"/>
        <w:sz w:val="16"/>
      </w:rPr>
      <w:t xml:space="preserve">Pag.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A9D8F"/>
        <w:sz w:val="16"/>
      </w:rPr>
      <w:t>VOCE VIVA  •  SICUREZZA SUL LAVORO  •  MANUALE FORMATORE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07A2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inerNote">
    <w:name w:val="Trainer Note"/>
    <w:pPr>
      <w:spacing w:after="80"/>
      <w:ind w:left="259" w:right="259"/>
    </w:pPr>
    <w:rPr>
      <w:rFonts w:ascii="Aptos" w:hAnsi="Aptos"/>
      <w:i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ormattiva.it/uri-res/N2Ls?urn:nir:stato:decreto.legislativo:2008-04-09;81!vig=" TargetMode="External"/><Relationship Id="rId12" Type="http://schemas.openxmlformats.org/officeDocument/2006/relationships/hyperlink" Target="https://www.gazzettaufficiale.it/eli/id/2025/05/24/25A03080/sg" TargetMode="External"/><Relationship Id="rId13" Type="http://schemas.openxmlformats.org/officeDocument/2006/relationships/hyperlink" Target="https://www.lavoro.gov.it/temi-e-priorita-salute-e-sicurezza/focus/accordo-stato-regioni-17042025-allegato" TargetMode="External"/><Relationship Id="rId14" Type="http://schemas.openxmlformats.org/officeDocument/2006/relationships/hyperlink" Target="https://www.lavoro.gov.it/temi-e-priorita/salute-e-sicurezza/focus/pagine/accordo-stato-regioni-del-17042025-materia-di-formazione" TargetMode="External"/><Relationship Id="rId15" Type="http://schemas.openxmlformats.org/officeDocument/2006/relationships/hyperlink" Target="https://eur-lex.europa.eu/legal-content/IT/TXT/?uri=CELEX:31989L0391" TargetMode="External"/><Relationship Id="rId16" Type="http://schemas.openxmlformats.org/officeDocument/2006/relationships/hyperlink" Target="https://eur-lex.europa.eu/legal-content/IT/TXT/?uri=CELEX:31989L0656" TargetMode="External"/><Relationship Id="rId17" Type="http://schemas.openxmlformats.org/officeDocument/2006/relationships/hyperlink" Target="https://eur-lex.europa.eu/legal-content/IT/TXT/?uri=CELEX:32009L01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Formatore - Sicurezza sul lavoro</dc:title>
  <dc:subject>Corso introduttivo professionale su salute e sicurezza sul lavoro</dc:subject>
  <dc:creator>Voce Viva / Marcelo Fernandez</dc:creator>
  <cp:keywords>sicurezza sul lavoro, D.Lgs. 81/2008, formazione, Accordo Stato-Regioni 2025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