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color w:val="1F3864"/>
          <w:sz w:val="36"/>
          <w:szCs w:val="36"/>
        </w:rPr>
        <w:t xml:space="preserve">Technical Architecture and Cybersecurity in the PSD2 Ecosystem: Protocols, APIs and Digital Payment Infrastructures</w:t>
      </w:r>
    </w:p>
    <w:p>
      <w:pPr>
        <w:spacing w:after="160"/>
      </w:pPr>
      <w:r>
        <w:rPr>
          <w:rFonts w:ascii="Arial" w:cs="Arial" w:eastAsia="Arial" w:hAnsi="Arial"/>
          <w:sz w:val="22"/>
          <w:szCs w:val="22"/>
        </w:rPr>
        <w:t xml:space="preserve">The entry into force of the Second Payment Services Directive (PSD2) marked a defining moment for the European financial system, shifting control from traditional banking institutions towards an open and interoperable ecosystem based on the Open Banking model. Although the directive is often discussed from a legal perspective, its real implementation relies on a massive technological infrastructure that has redefined security standards, data exchange methods, and the architecture of transactional flows. At the core of this transformation lies the implementation of Strong Customer Authentication (SCA) and the opening of banking Application Programming Interfaces (APIs) to authorised third parties — a change that required major technology investments and the adoption of financial-grade security standards. This technical analysis examines in detail the key technological pillars of PSD2, exploring authentication mechanisms, the security of authorisation protocols, and the emerging threats in a constantly evolving digital landscape.</w:t>
      </w:r>
    </w:p>
    <w:p>
      <w:r>
        <w:t xml:space="preserve"/>
      </w:r>
    </w:p>
    <w:p>
      <w:pPr>
        <w:pStyle w:val="Heading1"/>
      </w:pPr>
      <w:r>
        <w:rPr>
          <w:rFonts w:ascii="Arial" w:cs="Arial" w:eastAsia="Arial" w:hAnsi="Arial"/>
          <w:b/>
          <w:bCs/>
          <w:sz w:val="32"/>
          <w:szCs w:val="32"/>
        </w:rPr>
        <w:t xml:space="preserve">Strong Customer Authentication (SCA) and the Security Infrastructure</w:t>
      </w:r>
    </w:p>
    <w:p>
      <w:pPr>
        <w:spacing w:after="160"/>
      </w:pPr>
      <w:r>
        <w:rPr>
          <w:rFonts w:ascii="Arial" w:cs="Arial" w:eastAsia="Arial" w:hAnsi="Arial"/>
          <w:sz w:val="22"/>
          <w:szCs w:val="22"/>
        </w:rPr>
        <w:t xml:space="preserve">Strong Customer Authentication (SCA) is not just a regulatory requirement — it is the technical foundation on which users' trust in digital payment systems is built. Defined by the Regulatory Technical Standards (RTS) of the European Banking Authority (EBA), the SCA requires that every access to online accounts or initiation of an electronic payment is validated through at least two independent factors. This independence is crucial from a technical standpoint: the compromise of one element must not in any way make it easier to breach the second, ensuring a multi-layered defence against cyberattacks.</w:t>
      </w:r>
    </w:p>
    <w:p>
      <w:r>
        <w:t xml:space="preserve"/>
      </w:r>
    </w:p>
    <w:p>
      <w:pPr>
        <w:pStyle w:val="Heading2"/>
      </w:pPr>
      <w:r>
        <w:rPr>
          <w:rFonts w:ascii="Arial" w:cs="Arial" w:eastAsia="Arial" w:hAnsi="Arial"/>
          <w:b/>
          <w:bCs/>
          <w:sz w:val="28"/>
          <w:szCs w:val="28"/>
        </w:rPr>
        <w:t xml:space="preserve">The Three Pillars of Multi-Factor Authentication</w:t>
      </w:r>
    </w:p>
    <w:p>
      <w:pPr>
        <w:spacing w:after="160"/>
      </w:pPr>
      <w:r>
        <w:rPr>
          <w:rFonts w:ascii="Arial" w:cs="Arial" w:eastAsia="Arial" w:hAnsi="Arial"/>
          <w:sz w:val="22"/>
          <w:szCs w:val="22"/>
        </w:rPr>
        <w:t xml:space="preserve">The SCA logic is based on three categories of factors, whose technical combination determines the security level of the transaction.</w:t>
      </w:r>
    </w:p>
    <w:p>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400"/>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Factor Category</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Technical Description</w:t>
            </w:r>
          </w:p>
        </w:tc>
        <w:tc>
          <w:tcPr>
            <w:tcW w:type="dxa" w:w="3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Implementation Examples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Knowledge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Something only the user knows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Password, PIN, unlock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Possession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Something only the user has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Smartphone, hardware token, SIM card, cryptographic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Inherence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Something the user 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Fingerprint, Face ID, voice recognition, behavioural biometrics</w:t>
            </w:r>
          </w:p>
        </w:tc>
      </w:tr>
    </w:tbl>
    <w:p>
      <w:r>
        <w:t xml:space="preserve"/>
      </w:r>
    </w:p>
    <w:p>
      <w:pPr>
        <w:spacing w:after="160"/>
      </w:pPr>
      <w:r>
        <w:rPr>
          <w:rFonts w:ascii="Arial" w:cs="Arial" w:eastAsia="Arial" w:hAnsi="Arial"/>
          <w:sz w:val="22"/>
          <w:szCs w:val="22"/>
        </w:rPr>
        <w:t xml:space="preserve">The technical implementation of these factors has evolved rapidly. While knowledge factors like passwords are increasingly vulnerable to brute-force attacks or phishing, inherence factors — supported by biometric sensors in modern smartphones — offer a much higher barrier and a better user experience. The possession factor is typically verified through the user's mobile device, using digitally signed push notifications inside protected banking apps, which have replaced the older and less secure OTP codes sent via SMS.</w:t>
      </w:r>
    </w:p>
    <w:p>
      <w:r>
        <w:t xml:space="preserve"/>
      </w:r>
    </w:p>
    <w:p>
      <w:pPr>
        <w:pStyle w:val="Heading2"/>
      </w:pPr>
      <w:r>
        <w:rPr>
          <w:rFonts w:ascii="Arial" w:cs="Arial" w:eastAsia="Arial" w:hAnsi="Arial"/>
          <w:b/>
          <w:bCs/>
          <w:sz w:val="28"/>
          <w:szCs w:val="28"/>
        </w:rPr>
        <w:t xml:space="preserve">Dynamic Linking: The Article 5 RTS Requirement</w:t>
      </w:r>
    </w:p>
    <w:p>
      <w:pPr>
        <w:spacing w:after="160"/>
      </w:pPr>
      <w:r>
        <w:rPr>
          <w:rFonts w:ascii="Arial" w:cs="Arial" w:eastAsia="Arial" w:hAnsi="Arial"/>
          <w:sz w:val="22"/>
          <w:szCs w:val="22"/>
        </w:rPr>
        <w:t xml:space="preserve">One of the most complex and important technical aspects of PSD2 is "Dynamic Linking", defined in Article 5 of the RTS. This requirement states that for remote payment transactions, the generated authentication code must not be generic, but cryptographically linked to the transaction amount and the payee. In practice, this means that when a user authorises a payment of 50 euros to a specific merchant, the digitally signed data packet contains the transaction metadata. Any attempt to intercept the code and use it for a different amount or recipient will immediately invalidate the authentication.</w:t>
      </w:r>
    </w:p>
    <w:p>
      <w:r>
        <w:t xml:space="preserve"/>
      </w:r>
    </w:p>
    <w:p>
      <w:pPr>
        <w:spacing w:after="160"/>
      </w:pPr>
      <w:r>
        <w:rPr>
          <w:rFonts w:ascii="Arial" w:cs="Arial" w:eastAsia="Arial" w:hAnsi="Arial"/>
          <w:sz w:val="22"/>
          <w:szCs w:val="22"/>
        </w:rPr>
        <w:t xml:space="preserve">The Dynamic Linking technical process ensures:</w:t>
      </w:r>
    </w:p>
    <w:p>
      <w:pPr>
        <w:pStyle w:val="ListParagraph"/>
        <w:numPr>
          <w:ilvl w:val="0"/>
          <w:numId w:val="2"/>
        </w:numPr>
      </w:pPr>
      <w:r>
        <w:rPr>
          <w:rFonts w:ascii="Arial" w:cs="Arial" w:eastAsia="Arial" w:hAnsi="Arial"/>
          <w:b/>
          <w:bCs/>
          <w:sz w:val="22"/>
          <w:szCs w:val="22"/>
        </w:rPr>
        <w:t xml:space="preserve">Payer awareness: </w:t>
      </w:r>
      <w:r>
        <w:rPr>
          <w:rFonts w:ascii="Arial" w:cs="Arial" w:eastAsia="Arial" w:hAnsi="Arial"/>
          <w:sz w:val="22"/>
          <w:szCs w:val="22"/>
        </w:rPr>
        <w:t xml:space="preserve">The user must clearly see the amount and payee before confirming the operation.</w:t>
      </w:r>
    </w:p>
    <w:p>
      <w:pPr>
        <w:pStyle w:val="ListParagraph"/>
        <w:numPr>
          <w:ilvl w:val="0"/>
          <w:numId w:val="2"/>
        </w:numPr>
      </w:pPr>
      <w:r>
        <w:rPr>
          <w:rFonts w:ascii="Arial" w:cs="Arial" w:eastAsia="Arial" w:hAnsi="Arial"/>
          <w:b/>
          <w:bCs/>
          <w:sz w:val="22"/>
          <w:szCs w:val="22"/>
        </w:rPr>
        <w:t xml:space="preserve">Transaction integrity: </w:t>
      </w:r>
      <w:r>
        <w:rPr>
          <w:rFonts w:ascii="Arial" w:cs="Arial" w:eastAsia="Arial" w:hAnsi="Arial"/>
          <w:sz w:val="22"/>
          <w:szCs w:val="22"/>
        </w:rPr>
        <w:t xml:space="preserve">The confidentiality and authenticity of data must be maintained at every stage of the process.</w:t>
      </w:r>
    </w:p>
    <w:p>
      <w:pPr>
        <w:pStyle w:val="ListParagraph"/>
        <w:numPr>
          <w:ilvl w:val="0"/>
          <w:numId w:val="2"/>
        </w:numPr>
      </w:pPr>
      <w:r>
        <w:rPr>
          <w:rFonts w:ascii="Arial" w:cs="Arial" w:eastAsia="Arial" w:hAnsi="Arial"/>
          <w:b/>
          <w:bCs/>
          <w:sz w:val="22"/>
          <w:szCs w:val="22"/>
        </w:rPr>
        <w:t xml:space="preserve">Code uniqueness: </w:t>
      </w:r>
      <w:r>
        <w:rPr>
          <w:rFonts w:ascii="Arial" w:cs="Arial" w:eastAsia="Arial" w:hAnsi="Arial"/>
          <w:sz w:val="22"/>
          <w:szCs w:val="22"/>
        </w:rPr>
        <w:t xml:space="preserve">Each authentication code must have a limited validity period and can only be used once.</w:t>
      </w:r>
    </w:p>
    <w:p>
      <w:r>
        <w:t xml:space="preserve"/>
      </w:r>
    </w:p>
    <w:p>
      <w:pPr>
        <w:pStyle w:val="Heading2"/>
      </w:pPr>
      <w:r>
        <w:rPr>
          <w:rFonts w:ascii="Arial" w:cs="Arial" w:eastAsia="Arial" w:hAnsi="Arial"/>
          <w:b/>
          <w:bCs/>
          <w:sz w:val="28"/>
          <w:szCs w:val="28"/>
        </w:rPr>
        <w:t xml:space="preserve">3D Secure 2.0: The Industry Standard Protocol</w:t>
      </w:r>
    </w:p>
    <w:p>
      <w:pPr>
        <w:spacing w:after="160"/>
      </w:pPr>
      <w:r>
        <w:rPr>
          <w:rFonts w:ascii="Arial" w:cs="Arial" w:eastAsia="Arial" w:hAnsi="Arial"/>
          <w:sz w:val="22"/>
          <w:szCs w:val="22"/>
        </w:rPr>
        <w:t xml:space="preserve">To meet SCA requirements in the world of credit and debit cards, the EMVCo consortium developed the 3D Secure 2.0 (3DS 2.0) standard. Compared to version 1.0, which had poor compatibility with mobile devices and a fragmented user experience (the so-called "redirection loops"), 3DS 2.0 represents a significant architectural improvement.</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Parameter</w:t>
            </w:r>
          </w:p>
        </w:tc>
        <w:tc>
          <w:tcPr>
            <w:tcW w:type="dxa" w:w="3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3D Secure 1.0</w:t>
            </w:r>
          </w:p>
        </w:tc>
        <w:tc>
          <w:tcPr>
            <w:tcW w:type="dxa" w:w="3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3D Secure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Integration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Browser-based (IFRAME or redirect)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Native (SDK for mobile and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Exchange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Around 15 data elements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Over 150 data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Authentication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Static password or SMS OTP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Biometrics and out-of-band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Experience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Frequent interruptions (Friction)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Smooth flows (Frictionless)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Risk Analysis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Static and limited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Dynamic, based on Machine Learning</w:t>
            </w:r>
          </w:p>
        </w:tc>
      </w:tr>
    </w:tbl>
    <w:p>
      <w:r>
        <w:t xml:space="preserve"/>
      </w:r>
    </w:p>
    <w:p>
      <w:pPr>
        <w:spacing w:after="160"/>
      </w:pPr>
      <w:r>
        <w:rPr>
          <w:rFonts w:ascii="Arial" w:cs="Arial" w:eastAsia="Arial" w:hAnsi="Arial"/>
          <w:sz w:val="22"/>
          <w:szCs w:val="22"/>
        </w:rPr>
        <w:t xml:space="preserve">3DS 2.0 allows banks to perform Risk-Based Authentication (RBA). Thanks to the exchange of over 150 data points — including device ID, order history, IP address, and browsing habits — the issuing bank can determine with high accuracy whether the transaction is genuine. If the risk is assessed as minimal, the transaction can proceed in "frictionless" mode, without requiring any action from the user, while still complying with PSD2 through the exemptions provided for transactional risk analysis (TRA).</w:t>
      </w:r>
    </w:p>
    <w:p>
      <w:r>
        <w:t xml:space="preserve"/>
      </w:r>
    </w:p>
    <w:p>
      <w:pPr>
        <w:pStyle w:val="Heading2"/>
      </w:pPr>
      <w:r>
        <w:rPr>
          <w:rFonts w:ascii="Arial" w:cs="Arial" w:eastAsia="Arial" w:hAnsi="Arial"/>
          <w:b/>
          <w:bCs/>
          <w:sz w:val="28"/>
          <w:szCs w:val="28"/>
        </w:rPr>
        <w:t xml:space="preserve">SCA Exemptions: Balancing Security and Usability</w:t>
      </w:r>
    </w:p>
    <w:p>
      <w:pPr>
        <w:spacing w:after="160"/>
      </w:pPr>
      <w:r>
        <w:rPr>
          <w:rFonts w:ascii="Arial" w:cs="Arial" w:eastAsia="Arial" w:hAnsi="Arial"/>
          <w:sz w:val="22"/>
          <w:szCs w:val="22"/>
        </w:rPr>
        <w:t xml:space="preserve">The PSD2 RTS define a set of technical exemptions to prevent excessive security from disrupting the smoothness of payments. These exemptions are not optional — they require the payment service provider (PSP) to demonstrate the use of advanced fraud monitoring systems.</w:t>
      </w:r>
    </w:p>
    <w:p>
      <w:r>
        <w:t xml:space="preserve"/>
      </w:r>
    </w:p>
    <w:p>
      <w:pPr>
        <w:spacing w:after="160"/>
      </w:pPr>
      <w:r>
        <w:rPr>
          <w:rFonts w:ascii="Arial" w:cs="Arial" w:eastAsia="Arial" w:hAnsi="Arial"/>
          <w:sz w:val="22"/>
          <w:szCs w:val="22"/>
        </w:rPr>
        <w:t xml:space="preserve">The main exemptions include:</w:t>
      </w:r>
    </w:p>
    <w:p>
      <w:pPr>
        <w:pStyle w:val="ListParagraph"/>
        <w:numPr>
          <w:ilvl w:val="0"/>
          <w:numId w:val="2"/>
        </w:numPr>
      </w:pPr>
      <w:r>
        <w:rPr>
          <w:rFonts w:ascii="Arial" w:cs="Arial" w:eastAsia="Arial" w:hAnsi="Arial"/>
          <w:b/>
          <w:bCs/>
          <w:sz w:val="22"/>
          <w:szCs w:val="22"/>
        </w:rPr>
        <w:t xml:space="preserve">Low-value payments: </w:t>
      </w:r>
      <w:r>
        <w:rPr>
          <w:rFonts w:ascii="Arial" w:cs="Arial" w:eastAsia="Arial" w:hAnsi="Arial"/>
          <w:sz w:val="22"/>
          <w:szCs w:val="22"/>
        </w:rPr>
        <w:t xml:space="preserve">E-commerce transactions below 30 euros, up to a cumulative maximum of 100 euros or 5 consecutive operations.</w:t>
      </w:r>
    </w:p>
    <w:p>
      <w:pPr>
        <w:pStyle w:val="ListParagraph"/>
        <w:numPr>
          <w:ilvl w:val="0"/>
          <w:numId w:val="2"/>
        </w:numPr>
      </w:pPr>
      <w:r>
        <w:rPr>
          <w:rFonts w:ascii="Arial" w:cs="Arial" w:eastAsia="Arial" w:hAnsi="Arial"/>
          <w:b/>
          <w:bCs/>
          <w:sz w:val="22"/>
          <w:szCs w:val="22"/>
        </w:rPr>
        <w:t xml:space="preserve">Contactless at point of sale: </w:t>
      </w:r>
      <w:r>
        <w:rPr>
          <w:rFonts w:ascii="Arial" w:cs="Arial" w:eastAsia="Arial" w:hAnsi="Arial"/>
          <w:sz w:val="22"/>
          <w:szCs w:val="22"/>
        </w:rPr>
        <w:t xml:space="preserve">Payments up to 50 euros, with cumulative limits of 150 euros or 5 operations.</w:t>
      </w:r>
    </w:p>
    <w:p>
      <w:pPr>
        <w:pStyle w:val="ListParagraph"/>
        <w:numPr>
          <w:ilvl w:val="0"/>
          <w:numId w:val="2"/>
        </w:numPr>
      </w:pPr>
      <w:r>
        <w:rPr>
          <w:rFonts w:ascii="Arial" w:cs="Arial" w:eastAsia="Arial" w:hAnsi="Arial"/>
          <w:b/>
          <w:bCs/>
          <w:sz w:val="22"/>
          <w:szCs w:val="22"/>
        </w:rPr>
        <w:t xml:space="preserve">Trusted beneficiaries (Whitelisting): </w:t>
      </w:r>
      <w:r>
        <w:rPr>
          <w:rFonts w:ascii="Arial" w:cs="Arial" w:eastAsia="Arial" w:hAnsi="Arial"/>
          <w:sz w:val="22"/>
          <w:szCs w:val="22"/>
        </w:rPr>
        <w:t xml:space="preserve">The user can add a merchant to a trusted list with their bank, removing the need for SCA for future purchases.</w:t>
      </w:r>
    </w:p>
    <w:p>
      <w:pPr>
        <w:pStyle w:val="ListParagraph"/>
        <w:numPr>
          <w:ilvl w:val="0"/>
          <w:numId w:val="2"/>
        </w:numPr>
      </w:pPr>
      <w:r>
        <w:rPr>
          <w:rFonts w:ascii="Arial" w:cs="Arial" w:eastAsia="Arial" w:hAnsi="Arial"/>
          <w:b/>
          <w:bCs/>
          <w:sz w:val="22"/>
          <w:szCs w:val="22"/>
        </w:rPr>
        <w:t xml:space="preserve">Subscriptions and recurring payments: </w:t>
      </w:r>
      <w:r>
        <w:rPr>
          <w:rFonts w:ascii="Arial" w:cs="Arial" w:eastAsia="Arial" w:hAnsi="Arial"/>
          <w:sz w:val="22"/>
          <w:szCs w:val="22"/>
        </w:rPr>
        <w:t xml:space="preserve">SCA is required only for the first transaction in a series with the same amount and payee.</w:t>
      </w:r>
    </w:p>
    <w:p>
      <w:pPr>
        <w:pStyle w:val="ListParagraph"/>
        <w:numPr>
          <w:ilvl w:val="0"/>
          <w:numId w:val="2"/>
        </w:numPr>
      </w:pPr>
      <w:r>
        <w:rPr>
          <w:rFonts w:ascii="Arial" w:cs="Arial" w:eastAsia="Arial" w:hAnsi="Arial"/>
          <w:b/>
          <w:bCs/>
          <w:sz w:val="22"/>
          <w:szCs w:val="22"/>
        </w:rPr>
        <w:t xml:space="preserve">Low-risk transactions (TRA): </w:t>
      </w:r>
      <w:r>
        <w:rPr>
          <w:rFonts w:ascii="Arial" w:cs="Arial" w:eastAsia="Arial" w:hAnsi="Arial"/>
          <w:sz w:val="22"/>
          <w:szCs w:val="22"/>
        </w:rPr>
        <w:t xml:space="preserve">Based on real-time analysis of the PSP's fraud rates.</w:t>
      </w:r>
    </w:p>
    <w:p>
      <w:r>
        <w:t xml:space="preserve"/>
      </w:r>
    </w:p>
    <w:p>
      <w:pPr>
        <w:pStyle w:val="Heading1"/>
      </w:pPr>
      <w:r>
        <w:rPr>
          <w:rFonts w:ascii="Arial" w:cs="Arial" w:eastAsia="Arial" w:hAnsi="Arial"/>
          <w:b/>
          <w:bCs/>
          <w:sz w:val="32"/>
          <w:szCs w:val="32"/>
        </w:rPr>
        <w:t xml:space="preserve">APIs and the Technical Architecture of Open Banking</w:t>
      </w:r>
    </w:p>
    <w:p>
      <w:pPr>
        <w:spacing w:after="160"/>
      </w:pPr>
      <w:r>
        <w:rPr>
          <w:rFonts w:ascii="Arial" w:cs="Arial" w:eastAsia="Arial" w:hAnsi="Arial"/>
          <w:sz w:val="22"/>
          <w:szCs w:val="22"/>
        </w:rPr>
        <w:t xml:space="preserve">Open Banking is the PSD2 pillar that forces interoperability between banks and Fintech companies. Technically, this is achieved through the exposure of Application Programming Interfaces (APIs) that allow data exchange and payment initiation. Banks, acting as Account Servicing Payment Service Providers (ASPSPs), must provide secure and well-documented interfaces so that third-party providers (TPPs) can operate on behalf of users.</w:t>
      </w:r>
    </w:p>
    <w:p>
      <w:r>
        <w:t xml:space="preserve"/>
      </w:r>
    </w:p>
    <w:p>
      <w:pPr>
        <w:pStyle w:val="Heading2"/>
      </w:pPr>
      <w:r>
        <w:rPr>
          <w:rFonts w:ascii="Arial" w:cs="Arial" w:eastAsia="Arial" w:hAnsi="Arial"/>
          <w:b/>
          <w:bCs/>
          <w:sz w:val="28"/>
          <w:szCs w:val="28"/>
        </w:rPr>
        <w:t xml:space="preserve">What Are Banking APIs and How Do They Work</w:t>
      </w:r>
    </w:p>
    <w:p>
      <w:pPr>
        <w:spacing w:after="160"/>
      </w:pPr>
      <w:r>
        <w:rPr>
          <w:rFonts w:ascii="Arial" w:cs="Arial" w:eastAsia="Arial" w:hAnsi="Arial"/>
          <w:sz w:val="22"/>
          <w:szCs w:val="22"/>
        </w:rPr>
        <w:t xml:space="preserve">A banking API is a set of definitions and protocols that allows a Fintech company's software to "talk" to a bank's core system in a standardised way. Most Open Banking APIs follow the REST (Representational State Transfer) architecture and use JSON (JavaScript Object Notation) format for data exchange, ensuring lightweight and easy integration.</w:t>
      </w:r>
    </w:p>
    <w:p>
      <w:r>
        <w:t xml:space="preserve"/>
      </w:r>
    </w:p>
    <w:p>
      <w:pPr>
        <w:spacing w:after="160"/>
      </w:pPr>
      <w:r>
        <w:rPr>
          <w:rFonts w:ascii="Arial" w:cs="Arial" w:eastAsia="Arial" w:hAnsi="Arial"/>
          <w:sz w:val="22"/>
          <w:szCs w:val="22"/>
        </w:rPr>
        <w:t xml:space="preserve">The communication process between a TPP and a bank goes through several security layers:</w:t>
      </w:r>
    </w:p>
    <w:p>
      <w:pPr>
        <w:pStyle w:val="ListParagraph"/>
        <w:numPr>
          <w:ilvl w:val="0"/>
          <w:numId w:val="2"/>
        </w:numPr>
      </w:pPr>
      <w:r>
        <w:rPr>
          <w:rFonts w:ascii="Arial" w:cs="Arial" w:eastAsia="Arial" w:hAnsi="Arial"/>
          <w:b/>
          <w:bCs/>
          <w:sz w:val="22"/>
          <w:szCs w:val="22"/>
        </w:rPr>
        <w:t xml:space="preserve">Identification via eIDAS certificates: </w:t>
      </w:r>
      <w:r>
        <w:rPr>
          <w:rFonts w:ascii="Arial" w:cs="Arial" w:eastAsia="Arial" w:hAnsi="Arial"/>
          <w:sz w:val="22"/>
          <w:szCs w:val="22"/>
        </w:rPr>
        <w:t xml:space="preserve">TPPs must present qualified digital certificates (QWAC for website authentication and QSealC for data signing) issued by certified European authorities.</w:t>
      </w:r>
    </w:p>
    <w:p>
      <w:pPr>
        <w:pStyle w:val="ListParagraph"/>
        <w:numPr>
          <w:ilvl w:val="0"/>
          <w:numId w:val="2"/>
        </w:numPr>
      </w:pPr>
      <w:r>
        <w:rPr>
          <w:rFonts w:ascii="Arial" w:cs="Arial" w:eastAsia="Arial" w:hAnsi="Arial"/>
          <w:b/>
          <w:bCs/>
          <w:sz w:val="22"/>
          <w:szCs w:val="22"/>
        </w:rPr>
        <w:t xml:space="preserve">Encrypted mTLS channel: </w:t>
      </w:r>
      <w:r>
        <w:rPr>
          <w:rFonts w:ascii="Arial" w:cs="Arial" w:eastAsia="Arial" w:hAnsi="Arial"/>
          <w:sz w:val="22"/>
          <w:szCs w:val="22"/>
        </w:rPr>
        <w:t xml:space="preserve">The connection between the TPP's servers and those of the bank is protected by Mutual Transport Layer Security (mTLS), ensuring both parties are authenticated and that data cannot be intercepted.</w:t>
      </w:r>
    </w:p>
    <w:p>
      <w:pPr>
        <w:pStyle w:val="ListParagraph"/>
        <w:numPr>
          <w:ilvl w:val="0"/>
          <w:numId w:val="2"/>
        </w:numPr>
      </w:pPr>
      <w:r>
        <w:rPr>
          <w:rFonts w:ascii="Arial" w:cs="Arial" w:eastAsia="Arial" w:hAnsi="Arial"/>
          <w:b/>
          <w:bCs/>
          <w:sz w:val="22"/>
          <w:szCs w:val="22"/>
        </w:rPr>
        <w:t xml:space="preserve">FAPI security standards: </w:t>
      </w:r>
      <w:r>
        <w:rPr>
          <w:rFonts w:ascii="Arial" w:cs="Arial" w:eastAsia="Arial" w:hAnsi="Arial"/>
          <w:sz w:val="22"/>
          <w:szCs w:val="22"/>
        </w:rPr>
        <w:t xml:space="preserve">Many jurisdictions have adopted the Financial-grade API (FAPI) profile, which adds stricter cryptographic restrictions compared to standard OAuth 2.0 to protect against injection attacks and session hijacking.</w:t>
      </w:r>
    </w:p>
    <w:p>
      <w:r>
        <w:t xml:space="preserve"/>
      </w:r>
    </w:p>
    <w:p>
      <w:pPr>
        <w:pStyle w:val="Heading2"/>
      </w:pPr>
      <w:r>
        <w:rPr>
          <w:rFonts w:ascii="Arial" w:cs="Arial" w:eastAsia="Arial" w:hAnsi="Arial"/>
          <w:b/>
          <w:bCs/>
          <w:sz w:val="28"/>
          <w:szCs w:val="28"/>
        </w:rPr>
        <w:t xml:space="preserve">Authorisation Protocols: OAuth 2.0 and OpenID Connect</w:t>
      </w:r>
    </w:p>
    <w:p>
      <w:pPr>
        <w:spacing w:after="160"/>
      </w:pPr>
      <w:r>
        <w:rPr>
          <w:rFonts w:ascii="Arial" w:cs="Arial" w:eastAsia="Arial" w:hAnsi="Arial"/>
          <w:sz w:val="22"/>
          <w:szCs w:val="22"/>
        </w:rPr>
        <w:t xml:space="preserve">To manage user consent without ever sharing banking credentials (username and password) with the third party, PSD2 uses the OAuth 2.0 framework. This protocol separates user authentication from application authorisation.</w:t>
      </w:r>
    </w:p>
    <w:p>
      <w:r>
        <w:t xml:space="preserve"/>
      </w:r>
    </w:p>
    <w:p>
      <w:pPr>
        <w:spacing w:after="160"/>
      </w:pPr>
      <w:r>
        <w:rPr>
          <w:rFonts w:ascii="Arial" w:cs="Arial" w:eastAsia="Arial" w:hAnsi="Arial"/>
          <w:sz w:val="22"/>
          <w:szCs w:val="22"/>
        </w:rPr>
        <w:t xml:space="preserve">The typical authorisation flow goes through the following technical steps:</w:t>
      </w:r>
    </w:p>
    <w:p>
      <w:pPr>
        <w:pStyle w:val="ListParagraph"/>
        <w:numPr>
          <w:ilvl w:val="0"/>
          <w:numId w:val="2"/>
        </w:numPr>
      </w:pPr>
      <w:r>
        <w:rPr>
          <w:rFonts w:ascii="Arial" w:cs="Arial" w:eastAsia="Arial" w:hAnsi="Arial"/>
          <w:b/>
          <w:bCs/>
          <w:sz w:val="22"/>
          <w:szCs w:val="22"/>
        </w:rPr>
        <w:t xml:space="preserve">Redirect to ASPSP: </w:t>
      </w:r>
      <w:r>
        <w:rPr>
          <w:rFonts w:ascii="Arial" w:cs="Arial" w:eastAsia="Arial" w:hAnsi="Arial"/>
          <w:sz w:val="22"/>
          <w:szCs w:val="22"/>
        </w:rPr>
        <w:t xml:space="preserve">The TPP redirects the user to their bank's login page.</w:t>
      </w:r>
    </w:p>
    <w:p>
      <w:pPr>
        <w:pStyle w:val="ListParagraph"/>
        <w:numPr>
          <w:ilvl w:val="0"/>
          <w:numId w:val="2"/>
        </w:numPr>
      </w:pPr>
      <w:r>
        <w:rPr>
          <w:rFonts w:ascii="Arial" w:cs="Arial" w:eastAsia="Arial" w:hAnsi="Arial"/>
          <w:b/>
          <w:bCs/>
          <w:sz w:val="22"/>
          <w:szCs w:val="22"/>
        </w:rPr>
        <w:t xml:space="preserve">Authentication and Consent: </w:t>
      </w:r>
      <w:r>
        <w:rPr>
          <w:rFonts w:ascii="Arial" w:cs="Arial" w:eastAsia="Arial" w:hAnsi="Arial"/>
          <w:sz w:val="22"/>
          <w:szCs w:val="22"/>
        </w:rPr>
        <w:t xml:space="preserve">The user logs in at the bank via SCA and confirms which data they want to share (e.g., balance, transaction history) or which payment they want to authorise.</w:t>
      </w:r>
    </w:p>
    <w:p>
      <w:pPr>
        <w:pStyle w:val="ListParagraph"/>
        <w:numPr>
          <w:ilvl w:val="0"/>
          <w:numId w:val="2"/>
        </w:numPr>
      </w:pPr>
      <w:r>
        <w:rPr>
          <w:rFonts w:ascii="Arial" w:cs="Arial" w:eastAsia="Arial" w:hAnsi="Arial"/>
          <w:b/>
          <w:bCs/>
          <w:sz w:val="22"/>
          <w:szCs w:val="22"/>
        </w:rPr>
        <w:t xml:space="preserve">Issuance of Authorization Code: </w:t>
      </w:r>
      <w:r>
        <w:rPr>
          <w:rFonts w:ascii="Arial" w:cs="Arial" w:eastAsia="Arial" w:hAnsi="Arial"/>
          <w:sz w:val="22"/>
          <w:szCs w:val="22"/>
        </w:rPr>
        <w:t xml:space="preserve">The bank returns a temporary code to the TPP via a secure callback URL.</w:t>
      </w:r>
    </w:p>
    <w:p>
      <w:pPr>
        <w:pStyle w:val="ListParagraph"/>
        <w:numPr>
          <w:ilvl w:val="0"/>
          <w:numId w:val="2"/>
        </w:numPr>
      </w:pPr>
      <w:r>
        <w:rPr>
          <w:rFonts w:ascii="Arial" w:cs="Arial" w:eastAsia="Arial" w:hAnsi="Arial"/>
          <w:b/>
          <w:bCs/>
          <w:sz w:val="22"/>
          <w:szCs w:val="22"/>
        </w:rPr>
        <w:t xml:space="preserve">Exchange for Access Token: </w:t>
      </w:r>
      <w:r>
        <w:rPr>
          <w:rFonts w:ascii="Arial" w:cs="Arial" w:eastAsia="Arial" w:hAnsi="Arial"/>
          <w:sz w:val="22"/>
          <w:szCs w:val="22"/>
        </w:rPr>
        <w:t xml:space="preserve">The TPP exchanges the Authorization Code for an Access Token and a Refresh Token, using its own client credentials (Client ID and Secret).</w:t>
      </w:r>
    </w:p>
    <w:p>
      <w:pPr>
        <w:pStyle w:val="ListParagraph"/>
        <w:numPr>
          <w:ilvl w:val="0"/>
          <w:numId w:val="2"/>
        </w:numPr>
      </w:pPr>
      <w:r>
        <w:rPr>
          <w:rFonts w:ascii="Arial" w:cs="Arial" w:eastAsia="Arial" w:hAnsi="Arial"/>
          <w:b/>
          <w:bCs/>
          <w:sz w:val="22"/>
          <w:szCs w:val="22"/>
        </w:rPr>
        <w:t xml:space="preserve">Data access: </w:t>
      </w:r>
      <w:r>
        <w:rPr>
          <w:rFonts w:ascii="Arial" w:cs="Arial" w:eastAsia="Arial" w:hAnsi="Arial"/>
          <w:sz w:val="22"/>
          <w:szCs w:val="22"/>
        </w:rPr>
        <w:t xml:space="preserve">The TPP uses the Access Token in the HTTP headers of subsequent API calls to retrieve the requested data.</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900"/>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Token</w:t>
            </w:r>
          </w:p>
        </w:tc>
        <w:tc>
          <w:tcPr>
            <w:tcW w:type="dxa" w:w="3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Technical Purpose</w:t>
            </w:r>
          </w:p>
        </w:tc>
        <w:tc>
          <w:tcPr>
            <w:tcW w:type="dxa" w:w="2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Typical Duration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Authorization Code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Temporary code to obtain the final tokens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&lt; 10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Access Token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Used to authenticate each individual API call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30–60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Refresh Token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Used to get a new Access Token without involving the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Days or months (subject to SCA rules every 90–180 days)</w:t>
            </w:r>
          </w:p>
        </w:tc>
      </w:tr>
    </w:tbl>
    <w:p>
      <w:r>
        <w:t xml:space="preserve"/>
      </w:r>
    </w:p>
    <w:p>
      <w:pPr>
        <w:pStyle w:val="Heading2"/>
      </w:pPr>
      <w:r>
        <w:rPr>
          <w:rFonts w:ascii="Arial" w:cs="Arial" w:eastAsia="Arial" w:hAnsi="Arial"/>
          <w:b/>
          <w:bCs/>
          <w:sz w:val="28"/>
          <w:szCs w:val="28"/>
        </w:rPr>
        <w:t xml:space="preserve">AISP vs PISP: Data Access Mechanisms</w:t>
      </w:r>
    </w:p>
    <w:p>
      <w:pPr>
        <w:spacing w:after="160"/>
      </w:pPr>
      <w:r>
        <w:rPr>
          <w:rFonts w:ascii="Arial" w:cs="Arial" w:eastAsia="Arial" w:hAnsi="Arial"/>
          <w:sz w:val="22"/>
          <w:szCs w:val="22"/>
        </w:rPr>
        <w:t xml:space="preserve">APIs are divided functionally based on the role of the TPP, each with specific technical requirements and permissions.</w:t>
      </w:r>
    </w:p>
    <w:p>
      <w:r>
        <w:t xml:space="preserve"/>
      </w:r>
    </w:p>
    <w:p>
      <w:pPr>
        <w:spacing w:after="160"/>
      </w:pPr>
      <w:r>
        <w:rPr>
          <w:rFonts w:ascii="Arial" w:cs="Arial" w:eastAsia="Arial" w:hAnsi="Arial"/>
          <w:sz w:val="22"/>
          <w:szCs w:val="22"/>
        </w:rPr>
        <w:t xml:space="preserve">PISPs (Payment Initiation Service Providers) use "write" APIs to initiate transactions directly from the user's account. The PISP flow is critical because it requires Dynamic Linking: the initiation API must receive the payee's IBAN and the amount, which will then be shown to the user during the SCA phase on the bank's page. Once the flow is complete, the bank returns a confirmation, allowing the PISP to notify the merchant in real time.</w:t>
      </w:r>
    </w:p>
    <w:p>
      <w:r>
        <w:t xml:space="preserve"/>
      </w:r>
    </w:p>
    <w:p>
      <w:pPr>
        <w:spacing w:after="160"/>
      </w:pPr>
      <w:r>
        <w:rPr>
          <w:rFonts w:ascii="Arial" w:cs="Arial" w:eastAsia="Arial" w:hAnsi="Arial"/>
          <w:sz w:val="22"/>
          <w:szCs w:val="22"/>
        </w:rPr>
        <w:t xml:space="preserve">AISPs (Account Information Service Providers) use "read" APIs to aggregate financial data. Technically, the AISP creates an "Account Access Consent" resource that specifies which permissions have been granted, the consent expiry date, and the historical period of accessible data (e.g., the last 24 months). One important technical feature of AISPs is the ability to update data in the background: once consent is obtained, the app can query the bank up to 4 times a day without the user needing to repeat the SCA.</w:t>
      </w:r>
    </w:p>
    <w:p>
      <w:r>
        <w:t xml:space="preserve"/>
      </w:r>
    </w:p>
    <w:p>
      <w:pPr>
        <w:pStyle w:val="Heading1"/>
      </w:pPr>
      <w:r>
        <w:rPr>
          <w:rFonts w:ascii="Arial" w:cs="Arial" w:eastAsia="Arial" w:hAnsi="Arial"/>
          <w:b/>
          <w:bCs/>
          <w:sz w:val="32"/>
          <w:szCs w:val="32"/>
        </w:rPr>
        <w:t xml:space="preserve">Technical Flow of an Online Payment: Orchestration Step by Step</w:t>
      </w:r>
    </w:p>
    <w:p>
      <w:pPr>
        <w:spacing w:after="160"/>
      </w:pPr>
      <w:r>
        <w:rPr>
          <w:rFonts w:ascii="Arial" w:cs="Arial" w:eastAsia="Arial" w:hAnsi="Arial"/>
          <w:sz w:val="22"/>
          <w:szCs w:val="22"/>
        </w:rPr>
        <w:t xml:space="preserve">An online payment under PSD2 is not a simple operation, but a complex orchestration of API calls and security protocols involving multiple trust domains. Let us analyse the technical journey of a standard e-commerce transaction made with a credit card integrated with 3DS 2.0.</w:t>
      </w:r>
    </w:p>
    <w:p>
      <w:r>
        <w:t xml:space="preserve"/>
      </w:r>
    </w:p>
    <w:p>
      <w:pPr>
        <w:pStyle w:val="Heading2"/>
      </w:pPr>
      <w:r>
        <w:rPr>
          <w:rFonts w:ascii="Arial" w:cs="Arial" w:eastAsia="Arial" w:hAnsi="Arial"/>
          <w:b/>
          <w:bCs/>
          <w:sz w:val="28"/>
          <w:szCs w:val="28"/>
        </w:rPr>
        <w:t xml:space="preserve">Step 1: Merchant Loading and Tokenisation</w:t>
      </w:r>
    </w:p>
    <w:p>
      <w:pPr>
        <w:spacing w:after="160"/>
      </w:pPr>
      <w:r>
        <w:rPr>
          <w:rFonts w:ascii="Arial" w:cs="Arial" w:eastAsia="Arial" w:hAnsi="Arial"/>
          <w:sz w:val="22"/>
          <w:szCs w:val="22"/>
        </w:rPr>
        <w:t xml:space="preserve">When the user enters their card details on a merchant's website that uses a gateway like Stripe or PayPal, the sensitive data never directly reaches the merchant's servers. This is achieved through tokenisation: the card input field is typically a protected element (such as an iframe or web component) provided by the gateway. The browser sends the data directly to the gateway, which returns a unique "token" to the merchant. This process significantly reduces the merchant's PCI-DSS compliance scope and protects the user in case of a data breach on the e-commerce site.</w:t>
      </w:r>
    </w:p>
    <w:p>
      <w:r>
        <w:t xml:space="preserve"/>
      </w:r>
    </w:p>
    <w:p>
      <w:pPr>
        <w:pStyle w:val="Heading2"/>
      </w:pPr>
      <w:r>
        <w:rPr>
          <w:rFonts w:ascii="Arial" w:cs="Arial" w:eastAsia="Arial" w:hAnsi="Arial"/>
          <w:b/>
          <w:bCs/>
          <w:sz w:val="28"/>
          <w:szCs w:val="28"/>
        </w:rPr>
        <w:t xml:space="preserve">Step 2: Authentication Request (AReq)</w:t>
      </w:r>
    </w:p>
    <w:p>
      <w:pPr>
        <w:spacing w:after="160"/>
      </w:pPr>
      <w:r>
        <w:rPr>
          <w:rFonts w:ascii="Arial" w:cs="Arial" w:eastAsia="Arial" w:hAnsi="Arial"/>
          <w:sz w:val="22"/>
          <w:szCs w:val="22"/>
        </w:rPr>
        <w:t xml:space="preserve">The merchant sends a payment request to their acquirer (the merchant's bank), which in turn contacts the card scheme's directory server (Visa or Mastercard). An "Authentication Request" (AReq) is generated and sent to the Access Control Server (ACS) of the issuing bank. At this stage, the metadata needed for Risk-Based Authentication is transmitted: browser data, language settings, time zone, screen resolution, and the user's historical data.</w:t>
      </w:r>
    </w:p>
    <w:p>
      <w:r>
        <w:t xml:space="preserve"/>
      </w:r>
    </w:p>
    <w:p>
      <w:pPr>
        <w:pStyle w:val="Heading2"/>
      </w:pPr>
      <w:r>
        <w:rPr>
          <w:rFonts w:ascii="Arial" w:cs="Arial" w:eastAsia="Arial" w:hAnsi="Arial"/>
          <w:b/>
          <w:bCs/>
          <w:sz w:val="28"/>
          <w:szCs w:val="28"/>
        </w:rPr>
        <w:t xml:space="preserve">Step 3: Choosing the Path (Frictionless vs Challenge)</w:t>
      </w:r>
    </w:p>
    <w:p>
      <w:pPr>
        <w:spacing w:after="160"/>
      </w:pPr>
      <w:r>
        <w:rPr>
          <w:rFonts w:ascii="Arial" w:cs="Arial" w:eastAsia="Arial" w:hAnsi="Arial"/>
          <w:sz w:val="22"/>
          <w:szCs w:val="22"/>
        </w:rPr>
        <w:t xml:space="preserve">The ACS of the issuing bank analyses the risk of the transaction using artificial intelligence engines.</w:t>
      </w:r>
    </w:p>
    <w:p>
      <w:pPr>
        <w:pStyle w:val="ListParagraph"/>
        <w:numPr>
          <w:ilvl w:val="0"/>
          <w:numId w:val="2"/>
        </w:numPr>
      </w:pPr>
      <w:r>
        <w:rPr>
          <w:rFonts w:ascii="Arial" w:cs="Arial" w:eastAsia="Arial" w:hAnsi="Arial"/>
          <w:b/>
          <w:bCs/>
          <w:sz w:val="22"/>
          <w:szCs w:val="22"/>
        </w:rPr>
        <w:t xml:space="preserve">Frictionless Flow: </w:t>
      </w:r>
      <w:r>
        <w:rPr>
          <w:rFonts w:ascii="Arial" w:cs="Arial" w:eastAsia="Arial" w:hAnsi="Arial"/>
          <w:sz w:val="22"/>
          <w:szCs w:val="22"/>
        </w:rPr>
        <w:t xml:space="preserve">If the risk analysis is positive, the bank responds with a positive "Authentication Response" (ARes). The user sees no interruption and is redirected directly to the order confirmation page.</w:t>
      </w:r>
    </w:p>
    <w:p>
      <w:pPr>
        <w:pStyle w:val="ListParagraph"/>
        <w:numPr>
          <w:ilvl w:val="0"/>
          <w:numId w:val="2"/>
        </w:numPr>
      </w:pPr>
      <w:r>
        <w:rPr>
          <w:rFonts w:ascii="Arial" w:cs="Arial" w:eastAsia="Arial" w:hAnsi="Arial"/>
          <w:b/>
          <w:bCs/>
          <w:sz w:val="22"/>
          <w:szCs w:val="22"/>
        </w:rPr>
        <w:t xml:space="preserve">Challenge Flow: </w:t>
      </w:r>
      <w:r>
        <w:rPr>
          <w:rFonts w:ascii="Arial" w:cs="Arial" w:eastAsia="Arial" w:hAnsi="Arial"/>
          <w:sz w:val="22"/>
          <w:szCs w:val="22"/>
        </w:rPr>
        <w:t xml:space="preserve">If the risk is high or the regulation requires it, the bank responds by requesting additional verification. The user's browser opens a protected dialogue window from the issuing bank.</w:t>
      </w:r>
    </w:p>
    <w:p>
      <w:r>
        <w:t xml:space="preserve"/>
      </w:r>
    </w:p>
    <w:p>
      <w:pPr>
        <w:pStyle w:val="Heading2"/>
      </w:pPr>
      <w:r>
        <w:rPr>
          <w:rFonts w:ascii="Arial" w:cs="Arial" w:eastAsia="Arial" w:hAnsi="Arial"/>
          <w:b/>
          <w:bCs/>
          <w:sz w:val="28"/>
          <w:szCs w:val="28"/>
        </w:rPr>
        <w:t xml:space="preserve">Step 4: SCA Execution and Dynamic Linking</w:t>
      </w:r>
    </w:p>
    <w:p>
      <w:pPr>
        <w:spacing w:after="160"/>
      </w:pPr>
      <w:r>
        <w:rPr>
          <w:rFonts w:ascii="Arial" w:cs="Arial" w:eastAsia="Arial" w:hAnsi="Arial"/>
          <w:sz w:val="22"/>
          <w:szCs w:val="22"/>
        </w:rPr>
        <w:t xml:space="preserve">In a modern mobile-first scenario, the user receives a push notification on their smartphone. Opening the banking app, the user authenticates their identity via inherence (fingerprint or Face ID). Technically, the mobile device digitally signs a cryptographic challenge sent by the bank, embedding the amount and the merchant's name to satisfy the Dynamic Linking requirement.</w:t>
      </w:r>
    </w:p>
    <w:p>
      <w:r>
        <w:t xml:space="preserve"/>
      </w:r>
    </w:p>
    <w:p>
      <w:pPr>
        <w:pStyle w:val="Heading2"/>
      </w:pPr>
      <w:r>
        <w:rPr>
          <w:rFonts w:ascii="Arial" w:cs="Arial" w:eastAsia="Arial" w:hAnsi="Arial"/>
          <w:b/>
          <w:bCs/>
          <w:sz w:val="28"/>
          <w:szCs w:val="28"/>
        </w:rPr>
        <w:t xml:space="preserve">Step 5: Final Authorisation and Clearing</w:t>
      </w:r>
    </w:p>
    <w:p>
      <w:pPr>
        <w:spacing w:after="160"/>
      </w:pPr>
      <w:r>
        <w:rPr>
          <w:rFonts w:ascii="Arial" w:cs="Arial" w:eastAsia="Arial" w:hAnsi="Arial"/>
          <w:sz w:val="22"/>
          <w:szCs w:val="22"/>
        </w:rPr>
        <w:t xml:space="preserve">Once the authentication is validated, the issuing bank sends a success message through the card scheme to the merchant's gateway. Only at this point does the actual financial authorisation take place: the bank puts a hold on the amount in the user's account. The entire process, although it involves dozens of servers around the world, is typically completed in less than 5 seconds.</w:t>
      </w:r>
    </w:p>
    <w:p>
      <w:r>
        <w:t xml:space="preserve"/>
      </w:r>
    </w:p>
    <w:p>
      <w:pPr>
        <w:pStyle w:val="Heading1"/>
      </w:pPr>
      <w:r>
        <w:rPr>
          <w:rFonts w:ascii="Arial" w:cs="Arial" w:eastAsia="Arial" w:hAnsi="Arial"/>
          <w:b/>
          <w:bCs/>
          <w:sz w:val="32"/>
          <w:szCs w:val="32"/>
        </w:rPr>
        <w:t xml:space="preserve">Technological Innovations: Embedded Finance and Instant Payments</w:t>
      </w:r>
    </w:p>
    <w:p>
      <w:pPr>
        <w:spacing w:after="160"/>
      </w:pPr>
      <w:r>
        <w:rPr>
          <w:rFonts w:ascii="Arial" w:cs="Arial" w:eastAsia="Arial" w:hAnsi="Arial"/>
          <w:sz w:val="22"/>
          <w:szCs w:val="22"/>
        </w:rPr>
        <w:t xml:space="preserve">PSD2 has acted as a catalyst for new business models that go beyond simple home banking, giving rise to Embedded Finance. This term refers to the native integration of financial services within non-financial applications, turning any software into a potential banking platform.</w:t>
      </w:r>
    </w:p>
    <w:p>
      <w:r>
        <w:t xml:space="preserve"/>
      </w:r>
    </w:p>
    <w:p>
      <w:pPr>
        <w:pStyle w:val="Heading2"/>
      </w:pPr>
      <w:r>
        <w:rPr>
          <w:rFonts w:ascii="Arial" w:cs="Arial" w:eastAsia="Arial" w:hAnsi="Arial"/>
          <w:b/>
          <w:bCs/>
          <w:sz w:val="28"/>
          <w:szCs w:val="28"/>
        </w:rPr>
        <w:t xml:space="preserve">Embedded Finance: Mechanisms and Use Cases</w:t>
      </w:r>
    </w:p>
    <w:p>
      <w:pPr>
        <w:spacing w:after="160"/>
      </w:pPr>
      <w:r>
        <w:rPr>
          <w:rFonts w:ascii="Arial" w:cs="Arial" w:eastAsia="Arial" w:hAnsi="Arial"/>
          <w:sz w:val="22"/>
          <w:szCs w:val="22"/>
        </w:rPr>
        <w:t xml:space="preserve">Embedded Finance is made possible by the modularity of PSD2 APIs, which allow traditional banking services to be broken down into atomic components ready to be integrated.</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Model</w:t>
            </w:r>
          </w:p>
        </w:tc>
        <w:tc>
          <w:tcPr>
            <w:tcW w:type="dxa" w:w="3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Technical Description</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Practical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Embedded Payments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Invisible payments handled in the background via tokens and PISP APIs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Uber: payment happens automatically at the end of the ride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Embedded Lending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Credit granted instantly at the point of sale (BNPL) via Open Banking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Klarna or Shopify Capital: financing based on real-time cash 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Banking-as-a-Service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Complete banking infrastructure offered via API to non-banking brands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Apple Card: Apple experience on Goldman Sachs banking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Embedded Insurance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Insurance sold as a digital add-on during a purchase process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Amazon Pay offering warranty extensions with a single click</w:t>
            </w:r>
          </w:p>
        </w:tc>
      </w:tr>
    </w:tbl>
    <w:p>
      <w:r>
        <w:t xml:space="preserve"/>
      </w:r>
    </w:p>
    <w:p>
      <w:pPr>
        <w:spacing w:after="160"/>
      </w:pPr>
      <w:r>
        <w:rPr>
          <w:rFonts w:ascii="Arial" w:cs="Arial" w:eastAsia="Arial" w:hAnsi="Arial"/>
          <w:sz w:val="22"/>
          <w:szCs w:val="22"/>
        </w:rPr>
        <w:t xml:space="preserve">From a technical perspective, Embedded Finance relies heavily on SDKs (Software Development Kits) provided by Banking-as-a-Service (BaaS) providers to developers. These kits internally handle the complexity of PSD2 compliance, encryption, and session management, allowing the host company to focus on the user experience.</w:t>
      </w:r>
    </w:p>
    <w:p>
      <w:r>
        <w:t xml:space="preserve"/>
      </w:r>
    </w:p>
    <w:p>
      <w:pPr>
        <w:pStyle w:val="Heading2"/>
      </w:pPr>
      <w:r>
        <w:rPr>
          <w:rFonts w:ascii="Arial" w:cs="Arial" w:eastAsia="Arial" w:hAnsi="Arial"/>
          <w:b/>
          <w:bCs/>
          <w:sz w:val="28"/>
          <w:szCs w:val="28"/>
        </w:rPr>
        <w:t xml:space="preserve">Instant Payments and Real-Time Architecture</w:t>
      </w:r>
    </w:p>
    <w:p>
      <w:pPr>
        <w:spacing w:after="160"/>
      </w:pPr>
      <w:r>
        <w:rPr>
          <w:rFonts w:ascii="Arial" w:cs="Arial" w:eastAsia="Arial" w:hAnsi="Arial"/>
          <w:sz w:val="22"/>
          <w:szCs w:val="22"/>
        </w:rPr>
        <w:t xml:space="preserve">Alongside PSD2, the SEPA area has seen the implementation of the SCT Inst (SEPA Instant Credit Transfer) protocol, which allows funds to be transferred in less than 10 seconds, 24 hours a day, 365 days a year. The combination of PISP APIs and instant payments creates a direct technological threat to traditional card schemes: a merchant can receive money in their account almost instantly, reducing transaction fees and chargeback risk, since instant bank transfers are final and cannot be reversed.</w:t>
      </w:r>
    </w:p>
    <w:p>
      <w:r>
        <w:t xml:space="preserve"/>
      </w:r>
    </w:p>
    <w:p>
      <w:pPr>
        <w:pStyle w:val="Heading1"/>
      </w:pPr>
      <w:r>
        <w:rPr>
          <w:rFonts w:ascii="Arial" w:cs="Arial" w:eastAsia="Arial" w:hAnsi="Arial"/>
          <w:b/>
          <w:bCs/>
          <w:sz w:val="32"/>
          <w:szCs w:val="32"/>
        </w:rPr>
        <w:t xml:space="preserve">Cybersecurity and Anti-Fraud Monitoring</w:t>
      </w:r>
    </w:p>
    <w:p>
      <w:pPr>
        <w:spacing w:after="160"/>
      </w:pPr>
      <w:r>
        <w:rPr>
          <w:rFonts w:ascii="Arial" w:cs="Arial" w:eastAsia="Arial" w:hAnsi="Arial"/>
          <w:sz w:val="22"/>
          <w:szCs w:val="22"/>
        </w:rPr>
        <w:t xml:space="preserve">The opening of banking systems through APIs has increased the attack surface, requiring financial institutions to adopt "zero-trust" security strategies. Cybersecurity in PSD2 is no longer a matter of physical perimeters, but of protecting data in transit and continuously verifying identity.</w:t>
      </w:r>
    </w:p>
    <w:p>
      <w:r>
        <w:t xml:space="preserve"/>
      </w:r>
    </w:p>
    <w:p>
      <w:pPr>
        <w:pStyle w:val="Heading2"/>
      </w:pPr>
      <w:r>
        <w:rPr>
          <w:rFonts w:ascii="Arial" w:cs="Arial" w:eastAsia="Arial" w:hAnsi="Arial"/>
          <w:b/>
          <w:bCs/>
          <w:sz w:val="28"/>
          <w:szCs w:val="28"/>
        </w:rPr>
        <w:t xml:space="preserve">Advanced Monitoring Techniques and Machine Learning</w:t>
      </w:r>
    </w:p>
    <w:p>
      <w:pPr>
        <w:spacing w:after="160"/>
      </w:pPr>
      <w:r>
        <w:rPr>
          <w:rFonts w:ascii="Arial" w:cs="Arial" w:eastAsia="Arial" w:hAnsi="Arial"/>
          <w:sz w:val="22"/>
          <w:szCs w:val="22"/>
        </w:rPr>
        <w:t xml:space="preserve">PSD2 requires PSPs to implement transaction monitoring mechanisms to detect fraud attempts linked to credential compromise. This is technically achieved through real-time analytics engines, often based on Machine Learning models that continuously learn from new attack patterns.</w:t>
      </w:r>
    </w:p>
    <w:p>
      <w:r>
        <w:t xml:space="preserve"/>
      </w:r>
    </w:p>
    <w:p>
      <w:pPr>
        <w:spacing w:after="160"/>
      </w:pPr>
      <w:r>
        <w:rPr>
          <w:rFonts w:ascii="Arial" w:cs="Arial" w:eastAsia="Arial" w:hAnsi="Arial"/>
          <w:sz w:val="22"/>
          <w:szCs w:val="22"/>
        </w:rPr>
        <w:t xml:space="preserve">These systems analyse several dimensions:</w:t>
      </w:r>
    </w:p>
    <w:p>
      <w:pPr>
        <w:pStyle w:val="ListParagraph"/>
        <w:numPr>
          <w:ilvl w:val="0"/>
          <w:numId w:val="2"/>
        </w:numPr>
      </w:pPr>
      <w:r>
        <w:rPr>
          <w:rFonts w:ascii="Arial" w:cs="Arial" w:eastAsia="Arial" w:hAnsi="Arial"/>
          <w:b/>
          <w:bCs/>
          <w:sz w:val="22"/>
          <w:szCs w:val="22"/>
        </w:rPr>
        <w:t xml:space="preserve">Behavioural data: </w:t>
      </w:r>
      <w:r>
        <w:rPr>
          <w:rFonts w:ascii="Arial" w:cs="Arial" w:eastAsia="Arial" w:hAnsi="Arial"/>
          <w:sz w:val="22"/>
          <w:szCs w:val="22"/>
        </w:rPr>
        <w:t xml:space="preserve">How the user moves the mouse, typing speed, and interaction patterns with the app.</w:t>
      </w:r>
    </w:p>
    <w:p>
      <w:pPr>
        <w:pStyle w:val="ListParagraph"/>
        <w:numPr>
          <w:ilvl w:val="0"/>
          <w:numId w:val="2"/>
        </w:numPr>
      </w:pPr>
      <w:r>
        <w:rPr>
          <w:rFonts w:ascii="Arial" w:cs="Arial" w:eastAsia="Arial" w:hAnsi="Arial"/>
          <w:b/>
          <w:bCs/>
          <w:sz w:val="22"/>
          <w:szCs w:val="22"/>
        </w:rPr>
        <w:t xml:space="preserve">Device fingerprinting: </w:t>
      </w:r>
      <w:r>
        <w:rPr>
          <w:rFonts w:ascii="Arial" w:cs="Arial" w:eastAsia="Arial" w:hAnsi="Arial"/>
          <w:sz w:val="22"/>
          <w:szCs w:val="22"/>
        </w:rPr>
        <w:t xml:space="preserve">Analysis of hardware, operating system, plugin versions, and network configurations to detect emulators or devices associated with known fraud.</w:t>
      </w:r>
    </w:p>
    <w:p>
      <w:pPr>
        <w:pStyle w:val="ListParagraph"/>
        <w:numPr>
          <w:ilvl w:val="0"/>
          <w:numId w:val="2"/>
        </w:numPr>
      </w:pPr>
      <w:r>
        <w:rPr>
          <w:rFonts w:ascii="Arial" w:cs="Arial" w:eastAsia="Arial" w:hAnsi="Arial"/>
          <w:b/>
          <w:bCs/>
          <w:sz w:val="22"/>
          <w:szCs w:val="22"/>
        </w:rPr>
        <w:t xml:space="preserve">Geolocation and IP intelligence: </w:t>
      </w:r>
      <w:r>
        <w:rPr>
          <w:rFonts w:ascii="Arial" w:cs="Arial" w:eastAsia="Arial" w:hAnsi="Arial"/>
          <w:sz w:val="22"/>
          <w:szCs w:val="22"/>
        </w:rPr>
        <w:t xml:space="preserve">Comparison between the declared transaction location and the actual device location, detecting the use of suspicious VPNs or anonymous proxies.</w:t>
      </w:r>
    </w:p>
    <w:p>
      <w:pPr>
        <w:pStyle w:val="ListParagraph"/>
        <w:numPr>
          <w:ilvl w:val="0"/>
          <w:numId w:val="2"/>
        </w:numPr>
      </w:pPr>
      <w:r>
        <w:rPr>
          <w:rFonts w:ascii="Arial" w:cs="Arial" w:eastAsia="Arial" w:hAnsi="Arial"/>
          <w:b/>
          <w:bCs/>
          <w:sz w:val="22"/>
          <w:szCs w:val="22"/>
        </w:rPr>
        <w:t xml:space="preserve">Velocity checks: </w:t>
      </w:r>
      <w:r>
        <w:rPr>
          <w:rFonts w:ascii="Arial" w:cs="Arial" w:eastAsia="Arial" w:hAnsi="Arial"/>
          <w:sz w:val="22"/>
          <w:szCs w:val="22"/>
        </w:rPr>
        <w:t xml:space="preserve">Monitoring the frequency of transactions or login attempts to block automated "credential stuffing" attacks.</w:t>
      </w:r>
    </w:p>
    <w:p>
      <w:r>
        <w:t xml:space="preserve"/>
      </w:r>
    </w:p>
    <w:p>
      <w:pPr>
        <w:pStyle w:val="Heading2"/>
      </w:pPr>
      <w:r>
        <w:rPr>
          <w:rFonts w:ascii="Arial" w:cs="Arial" w:eastAsia="Arial" w:hAnsi="Arial"/>
          <w:b/>
          <w:bCs/>
          <w:sz w:val="28"/>
          <w:szCs w:val="28"/>
        </w:rPr>
        <w:t xml:space="preserve">Encryption and Tokenisation in the Post-PSD2 Era</w:t>
      </w:r>
    </w:p>
    <w:p>
      <w:pPr>
        <w:spacing w:after="160"/>
      </w:pPr>
      <w:r>
        <w:rPr>
          <w:rFonts w:ascii="Arial" w:cs="Arial" w:eastAsia="Arial" w:hAnsi="Arial"/>
          <w:sz w:val="22"/>
          <w:szCs w:val="22"/>
        </w:rPr>
        <w:t xml:space="preserve">Encryption remains the fundamental safeguard. In addition to TLS for data in transit, PSD2 encourages the use of "at-rest" encryption for stored data and the pseudonymisation of data shared with TPPs to comply with GDPR. Tokenisation, originally designed for card numbers (PANs), is now being extended to other financial identifiers, making the data exchanged between APIs worthless to an attacker if intercepted.</w:t>
      </w:r>
    </w:p>
    <w:p>
      <w:r>
        <w:t xml:space="preserve"/>
      </w:r>
    </w:p>
    <w:p>
      <w:pPr>
        <w:pStyle w:val="Heading1"/>
      </w:pPr>
      <w:r>
        <w:rPr>
          <w:rFonts w:ascii="Arial" w:cs="Arial" w:eastAsia="Arial" w:hAnsi="Arial"/>
          <w:b/>
          <w:bCs/>
          <w:sz w:val="32"/>
          <w:szCs w:val="32"/>
        </w:rPr>
        <w:t xml:space="preserve">Cybercrime and Technological Risks: The Evolution of Threats</w:t>
      </w:r>
    </w:p>
    <w:p>
      <w:pPr>
        <w:spacing w:after="160"/>
      </w:pPr>
      <w:r>
        <w:rPr>
          <w:rFonts w:ascii="Arial" w:cs="Arial" w:eastAsia="Arial" w:hAnsi="Arial"/>
          <w:sz w:val="22"/>
          <w:szCs w:val="22"/>
        </w:rPr>
        <w:t xml:space="preserve">As technical defences have strengthened, cybercriminals have shifted their focus to the weakest link in the chain: the human user and basic communication infrastructure. PSD2 has made "password theft" less effective, leading to the emergence of far more sophisticated attacks that aim to bypass SCA directly.</w:t>
      </w:r>
    </w:p>
    <w:p>
      <w:r>
        <w:t xml:space="preserve"/>
      </w:r>
    </w:p>
    <w:p>
      <w:pPr>
        <w:pStyle w:val="Heading2"/>
      </w:pPr>
      <w:r>
        <w:rPr>
          <w:rFonts w:ascii="Arial" w:cs="Arial" w:eastAsia="Arial" w:hAnsi="Arial"/>
          <w:b/>
          <w:bCs/>
          <w:sz w:val="28"/>
          <w:szCs w:val="28"/>
        </w:rPr>
        <w:t xml:space="preserve">Phishing 2.0 and Proxy-Based Attacks (AitM)</w:t>
      </w:r>
    </w:p>
    <w:p>
      <w:pPr>
        <w:spacing w:after="160"/>
      </w:pPr>
      <w:r>
        <w:rPr>
          <w:rFonts w:ascii="Arial" w:cs="Arial" w:eastAsia="Arial" w:hAnsi="Arial"/>
          <w:sz w:val="22"/>
          <w:szCs w:val="22"/>
        </w:rPr>
        <w:t xml:space="preserve">Phishing has evolved into what experts call "Phishing 2.0" or Adversary-in-the-Middle (AitM) attacks. Instead of creating a fake website that copies the appearance of a bank, attackers use tools like EvilProxy or Starkiller to set up a transparent proxy between the user and the real bank.</w:t>
      </w:r>
    </w:p>
    <w:p>
      <w:r>
        <w:t xml:space="preserve"/>
      </w:r>
    </w:p>
    <w:p>
      <w:pPr>
        <w:spacing w:after="160"/>
      </w:pPr>
      <w:r>
        <w:rPr>
          <w:rFonts w:ascii="Arial" w:cs="Arial" w:eastAsia="Arial" w:hAnsi="Arial"/>
          <w:sz w:val="22"/>
          <w:szCs w:val="22"/>
        </w:rPr>
        <w:t xml:space="preserve">The technical mechanism works as follows:</w:t>
      </w:r>
    </w:p>
    <w:p>
      <w:pPr>
        <w:pStyle w:val="ListParagraph"/>
        <w:numPr>
          <w:ilvl w:val="0"/>
          <w:numId w:val="2"/>
        </w:numPr>
      </w:pPr>
      <w:r>
        <w:rPr>
          <w:rFonts w:ascii="Arial" w:cs="Arial" w:eastAsia="Arial" w:hAnsi="Arial"/>
          <w:b/>
          <w:bCs/>
          <w:sz w:val="22"/>
          <w:szCs w:val="22"/>
        </w:rPr>
        <w:t xml:space="preserve">Lure: </w:t>
      </w:r>
      <w:r>
        <w:rPr>
          <w:rFonts w:ascii="Arial" w:cs="Arial" w:eastAsia="Arial" w:hAnsi="Arial"/>
          <w:sz w:val="22"/>
          <w:szCs w:val="22"/>
        </w:rPr>
        <w:t xml:space="preserve">The victim clicks on a link that appears to lead to their bank's website.</w:t>
      </w:r>
    </w:p>
    <w:p>
      <w:pPr>
        <w:pStyle w:val="ListParagraph"/>
        <w:numPr>
          <w:ilvl w:val="0"/>
          <w:numId w:val="2"/>
        </w:numPr>
      </w:pPr>
      <w:r>
        <w:rPr>
          <w:rFonts w:ascii="Arial" w:cs="Arial" w:eastAsia="Arial" w:hAnsi="Arial"/>
          <w:b/>
          <w:bCs/>
          <w:sz w:val="22"/>
          <w:szCs w:val="22"/>
        </w:rPr>
        <w:t xml:space="preserve">Proxying: </w:t>
      </w:r>
      <w:r>
        <w:rPr>
          <w:rFonts w:ascii="Arial" w:cs="Arial" w:eastAsia="Arial" w:hAnsi="Arial"/>
          <w:sz w:val="22"/>
          <w:szCs w:val="22"/>
        </w:rPr>
        <w:t xml:space="preserve">The attacker's server forwards the request to the real bank's website and shows the response to the victim.</w:t>
      </w:r>
    </w:p>
    <w:p>
      <w:pPr>
        <w:pStyle w:val="ListParagraph"/>
        <w:numPr>
          <w:ilvl w:val="0"/>
          <w:numId w:val="2"/>
        </w:numPr>
      </w:pPr>
      <w:r>
        <w:rPr>
          <w:rFonts w:ascii="Arial" w:cs="Arial" w:eastAsia="Arial" w:hAnsi="Arial"/>
          <w:b/>
          <w:bCs/>
          <w:sz w:val="22"/>
          <w:szCs w:val="22"/>
        </w:rPr>
        <w:t xml:space="preserve">SCA interception: </w:t>
      </w:r>
      <w:r>
        <w:rPr>
          <w:rFonts w:ascii="Arial" w:cs="Arial" w:eastAsia="Arial" w:hAnsi="Arial"/>
          <w:sz w:val="22"/>
          <w:szCs w:val="22"/>
        </w:rPr>
        <w:t xml:space="preserve">When the user enters their credentials and the OTP code (received via SMS or app), the attacker intercepts them and uses them in real time on the legitimate website.</w:t>
      </w:r>
    </w:p>
    <w:p>
      <w:pPr>
        <w:pStyle w:val="ListParagraph"/>
        <w:numPr>
          <w:ilvl w:val="0"/>
          <w:numId w:val="2"/>
        </w:numPr>
      </w:pPr>
      <w:r>
        <w:rPr>
          <w:rFonts w:ascii="Arial" w:cs="Arial" w:eastAsia="Arial" w:hAnsi="Arial"/>
          <w:b/>
          <w:bCs/>
          <w:sz w:val="22"/>
          <w:szCs w:val="22"/>
        </w:rPr>
        <w:t xml:space="preserve">Session hijacking: </w:t>
      </w:r>
      <w:r>
        <w:rPr>
          <w:rFonts w:ascii="Arial" w:cs="Arial" w:eastAsia="Arial" w:hAnsi="Arial"/>
          <w:sz w:val="22"/>
          <w:szCs w:val="22"/>
        </w:rPr>
        <w:t xml:space="preserve">The ultimate goal is not just the password, but the "session token" or session cookie. Once the attacker has the session token already authenticated via SCA, they can operate on the account without needing to repeat authentication for a certain period.</w:t>
      </w:r>
    </w:p>
    <w:p>
      <w:r>
        <w:t xml:space="preserve"/>
      </w:r>
    </w:p>
    <w:p>
      <w:pPr>
        <w:pStyle w:val="Heading2"/>
      </w:pPr>
      <w:r>
        <w:rPr>
          <w:rFonts w:ascii="Arial" w:cs="Arial" w:eastAsia="Arial" w:hAnsi="Arial"/>
          <w:b/>
          <w:bCs/>
          <w:sz w:val="28"/>
          <w:szCs w:val="28"/>
        </w:rPr>
        <w:t xml:space="preserve">SIM Swap: Compromising the SMS Channel</w:t>
      </w:r>
    </w:p>
    <w:p>
      <w:pPr>
        <w:spacing w:after="160"/>
      </w:pPr>
      <w:r>
        <w:rPr>
          <w:rFonts w:ascii="Arial" w:cs="Arial" w:eastAsia="Arial" w:hAnsi="Arial"/>
          <w:sz w:val="22"/>
          <w:szCs w:val="22"/>
        </w:rPr>
        <w:t xml:space="preserve">SIM Swapping is an attack that exploits weaknesses in the identity verification processes of mobile phone operators. Since many SCA systems still use SMS as the second factor (possession), stealing a phone number is equivalent to stealing the user's digital identity.</w:t>
      </w:r>
    </w:p>
    <w:p>
      <w:r>
        <w:t xml:space="preserve"/>
      </w:r>
    </w:p>
    <w:p>
      <w:pPr>
        <w:spacing w:after="160"/>
      </w:pPr>
      <w:r>
        <w:rPr>
          <w:rFonts w:ascii="Arial" w:cs="Arial" w:eastAsia="Arial" w:hAnsi="Arial"/>
          <w:sz w:val="22"/>
          <w:szCs w:val="22"/>
        </w:rPr>
        <w:t xml:space="preserve">The process is not purely technical — it relies on social engineering:</w:t>
      </w:r>
    </w:p>
    <w:p>
      <w:pPr>
        <w:pStyle w:val="ListParagraph"/>
        <w:numPr>
          <w:ilvl w:val="0"/>
          <w:numId w:val="2"/>
        </w:numPr>
      </w:pPr>
      <w:r>
        <w:rPr>
          <w:rFonts w:ascii="Arial" w:cs="Arial" w:eastAsia="Arial" w:hAnsi="Arial"/>
          <w:b/>
          <w:bCs/>
          <w:sz w:val="22"/>
          <w:szCs w:val="22"/>
        </w:rPr>
        <w:t xml:space="preserve">Data collection: </w:t>
      </w:r>
      <w:r>
        <w:rPr>
          <w:rFonts w:ascii="Arial" w:cs="Arial" w:eastAsia="Arial" w:hAnsi="Arial"/>
          <w:sz w:val="22"/>
          <w:szCs w:val="22"/>
        </w:rPr>
        <w:t xml:space="preserve">The attacker obtains the victim's personal details (name, tax code, date of birth) through phishing or previous data breaches.</w:t>
      </w:r>
    </w:p>
    <w:p>
      <w:pPr>
        <w:pStyle w:val="ListParagraph"/>
        <w:numPr>
          <w:ilvl w:val="0"/>
          <w:numId w:val="2"/>
        </w:numPr>
      </w:pPr>
      <w:r>
        <w:rPr>
          <w:rFonts w:ascii="Arial" w:cs="Arial" w:eastAsia="Arial" w:hAnsi="Arial"/>
          <w:b/>
          <w:bCs/>
          <w:sz w:val="22"/>
          <w:szCs w:val="22"/>
        </w:rPr>
        <w:t xml:space="preserve">Impersonation: </w:t>
      </w:r>
      <w:r>
        <w:rPr>
          <w:rFonts w:ascii="Arial" w:cs="Arial" w:eastAsia="Arial" w:hAnsi="Arial"/>
          <w:sz w:val="22"/>
          <w:szCs w:val="22"/>
        </w:rPr>
        <w:t xml:space="preserve">The attacker contacts the mobile operator pretending to be the victim and claims to have lost their SIM card, requesting a number transfer to a new SIM in their possession.</w:t>
      </w:r>
    </w:p>
    <w:p>
      <w:pPr>
        <w:pStyle w:val="ListParagraph"/>
        <w:numPr>
          <w:ilvl w:val="0"/>
          <w:numId w:val="2"/>
        </w:numPr>
      </w:pPr>
      <w:r>
        <w:rPr>
          <w:rFonts w:ascii="Arial" w:cs="Arial" w:eastAsia="Arial" w:hAnsi="Arial"/>
          <w:b/>
          <w:bCs/>
          <w:sz w:val="22"/>
          <w:szCs w:val="22"/>
        </w:rPr>
        <w:t xml:space="preserve">Number takeover: </w:t>
      </w:r>
      <w:r>
        <w:rPr>
          <w:rFonts w:ascii="Arial" w:cs="Arial" w:eastAsia="Arial" w:hAnsi="Arial"/>
          <w:sz w:val="22"/>
          <w:szCs w:val="22"/>
        </w:rPr>
        <w:t xml:space="preserve">Once the new SIM is activated, the victim loses signal and the attacker starts receiving all authentication SMS messages and password reset links.</w:t>
      </w:r>
    </w:p>
    <w:p>
      <w:pPr>
        <w:pStyle w:val="ListParagraph"/>
        <w:numPr>
          <w:ilvl w:val="0"/>
          <w:numId w:val="2"/>
        </w:numPr>
      </w:pPr>
      <w:r>
        <w:rPr>
          <w:rFonts w:ascii="Arial" w:cs="Arial" w:eastAsia="Arial" w:hAnsi="Arial"/>
          <w:b/>
          <w:bCs/>
          <w:sz w:val="22"/>
          <w:szCs w:val="22"/>
        </w:rPr>
        <w:t xml:space="preserve">Account draining: </w:t>
      </w:r>
      <w:r>
        <w:rPr>
          <w:rFonts w:ascii="Arial" w:cs="Arial" w:eastAsia="Arial" w:hAnsi="Arial"/>
          <w:sz w:val="22"/>
          <w:szCs w:val="22"/>
        </w:rPr>
        <w:t xml:space="preserve">With control of the SMS, the attacker can authorise instant bank transfers before the victim notices the phone outage.</w:t>
      </w:r>
    </w:p>
    <w:p>
      <w:r>
        <w:t xml:space="preserve"/>
      </w:r>
    </w:p>
    <w:p>
      <w:pPr>
        <w:pStyle w:val="Heading2"/>
      </w:pPr>
      <w:r>
        <w:rPr>
          <w:rFonts w:ascii="Arial" w:cs="Arial" w:eastAsia="Arial" w:hAnsi="Arial"/>
          <w:b/>
          <w:bCs/>
          <w:sz w:val="28"/>
          <w:szCs w:val="28"/>
        </w:rPr>
        <w:t xml:space="preserve">Social Engineering and Digital Identity Theft</w:t>
      </w:r>
    </w:p>
    <w:p>
      <w:pPr>
        <w:spacing w:after="160"/>
      </w:pPr>
      <w:r>
        <w:rPr>
          <w:rFonts w:ascii="Arial" w:cs="Arial" w:eastAsia="Arial" w:hAnsi="Arial"/>
          <w:sz w:val="22"/>
          <w:szCs w:val="22"/>
        </w:rPr>
        <w:t xml:space="preserve">Social engineering remains the most widespread threat. "Vishing" (voice phishing) attacks use artificial intelligence to clone the voice of bank officials or company executives (deepfakes), tricking employees or customers into authorising fraudulent transactions. In many cases, the user is convinced to confirm a push notification on their banking app, believing they are "cancelling" an imaginary fraud, while in reality they are approving a real payment initiated by the attacker.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Attack Type</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Main Mechanism</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Technical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AitM Phishing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Real-time reverse proxy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Theft of session cookies and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SIM Swap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Social engineering on telco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Interception of SMS-OTP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Credential Stuffing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Automation with stolen password lists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Access to accounts with reused passwords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Deepfake Vishing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AI-based voice cloning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Forced manual SCA authorisation</w:t>
            </w:r>
          </w:p>
        </w:tc>
      </w:tr>
    </w:tbl>
    <w:p>
      <w:r>
        <w:t xml:space="preserve"/>
      </w:r>
    </w:p>
    <w:p>
      <w:pPr>
        <w:pStyle w:val="Heading1"/>
      </w:pPr>
      <w:r>
        <w:rPr>
          <w:rFonts w:ascii="Arial" w:cs="Arial" w:eastAsia="Arial" w:hAnsi="Arial"/>
          <w:b/>
          <w:bCs/>
          <w:sz w:val="32"/>
          <w:szCs w:val="32"/>
        </w:rPr>
        <w:t xml:space="preserve">Implementation in Italy: The Role of CBI Globe and National Providers</w:t>
      </w:r>
    </w:p>
    <w:p>
      <w:pPr>
        <w:spacing w:after="160"/>
      </w:pPr>
      <w:r>
        <w:rPr>
          <w:rFonts w:ascii="Arial" w:cs="Arial" w:eastAsia="Arial" w:hAnsi="Arial"/>
          <w:sz w:val="22"/>
          <w:szCs w:val="22"/>
        </w:rPr>
        <w:t xml:space="preserve">In Italy, the technological adaptation to PSD2 led to the creation of collaborative infrastructures to support banks — especially smaller ones — in managing APIs and security.</w:t>
      </w:r>
    </w:p>
    <w:p>
      <w:r>
        <w:t xml:space="preserve"/>
      </w:r>
    </w:p>
    <w:p>
      <w:pPr>
        <w:pStyle w:val="Heading2"/>
      </w:pPr>
      <w:r>
        <w:rPr>
          <w:rFonts w:ascii="Arial" w:cs="Arial" w:eastAsia="Arial" w:hAnsi="Arial"/>
          <w:b/>
          <w:bCs/>
          <w:sz w:val="28"/>
          <w:szCs w:val="28"/>
        </w:rPr>
        <w:t xml:space="preserve">CBI Globe: The Italian Gateway for Open Banking</w:t>
      </w:r>
    </w:p>
    <w:p>
      <w:pPr>
        <w:spacing w:after="160"/>
      </w:pPr>
      <w:r>
        <w:rPr>
          <w:rFonts w:ascii="Arial" w:cs="Arial" w:eastAsia="Arial" w:hAnsi="Arial"/>
          <w:sz w:val="22"/>
          <w:szCs w:val="22"/>
        </w:rPr>
        <w:t xml:space="preserve">CBI Globe is the RegTech platform developed by CBI S.c.p.a. (a consortium of Italian banks) that acts as a centralised gateway for over 80% of the national financial industry. Technically, CBI Globe standardises the APIs of hundreds of different banks, giving TPPs a single access point to reach almost all Italian bank accounts.</w:t>
      </w:r>
    </w:p>
    <w:p>
      <w:r>
        <w:t xml:space="preserve"/>
      </w:r>
    </w:p>
    <w:p>
      <w:pPr>
        <w:spacing w:after="160"/>
      </w:pPr>
      <w:r>
        <w:rPr>
          <w:rFonts w:ascii="Arial" w:cs="Arial" w:eastAsia="Arial" w:hAnsi="Arial"/>
          <w:sz w:val="22"/>
          <w:szCs w:val="22"/>
        </w:rPr>
        <w:t xml:space="preserve">The architectural advantages of CBI Globe include:</w:t>
      </w:r>
    </w:p>
    <w:p>
      <w:pPr>
        <w:pStyle w:val="ListParagraph"/>
        <w:numPr>
          <w:ilvl w:val="0"/>
          <w:numId w:val="2"/>
        </w:numPr>
      </w:pPr>
      <w:r>
        <w:rPr>
          <w:rFonts w:ascii="Arial" w:cs="Arial" w:eastAsia="Arial" w:hAnsi="Arial"/>
          <w:b/>
          <w:bCs/>
          <w:sz w:val="22"/>
          <w:szCs w:val="22"/>
        </w:rPr>
        <w:t xml:space="preserve">Standardisation of SCA flows: </w:t>
      </w:r>
      <w:r>
        <w:rPr>
          <w:rFonts w:ascii="Arial" w:cs="Arial" w:eastAsia="Arial" w:hAnsi="Arial"/>
          <w:sz w:val="22"/>
          <w:szCs w:val="22"/>
        </w:rPr>
        <w:t xml:space="preserve">Uniform management of the different authentication methods (redirect, decoupled, embedded) adopted by various banks.</w:t>
      </w:r>
    </w:p>
    <w:p>
      <w:pPr>
        <w:pStyle w:val="ListParagraph"/>
        <w:numPr>
          <w:ilvl w:val="0"/>
          <w:numId w:val="2"/>
        </w:numPr>
      </w:pPr>
      <w:r>
        <w:rPr>
          <w:rFonts w:ascii="Arial" w:cs="Arial" w:eastAsia="Arial" w:hAnsi="Arial"/>
          <w:b/>
          <w:bCs/>
          <w:sz w:val="22"/>
          <w:szCs w:val="22"/>
        </w:rPr>
        <w:t xml:space="preserve">Centralised eIDAS certificate management: </w:t>
      </w:r>
      <w:r>
        <w:rPr>
          <w:rFonts w:ascii="Arial" w:cs="Arial" w:eastAsia="Arial" w:hAnsi="Arial"/>
          <w:sz w:val="22"/>
          <w:szCs w:val="22"/>
        </w:rPr>
        <w:t xml:space="preserve">Real-time verification of the validity of TPP certificates attempting to access the APIs.</w:t>
      </w:r>
    </w:p>
    <w:p>
      <w:pPr>
        <w:pStyle w:val="ListParagraph"/>
        <w:numPr>
          <w:ilvl w:val="0"/>
          <w:numId w:val="2"/>
        </w:numPr>
      </w:pPr>
      <w:r>
        <w:rPr>
          <w:rFonts w:ascii="Arial" w:cs="Arial" w:eastAsia="Arial" w:hAnsi="Arial"/>
          <w:b/>
          <w:bCs/>
          <w:sz w:val="22"/>
          <w:szCs w:val="22"/>
        </w:rPr>
        <w:t xml:space="preserve">Threat monitoring: </w:t>
      </w:r>
      <w:r>
        <w:rPr>
          <w:rFonts w:ascii="Arial" w:cs="Arial" w:eastAsia="Arial" w:hAnsi="Arial"/>
          <w:sz w:val="22"/>
          <w:szCs w:val="22"/>
        </w:rPr>
        <w:t xml:space="preserve">An additional layer of fraud detection that analyses API calls at an aggregate level to identify large-scale attacks.</w:t>
      </w:r>
    </w:p>
    <w:p>
      <w:r>
        <w:t xml:space="preserve"/>
      </w:r>
    </w:p>
    <w:p>
      <w:pPr>
        <w:pStyle w:val="Heading2"/>
      </w:pPr>
      <w:r>
        <w:rPr>
          <w:rFonts w:ascii="Arial" w:cs="Arial" w:eastAsia="Arial" w:hAnsi="Arial"/>
          <w:b/>
          <w:bCs/>
          <w:sz w:val="28"/>
          <w:szCs w:val="28"/>
        </w:rPr>
        <w:t xml:space="preserve">SPID and CIE: Integration with National Digital Identity</w:t>
      </w:r>
    </w:p>
    <w:p>
      <w:pPr>
        <w:spacing w:after="160"/>
      </w:pPr>
      <w:r>
        <w:rPr>
          <w:rFonts w:ascii="Arial" w:cs="Arial" w:eastAsia="Arial" w:hAnsi="Arial"/>
          <w:sz w:val="22"/>
          <w:szCs w:val="22"/>
        </w:rPr>
        <w:t xml:space="preserve">Although PSD2 does not require the use of government digital identities, in Italy SPID (Public Digital Identity System) and CIE (Electronic Identity Card) have been discussed as potential strong authentication factors. The CIE 3.0, thanks to its NFC chip and its 3 security levels, perfectly meets the "possession" and "knowledge" (PIN) requirements, offering a sovereign technological basis for accessing financial services and signing digital transactions in compliance with the eIDAS regulation.</w:t>
      </w:r>
    </w:p>
    <w:p>
      <w:r>
        <w:t xml:space="preserve"/>
      </w:r>
    </w:p>
    <w:p>
      <w:pPr>
        <w:pStyle w:val="Heading1"/>
      </w:pPr>
      <w:r>
        <w:rPr>
          <w:rFonts w:ascii="Arial" w:cs="Arial" w:eastAsia="Arial" w:hAnsi="Arial"/>
          <w:b/>
          <w:bCs/>
          <w:sz w:val="32"/>
          <w:szCs w:val="32"/>
        </w:rPr>
        <w:t xml:space="preserve">Conclusions: The Weak Link and the Future Strategy (PSD3)</w:t>
      </w:r>
    </w:p>
    <w:p>
      <w:pPr>
        <w:spacing w:after="160"/>
      </w:pPr>
      <w:r>
        <w:rPr>
          <w:rFonts w:ascii="Arial" w:cs="Arial" w:eastAsia="Arial" w:hAnsi="Arial"/>
          <w:sz w:val="22"/>
          <w:szCs w:val="22"/>
        </w:rPr>
        <w:t xml:space="preserve">The technical analysis of PSD2 reveals a system where technological complexity has reached unprecedented levels to protect the consumer. However, a key truth emerges: while cryptographic protocols such as mTLS and FAPI are virtually unbreakable with current technology, overall security degrades due to human vulnerabilities and weaknesses in legacy communication channels like SMS.</w:t>
      </w:r>
    </w:p>
    <w:p>
      <w:r>
        <w:t xml:space="preserve"/>
      </w:r>
    </w:p>
    <w:p>
      <w:pPr>
        <w:spacing w:after="160"/>
      </w:pPr>
      <w:r>
        <w:rPr>
          <w:rFonts w:ascii="Arial" w:cs="Arial" w:eastAsia="Arial" w:hAnsi="Arial"/>
          <w:sz w:val="22"/>
          <w:szCs w:val="22"/>
        </w:rPr>
        <w:t xml:space="preserve">The lessons learned from the technical implementation of PSD2 are already shaping the development of PSD3 and the Payment Services Regulation (PSR). The future direction includes:</w:t>
      </w:r>
    </w:p>
    <w:p>
      <w:pPr>
        <w:pStyle w:val="ListParagraph"/>
        <w:numPr>
          <w:ilvl w:val="0"/>
          <w:numId w:val="2"/>
        </w:numPr>
      </w:pPr>
      <w:r>
        <w:rPr>
          <w:rFonts w:ascii="Arial" w:cs="Arial" w:eastAsia="Arial" w:hAnsi="Arial"/>
          <w:b/>
          <w:bCs/>
          <w:sz w:val="22"/>
          <w:szCs w:val="22"/>
        </w:rPr>
        <w:t xml:space="preserve">Abandoning SMS: </w:t>
      </w:r>
      <w:r>
        <w:rPr>
          <w:rFonts w:ascii="Arial" w:cs="Arial" w:eastAsia="Arial" w:hAnsi="Arial"/>
          <w:sz w:val="22"/>
          <w:szCs w:val="22"/>
        </w:rPr>
        <w:t xml:space="preserve">Definitive move towards hardware authenticators or phishing-resistant app-based solutions.</w:t>
      </w:r>
    </w:p>
    <w:p>
      <w:pPr>
        <w:pStyle w:val="ListParagraph"/>
        <w:numPr>
          <w:ilvl w:val="0"/>
          <w:numId w:val="2"/>
        </w:numPr>
      </w:pPr>
      <w:r>
        <w:rPr>
          <w:rFonts w:ascii="Arial" w:cs="Arial" w:eastAsia="Arial" w:hAnsi="Arial"/>
          <w:b/>
          <w:bCs/>
          <w:sz w:val="22"/>
          <w:szCs w:val="22"/>
        </w:rPr>
        <w:t xml:space="preserve">API improvements: </w:t>
      </w:r>
      <w:r>
        <w:rPr>
          <w:rFonts w:ascii="Arial" w:cs="Arial" w:eastAsia="Arial" w:hAnsi="Arial"/>
          <w:sz w:val="22"/>
          <w:szCs w:val="22"/>
        </w:rPr>
        <w:t xml:space="preserve">Eliminating technical barriers (friction) that still limit the adoption of Open Banking by end users.</w:t>
      </w:r>
    </w:p>
    <w:p>
      <w:pPr>
        <w:pStyle w:val="ListParagraph"/>
        <w:numPr>
          <w:ilvl w:val="0"/>
          <w:numId w:val="2"/>
        </w:numPr>
      </w:pPr>
      <w:r>
        <w:rPr>
          <w:rFonts w:ascii="Arial" w:cs="Arial" w:eastAsia="Arial" w:hAnsi="Arial"/>
          <w:b/>
          <w:bCs/>
          <w:sz w:val="22"/>
          <w:szCs w:val="22"/>
        </w:rPr>
        <w:t xml:space="preserve">Fraud data sharing: </w:t>
      </w:r>
      <w:r>
        <w:rPr>
          <w:rFonts w:ascii="Arial" w:cs="Arial" w:eastAsia="Arial" w:hAnsi="Arial"/>
          <w:sz w:val="22"/>
          <w:szCs w:val="22"/>
        </w:rPr>
        <w:t xml:space="preserve">Requiring PSPs to share technical information about detected fraud with each other, creating a more effective collective defence.</w:t>
      </w:r>
    </w:p>
    <w:p>
      <w:pPr>
        <w:pStyle w:val="ListParagraph"/>
        <w:numPr>
          <w:ilvl w:val="0"/>
          <w:numId w:val="2"/>
        </w:numPr>
      </w:pPr>
      <w:r>
        <w:rPr>
          <w:rFonts w:ascii="Arial" w:cs="Arial" w:eastAsia="Arial" w:hAnsi="Arial"/>
          <w:b/>
          <w:bCs/>
          <w:sz w:val="22"/>
          <w:szCs w:val="22"/>
        </w:rPr>
        <w:t xml:space="preserve">Payee verification: </w:t>
      </w:r>
      <w:r>
        <w:rPr>
          <w:rFonts w:ascii="Arial" w:cs="Arial" w:eastAsia="Arial" w:hAnsi="Arial"/>
          <w:sz w:val="22"/>
          <w:szCs w:val="22"/>
        </w:rPr>
        <w:t xml:space="preserve">Implementation of "Confirmation of Payee" systems to ensure that the entered IBAN actually matches the recipient's name, preventing fraud based on visual deception.</w:t>
      </w:r>
    </w:p>
    <w:p>
      <w:r>
        <w:t xml:space="preserve"/>
      </w:r>
    </w:p>
    <w:p>
      <w:pPr>
        <w:spacing w:after="160"/>
      </w:pPr>
      <w:r>
        <w:rPr>
          <w:rFonts w:ascii="Arial" w:cs="Arial" w:eastAsia="Arial" w:hAnsi="Arial"/>
          <w:sz w:val="22"/>
          <w:szCs w:val="22"/>
        </w:rPr>
        <w:t xml:space="preserve">In conclusion, PSD2 has transformed the bank from a closed fortress into an open network node. The technological challenge of the coming years will not only be to encrypt data, but to make financial flows intelligent, transparent, and — above all — resistant to manipulation by an increasingly industrialised form of cybercrime.</w:t>
      </w:r>
    </w:p>
    <w:p>
      <w:r>
        <w:t xml:space="preserve"/>
      </w:r>
    </w:p>
    <w:p>
      <w:pPr>
        <w:pStyle w:val="Heading1"/>
      </w:pPr>
      <w:r>
        <w:rPr>
          <w:rFonts w:ascii="Arial" w:cs="Arial" w:eastAsia="Arial" w:hAnsi="Arial"/>
          <w:b/>
          <w:bCs/>
          <w:sz w:val="32"/>
          <w:szCs w:val="32"/>
        </w:rPr>
        <w:t xml:space="preserve">Bibliography / Sitography</w:t>
      </w:r>
    </w:p>
    <w:p>
      <w:pPr>
        <w:pStyle w:val="ListParagraph"/>
        <w:numPr>
          <w:ilvl w:val="0"/>
          <w:numId w:val="2"/>
        </w:numPr>
      </w:pPr>
      <w:r>
        <w:rPr>
          <w:rFonts w:ascii="Arial" w:cs="Arial" w:eastAsia="Arial" w:hAnsi="Arial"/>
          <w:color w:val="0563C1"/>
          <w:sz w:val="18"/>
          <w:szCs w:val="18"/>
        </w:rPr>
        <w:t xml:space="preserve">Open Banking Basics | SecureAuth Connect Product Docs – https://docs.secureauth.com/iam/open-banking-concepts-and-terms</w:t>
      </w:r>
    </w:p>
    <w:p>
      <w:pPr>
        <w:pStyle w:val="ListParagraph"/>
        <w:numPr>
          <w:ilvl w:val="0"/>
          <w:numId w:val="2"/>
        </w:numPr>
      </w:pPr>
      <w:r>
        <w:rPr>
          <w:rFonts w:ascii="Arial" w:cs="Arial" w:eastAsia="Arial" w:hAnsi="Arial"/>
          <w:color w:val="0563C1"/>
          <w:sz w:val="18"/>
          <w:szCs w:val="18"/>
        </w:rPr>
        <w:t xml:space="preserve">What is PSD2 everything to know for compliance – Adyen – https://www.adyen.com/knowledge-hub/psd2</w:t>
      </w:r>
    </w:p>
    <w:p>
      <w:pPr>
        <w:pStyle w:val="ListParagraph"/>
        <w:numPr>
          <w:ilvl w:val="0"/>
          <w:numId w:val="2"/>
        </w:numPr>
      </w:pPr>
      <w:r>
        <w:rPr>
          <w:rFonts w:ascii="Arial" w:cs="Arial" w:eastAsia="Arial" w:hAnsi="Arial"/>
          <w:color w:val="0563C1"/>
          <w:sz w:val="18"/>
          <w:szCs w:val="18"/>
        </w:rPr>
        <w:t xml:space="preserve">Open Banking Regulations &amp; API Security – Wallarm – https://hubspot.wallarm.com</w:t>
      </w:r>
    </w:p>
    <w:p>
      <w:pPr>
        <w:pStyle w:val="ListParagraph"/>
        <w:numPr>
          <w:ilvl w:val="0"/>
          <w:numId w:val="2"/>
        </w:numPr>
      </w:pPr>
      <w:r>
        <w:rPr>
          <w:rFonts w:ascii="Arial" w:cs="Arial" w:eastAsia="Arial" w:hAnsi="Arial"/>
          <w:color w:val="0563C1"/>
          <w:sz w:val="18"/>
          <w:szCs w:val="18"/>
        </w:rPr>
        <w:t xml:space="preserve">What Is PSD2, and How Does It Work? – Curity Identity Server – https://curity.io/resources/learn/what-is-psd2/</w:t>
      </w:r>
    </w:p>
    <w:p>
      <w:pPr>
        <w:pStyle w:val="ListParagraph"/>
        <w:numPr>
          <w:ilvl w:val="0"/>
          <w:numId w:val="2"/>
        </w:numPr>
      </w:pPr>
      <w:r>
        <w:rPr>
          <w:rFonts w:ascii="Arial" w:cs="Arial" w:eastAsia="Arial" w:hAnsi="Arial"/>
          <w:color w:val="0563C1"/>
          <w:sz w:val="18"/>
          <w:szCs w:val="18"/>
        </w:rPr>
        <w:t xml:space="preserve">Open Banking Security Profile – Developer Zone – Confluence – https://openbanking.atlassian.net</w:t>
      </w:r>
    </w:p>
    <w:p>
      <w:pPr>
        <w:pStyle w:val="ListParagraph"/>
        <w:numPr>
          <w:ilvl w:val="0"/>
          <w:numId w:val="2"/>
        </w:numPr>
      </w:pPr>
      <w:r>
        <w:rPr>
          <w:rFonts w:ascii="Arial" w:cs="Arial" w:eastAsia="Arial" w:hAnsi="Arial"/>
          <w:color w:val="0563C1"/>
          <w:sz w:val="18"/>
          <w:szCs w:val="18"/>
        </w:rPr>
        <w:t xml:space="preserve">What is PSD2? Here's what businesses need to know – Stripe – https://stripe.com</w:t>
      </w:r>
    </w:p>
    <w:p>
      <w:pPr>
        <w:pStyle w:val="ListParagraph"/>
        <w:numPr>
          <w:ilvl w:val="0"/>
          <w:numId w:val="2"/>
        </w:numPr>
      </w:pPr>
      <w:r>
        <w:rPr>
          <w:rFonts w:ascii="Arial" w:cs="Arial" w:eastAsia="Arial" w:hAnsi="Arial"/>
          <w:color w:val="0563C1"/>
          <w:sz w:val="18"/>
          <w:szCs w:val="18"/>
        </w:rPr>
        <w:t xml:space="preserve">APIs as Catalysts: A Bank's View on Open and Embedded Finance – CIO TechWorld – https://ciotechworld.com</w:t>
      </w:r>
    </w:p>
    <w:p>
      <w:pPr>
        <w:pStyle w:val="ListParagraph"/>
        <w:numPr>
          <w:ilvl w:val="0"/>
          <w:numId w:val="2"/>
        </w:numPr>
      </w:pPr>
      <w:r>
        <w:rPr>
          <w:rFonts w:ascii="Arial" w:cs="Arial" w:eastAsia="Arial" w:hAnsi="Arial"/>
          <w:color w:val="0563C1"/>
          <w:sz w:val="18"/>
          <w:szCs w:val="18"/>
        </w:rPr>
        <w:t xml:space="preserve">Tokenization in Finance: How AI Enhances Security and Transparency – Sifars – https://www.sifars.com</w:t>
      </w:r>
    </w:p>
    <w:p>
      <w:pPr>
        <w:pStyle w:val="ListParagraph"/>
        <w:numPr>
          <w:ilvl w:val="0"/>
          <w:numId w:val="2"/>
        </w:numPr>
      </w:pPr>
      <w:r>
        <w:rPr>
          <w:rFonts w:ascii="Arial" w:cs="Arial" w:eastAsia="Arial" w:hAnsi="Arial"/>
          <w:color w:val="0563C1"/>
          <w:sz w:val="18"/>
          <w:szCs w:val="18"/>
        </w:rPr>
        <w:t xml:space="preserve">The Evolution of SIM Swapping Fraud – Group-IB – https://www.group-ib.com</w:t>
      </w:r>
    </w:p>
    <w:p>
      <w:pPr>
        <w:pStyle w:val="ListParagraph"/>
        <w:numPr>
          <w:ilvl w:val="0"/>
          <w:numId w:val="2"/>
        </w:numPr>
      </w:pPr>
      <w:r>
        <w:rPr>
          <w:rFonts w:ascii="Arial" w:cs="Arial" w:eastAsia="Arial" w:hAnsi="Arial"/>
          <w:color w:val="0563C1"/>
          <w:sz w:val="18"/>
          <w:szCs w:val="18"/>
        </w:rPr>
        <w:t xml:space="preserve">PSD2 SCA Compliance – GPayments – https://www.gpayments.com</w:t>
      </w:r>
    </w:p>
    <w:p>
      <w:pPr>
        <w:pStyle w:val="ListParagraph"/>
        <w:numPr>
          <w:ilvl w:val="0"/>
          <w:numId w:val="2"/>
        </w:numPr>
      </w:pPr>
      <w:r>
        <w:rPr>
          <w:rFonts w:ascii="Arial" w:cs="Arial" w:eastAsia="Arial" w:hAnsi="Arial"/>
          <w:color w:val="0563C1"/>
          <w:sz w:val="18"/>
          <w:szCs w:val="18"/>
        </w:rPr>
        <w:t xml:space="preserve">Information paper Strong Customer Authentication under PSD2 – SWIFT – https://www.swift.com</w:t>
      </w:r>
    </w:p>
    <w:p>
      <w:pPr>
        <w:pStyle w:val="ListParagraph"/>
        <w:numPr>
          <w:ilvl w:val="0"/>
          <w:numId w:val="2"/>
        </w:numPr>
      </w:pPr>
      <w:r>
        <w:rPr>
          <w:rFonts w:ascii="Arial" w:cs="Arial" w:eastAsia="Arial" w:hAnsi="Arial"/>
          <w:color w:val="0563C1"/>
          <w:sz w:val="18"/>
          <w:szCs w:val="18"/>
        </w:rPr>
        <w:t xml:space="preserve">Understanding Dynamic Linking in PSD2 – Twilio – https://www.twilio.com</w:t>
      </w:r>
    </w:p>
    <w:p>
      <w:pPr>
        <w:pStyle w:val="ListParagraph"/>
        <w:numPr>
          <w:ilvl w:val="0"/>
          <w:numId w:val="2"/>
        </w:numPr>
      </w:pPr>
      <w:r>
        <w:rPr>
          <w:rFonts w:ascii="Arial" w:cs="Arial" w:eastAsia="Arial" w:hAnsi="Arial"/>
          <w:color w:val="0563C1"/>
          <w:sz w:val="18"/>
          <w:szCs w:val="18"/>
        </w:rPr>
        <w:t xml:space="preserve">What is Dynamic Linking in PSD2? – Okay – https://okaythis.com</w:t>
      </w:r>
    </w:p>
    <w:p>
      <w:pPr>
        <w:pStyle w:val="ListParagraph"/>
        <w:numPr>
          <w:ilvl w:val="0"/>
          <w:numId w:val="2"/>
        </w:numPr>
      </w:pPr>
      <w:r>
        <w:rPr>
          <w:rFonts w:ascii="Arial" w:cs="Arial" w:eastAsia="Arial" w:hAnsi="Arial"/>
          <w:color w:val="0563C1"/>
          <w:sz w:val="18"/>
          <w:szCs w:val="18"/>
        </w:rPr>
        <w:t xml:space="preserve">3DS 2.0 – The Complete Guide – Kount – https://kount.com</w:t>
      </w:r>
    </w:p>
    <w:p>
      <w:pPr>
        <w:pStyle w:val="ListParagraph"/>
        <w:numPr>
          <w:ilvl w:val="0"/>
          <w:numId w:val="2"/>
        </w:numPr>
      </w:pPr>
      <w:r>
        <w:rPr>
          <w:rFonts w:ascii="Arial" w:cs="Arial" w:eastAsia="Arial" w:hAnsi="Arial"/>
          <w:color w:val="0563C1"/>
          <w:sz w:val="18"/>
          <w:szCs w:val="18"/>
        </w:rPr>
        <w:t xml:space="preserve">3D Secure Authentication: The Complete Guide – ACI Worldwide – https://www.aciworldwide.com</w:t>
      </w:r>
    </w:p>
    <w:p>
      <w:pPr>
        <w:pStyle w:val="ListParagraph"/>
        <w:numPr>
          <w:ilvl w:val="0"/>
          <w:numId w:val="2"/>
        </w:numPr>
      </w:pPr>
      <w:r>
        <w:rPr>
          <w:rFonts w:ascii="Arial" w:cs="Arial" w:eastAsia="Arial" w:hAnsi="Arial"/>
          <w:color w:val="0563C1"/>
          <w:sz w:val="18"/>
          <w:szCs w:val="18"/>
        </w:rPr>
        <w:t xml:space="preserve">SIM-swap fraud: Scam prevention guide – Specops Software – https://specopssoft.com</w:t>
      </w:r>
    </w:p>
    <w:p>
      <w:pPr>
        <w:pStyle w:val="ListParagraph"/>
        <w:numPr>
          <w:ilvl w:val="0"/>
          <w:numId w:val="2"/>
        </w:numPr>
      </w:pPr>
      <w:r>
        <w:rPr>
          <w:rFonts w:ascii="Arial" w:cs="Arial" w:eastAsia="Arial" w:hAnsi="Arial"/>
          <w:color w:val="0563C1"/>
          <w:sz w:val="18"/>
          <w:szCs w:val="18"/>
        </w:rPr>
        <w:t xml:space="preserve">How Open Banking APIs Work – DECTA – https://www.decta.com</w:t>
      </w:r>
    </w:p>
    <w:p>
      <w:pPr>
        <w:pStyle w:val="ListParagraph"/>
        <w:numPr>
          <w:ilvl w:val="0"/>
          <w:numId w:val="2"/>
        </w:numPr>
      </w:pPr>
      <w:r>
        <w:rPr>
          <w:rFonts w:ascii="Arial" w:cs="Arial" w:eastAsia="Arial" w:hAnsi="Arial"/>
          <w:color w:val="0563C1"/>
          <w:sz w:val="18"/>
          <w:szCs w:val="18"/>
        </w:rPr>
        <w:t xml:space="preserve">What are open banking APIs? – Tyk.io – https://tyk.io</w:t>
      </w:r>
    </w:p>
    <w:p>
      <w:pPr>
        <w:pStyle w:val="ListParagraph"/>
        <w:numPr>
          <w:ilvl w:val="0"/>
          <w:numId w:val="2"/>
        </w:numPr>
      </w:pPr>
      <w:r>
        <w:rPr>
          <w:rFonts w:ascii="Arial" w:cs="Arial" w:eastAsia="Arial" w:hAnsi="Arial"/>
          <w:color w:val="0563C1"/>
          <w:sz w:val="18"/>
          <w:szCs w:val="18"/>
        </w:rPr>
        <w:t xml:space="preserve">5 Steps to Implement OAuth 2.0 in Banking APIs – Lucid – https://www.lucid.now</w:t>
      </w:r>
    </w:p>
    <w:p>
      <w:pPr>
        <w:pStyle w:val="ListParagraph"/>
        <w:numPr>
          <w:ilvl w:val="0"/>
          <w:numId w:val="2"/>
        </w:numPr>
      </w:pPr>
      <w:r>
        <w:rPr>
          <w:rFonts w:ascii="Arial" w:cs="Arial" w:eastAsia="Arial" w:hAnsi="Arial"/>
          <w:color w:val="0563C1"/>
          <w:sz w:val="18"/>
          <w:szCs w:val="18"/>
        </w:rPr>
        <w:t xml:space="preserve">CBI Globe – Nexi Group – https://www.nexigroup.com</w:t>
      </w:r>
    </w:p>
    <w:p>
      <w:pPr>
        <w:pStyle w:val="ListParagraph"/>
        <w:numPr>
          <w:ilvl w:val="0"/>
          <w:numId w:val="2"/>
        </w:numPr>
      </w:pPr>
      <w:r>
        <w:rPr>
          <w:rFonts w:ascii="Arial" w:cs="Arial" w:eastAsia="Arial" w:hAnsi="Arial"/>
          <w:color w:val="0563C1"/>
          <w:sz w:val="18"/>
          <w:szCs w:val="18"/>
        </w:rPr>
        <w:t xml:space="preserve">OAuth 2.0 workflow – IBM – https://www.ibm.com</w:t>
      </w:r>
    </w:p>
    <w:p>
      <w:pPr>
        <w:pStyle w:val="ListParagraph"/>
        <w:numPr>
          <w:ilvl w:val="0"/>
          <w:numId w:val="2"/>
        </w:numPr>
      </w:pPr>
      <w:r>
        <w:rPr>
          <w:rFonts w:ascii="Arial" w:cs="Arial" w:eastAsia="Arial" w:hAnsi="Arial"/>
          <w:color w:val="0563C1"/>
          <w:sz w:val="18"/>
          <w:szCs w:val="18"/>
        </w:rPr>
        <w:t xml:space="preserve">An Introduction to OAuth 2 – DigitalOcean – https://www.digitalocean.com</w:t>
      </w:r>
    </w:p>
    <w:p>
      <w:pPr>
        <w:pStyle w:val="ListParagraph"/>
        <w:numPr>
          <w:ilvl w:val="0"/>
          <w:numId w:val="2"/>
        </w:numPr>
      </w:pPr>
      <w:r>
        <w:rPr>
          <w:rFonts w:ascii="Arial" w:cs="Arial" w:eastAsia="Arial" w:hAnsi="Arial"/>
          <w:color w:val="0563C1"/>
          <w:sz w:val="18"/>
          <w:szCs w:val="18"/>
        </w:rPr>
        <w:t xml:space="preserve">Payment Initiation API Specification – Open Banking Developer Zone – https://openbanking.atlassian.net</w:t>
      </w:r>
    </w:p>
    <w:p>
      <w:pPr>
        <w:pStyle w:val="ListParagraph"/>
        <w:numPr>
          <w:ilvl w:val="0"/>
          <w:numId w:val="2"/>
        </w:numPr>
      </w:pPr>
      <w:r>
        <w:rPr>
          <w:rFonts w:ascii="Arial" w:cs="Arial" w:eastAsia="Arial" w:hAnsi="Arial"/>
          <w:color w:val="0563C1"/>
          <w:sz w:val="18"/>
          <w:szCs w:val="18"/>
        </w:rPr>
        <w:t xml:space="preserve">Open banking API specifications – GoCardless – https://gocardless.com</w:t>
      </w:r>
    </w:p>
    <w:p>
      <w:pPr>
        <w:pStyle w:val="ListParagraph"/>
        <w:numPr>
          <w:ilvl w:val="0"/>
          <w:numId w:val="2"/>
        </w:numPr>
      </w:pPr>
      <w:r>
        <w:rPr>
          <w:rFonts w:ascii="Arial" w:cs="Arial" w:eastAsia="Arial" w:hAnsi="Arial"/>
          <w:color w:val="0563C1"/>
          <w:sz w:val="18"/>
          <w:szCs w:val="18"/>
        </w:rPr>
        <w:t xml:space="preserve">The Evolution and Impact of Embedded Finance – InvestSuite – https://www.investsuite.com</w:t>
      </w:r>
    </w:p>
    <w:p>
      <w:pPr>
        <w:pStyle w:val="ListParagraph"/>
        <w:numPr>
          <w:ilvl w:val="0"/>
          <w:numId w:val="2"/>
        </w:numPr>
      </w:pPr>
      <w:r>
        <w:rPr>
          <w:rFonts w:ascii="Arial" w:cs="Arial" w:eastAsia="Arial" w:hAnsi="Arial"/>
          <w:color w:val="0563C1"/>
          <w:sz w:val="18"/>
          <w:szCs w:val="18"/>
        </w:rPr>
        <w:t xml:space="preserve">Open banking vs. embedded finance explained – Stripe – https://stripe.com</w:t>
      </w:r>
    </w:p>
    <w:p>
      <w:pPr>
        <w:pStyle w:val="ListParagraph"/>
        <w:numPr>
          <w:ilvl w:val="0"/>
          <w:numId w:val="2"/>
        </w:numPr>
      </w:pPr>
      <w:r>
        <w:rPr>
          <w:rFonts w:ascii="Arial" w:cs="Arial" w:eastAsia="Arial" w:hAnsi="Arial"/>
          <w:color w:val="0563C1"/>
          <w:sz w:val="18"/>
          <w:szCs w:val="18"/>
        </w:rPr>
        <w:t xml:space="preserve">Embedded finance: Why banks should embrace APIs – TSYS – https://www.tsys.com</w:t>
      </w:r>
    </w:p>
    <w:p>
      <w:pPr>
        <w:pStyle w:val="ListParagraph"/>
        <w:numPr>
          <w:ilvl w:val="0"/>
          <w:numId w:val="2"/>
        </w:numPr>
      </w:pPr>
      <w:r>
        <w:rPr>
          <w:rFonts w:ascii="Arial" w:cs="Arial" w:eastAsia="Arial" w:hAnsi="Arial"/>
          <w:color w:val="0563C1"/>
          <w:sz w:val="18"/>
          <w:szCs w:val="18"/>
        </w:rPr>
        <w:t xml:space="preserve">Phishing 2.0: Why Today's Scams Are Harder to Spot Than Ever – XSolutions – https://xsolutions.com</w:t>
      </w:r>
    </w:p>
    <w:p>
      <w:pPr>
        <w:pStyle w:val="ListParagraph"/>
        <w:numPr>
          <w:ilvl w:val="0"/>
          <w:numId w:val="2"/>
        </w:numPr>
      </w:pPr>
      <w:r>
        <w:rPr>
          <w:rFonts w:ascii="Arial" w:cs="Arial" w:eastAsia="Arial" w:hAnsi="Arial"/>
          <w:color w:val="0563C1"/>
          <w:sz w:val="18"/>
          <w:szCs w:val="18"/>
        </w:rPr>
        <w:t xml:space="preserve">What is Phishing 2.0 – Ubisecure – https://www.ubisecure.com</w:t>
      </w:r>
    </w:p>
    <w:p>
      <w:pPr>
        <w:pStyle w:val="ListParagraph"/>
        <w:numPr>
          <w:ilvl w:val="0"/>
          <w:numId w:val="2"/>
        </w:numPr>
      </w:pPr>
      <w:r>
        <w:rPr>
          <w:rFonts w:ascii="Arial" w:cs="Arial" w:eastAsia="Arial" w:hAnsi="Arial"/>
          <w:color w:val="0563C1"/>
          <w:sz w:val="18"/>
          <w:szCs w:val="18"/>
        </w:rPr>
        <w:t xml:space="preserve">EvilProxy phishing campaign – Okta – https://www.okta.com</w:t>
      </w:r>
    </w:p>
    <w:p>
      <w:pPr>
        <w:pStyle w:val="ListParagraph"/>
        <w:numPr>
          <w:ilvl w:val="0"/>
          <w:numId w:val="2"/>
        </w:numPr>
      </w:pPr>
      <w:r>
        <w:rPr>
          <w:rFonts w:ascii="Arial" w:cs="Arial" w:eastAsia="Arial" w:hAnsi="Arial"/>
          <w:color w:val="0563C1"/>
          <w:sz w:val="18"/>
          <w:szCs w:val="18"/>
        </w:rPr>
        <w:t xml:space="preserve">CBI Globe – https://www.cbiglobe.com</w:t>
      </w:r>
    </w:p>
    <w:p>
      <w:pPr>
        <w:pStyle w:val="ListParagraph"/>
        <w:numPr>
          <w:ilvl w:val="0"/>
          <w:numId w:val="2"/>
        </w:numPr>
      </w:pPr>
      <w:r>
        <w:rPr>
          <w:rFonts w:ascii="Arial" w:cs="Arial" w:eastAsia="Arial" w:hAnsi="Arial"/>
          <w:color w:val="0563C1"/>
          <w:sz w:val="18"/>
          <w:szCs w:val="18"/>
        </w:rPr>
        <w:t xml:space="preserve">Open Banking Specifics in Italy – Enable Banking Docs – https://enablebanking.com/docs/markets/it</w:t>
      </w:r>
    </w:p>
    <w:p>
      <w:pPr>
        <w:pStyle w:val="ListParagraph"/>
        <w:numPr>
          <w:ilvl w:val="0"/>
          <w:numId w:val="2"/>
        </w:numPr>
      </w:pPr>
      <w:r>
        <w:rPr>
          <w:rFonts w:ascii="Arial" w:cs="Arial" w:eastAsia="Arial" w:hAnsi="Arial"/>
          <w:color w:val="0563C1"/>
          <w:sz w:val="18"/>
          <w:szCs w:val="18"/>
        </w:rPr>
        <w:t xml:space="preserve">A deep dive into the growing threat of SIM swap fraud – Thomson Reuters – https://www.thomsonreuters.com</w:t>
      </w:r>
    </w:p>
    <w:p>
      <w:pPr>
        <w:pStyle w:val="ListParagraph"/>
        <w:numPr>
          <w:ilvl w:val="0"/>
          <w:numId w:val="2"/>
        </w:numPr>
      </w:pPr>
      <w:r>
        <w:rPr>
          <w:rFonts w:ascii="Arial" w:cs="Arial" w:eastAsia="Arial" w:hAnsi="Arial"/>
          <w:color w:val="0563C1"/>
          <w:sz w:val="18"/>
          <w:szCs w:val="18"/>
        </w:rPr>
        <w:t xml:space="preserve">The Electronic Identity Card (CIE) – Ministero dell'Interno – https://www.cartaidentita.interno.gov.it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2026-04-17T12:55:18.997Z</dcterms:created>
  <dcterms:modified xsi:type="dcterms:W3CDTF">2026-04-17T12:55:18.998Z</dcterms:modified>
</cp:coreProperties>
</file>

<file path=docProps/custom.xml><?xml version="1.0" encoding="utf-8"?>
<Properties xmlns="http://schemas.openxmlformats.org/officeDocument/2006/custom-properties" xmlns:vt="http://schemas.openxmlformats.org/officeDocument/2006/docPropsVTypes"/>
</file>