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36"/>
          <w:szCs w:val="36"/>
        </w:rPr>
        <w:t xml:space="preserve">PSD2 — Economic, Social and Strategic Impact</w:t>
      </w:r>
    </w:p>
    <w:p>
      <w:pPr>
        <w:spacing w:after="200" w:before="0"/>
        <w:jc w:val="center"/>
      </w:pPr>
      <w:r>
        <w:rPr>
          <w:rFonts w:ascii="Arial" w:cs="Arial" w:eastAsia="Arial" w:hAnsi="Arial"/>
          <w:color w:val="2E75B6"/>
          <w:sz w:val="24"/>
          <w:szCs w:val="24"/>
        </w:rPr>
        <w:t xml:space="preserve">Big Tech, Fintech and the Future of Digital Payments</w:t>
      </w:r>
    </w:p>
    <w:p>
      <w:pPr>
        <w:spacing w:after="80" w:before="80"/>
      </w:pPr>
      <w:r>
        <w:rPr>
          <w:rFonts w:ascii="Arial" w:cs="Arial" w:eastAsia="Arial" w:hAnsi="Arial"/>
          <w:sz w:val="22"/>
          <w:szCs w:val="22"/>
        </w:rPr>
        <w:t xml:space="preserve">PSD2 is not just a technical regulation on electronic payments — it is the regulatory engine of an economic and competitive revolution that has reshaped the European financial sector. This analysis looks at its effects on traditional banks, Fintech business models, the tension with GDPR, and broader macroeconomic consequences. Two lenses guide the analysis: Peter Thiel's entrepreneurial philosophy and the expansion of Big Tech into financial markets.</w:t>
      </w:r>
    </w:p>
    <w:p>
      <w:pPr>
        <w:spacing w:after="60" w:before="60"/>
      </w:pPr>
      <w:r>
        <w:t xml:space="preserve"/>
      </w:r>
    </w:p>
    <w:p>
      <w:pPr>
        <w:pStyle w:val="Heading1"/>
        <w:spacing w:after="120" w:before="300"/>
      </w:pPr>
      <w:r>
        <w:rPr>
          <w:rFonts w:ascii="Arial" w:cs="Arial" w:eastAsia="Arial" w:hAnsi="Arial"/>
          <w:b/>
          <w:bCs/>
          <w:color w:val="1F4E79"/>
          <w:sz w:val="30"/>
          <w:szCs w:val="30"/>
        </w:rPr>
        <w:t xml:space="preserve">1. Impact on Traditional Banks</w:t>
      </w:r>
    </w:p>
    <w:p>
      <w:pPr>
        <w:spacing w:after="80" w:before="80"/>
      </w:pPr>
      <w:r>
        <w:rPr>
          <w:rFonts w:ascii="Arial" w:cs="Arial" w:eastAsia="Arial" w:hAnsi="Arial"/>
          <w:sz w:val="22"/>
          <w:szCs w:val="22"/>
        </w:rPr>
        <w:t xml:space="preserve">Before PSD2, traditional banks had a key competitive advantage: a monopoly over their customers' financial data. Clients were effectively locked in. PSD2 reversed this by establishing in law that financial data belongs to the customer, not to the bank.</w:t>
      </w:r>
    </w:p>
    <w:p>
      <w:pPr>
        <w:pStyle w:val="Heading2"/>
        <w:spacing w:after="80" w:before="200"/>
      </w:pPr>
      <w:r>
        <w:rPr>
          <w:rFonts w:ascii="Arial" w:cs="Arial" w:eastAsia="Arial" w:hAnsi="Arial"/>
          <w:b/>
          <w:bCs/>
          <w:color w:val="2E75B6"/>
          <w:sz w:val="24"/>
          <w:szCs w:val="24"/>
        </w:rPr>
        <w:t xml:space="preserve">1.1 The End of Data Exclusivity</w:t>
      </w:r>
    </w:p>
    <w:p>
      <w:pPr>
        <w:spacing w:after="80" w:before="80"/>
      </w:pPr>
      <w:r>
        <w:rPr>
          <w:rFonts w:ascii="Arial" w:cs="Arial" w:eastAsia="Arial" w:hAnsi="Arial"/>
          <w:sz w:val="22"/>
          <w:szCs w:val="22"/>
        </w:rPr>
        <w:t xml:space="preserve">The obligation to open APIs (Open Banking) stripped banks of their most valuable asset: information. Banks must now share data with authorised third parties (AISPs and PISPs) whenever the customer consents. This is not a technical change — it is a redistribution of economic power.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Before PSD2</w:t>
            </w:r>
          </w:p>
        </w:tc>
        <w:tc>
          <w:tcPr>
            <w:tcW w:type="dxa" w:w="3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PSD2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data</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Exclusive bank property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customer, shareable with TPPs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 access</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Only via bank's own app</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Via third-party apps too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Protected banking oligopoly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to Fintechs and Big Tech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Innovation</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Internal, slow, controlled</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External, fast, competitive</w:t>
            </w:r>
          </w:p>
        </w:tc>
      </w:tr>
    </w:tbl>
    <w:p>
      <w:pPr>
        <w:spacing w:after="60" w:before="60"/>
      </w:pPr>
      <w:r>
        <w:t xml:space="preserve"/>
      </w:r>
    </w:p>
    <w:p>
      <w:pPr>
        <w:pStyle w:val="Heading2"/>
        <w:spacing w:after="80" w:before="200"/>
      </w:pPr>
      <w:r>
        <w:rPr>
          <w:rFonts w:ascii="Arial" w:cs="Arial" w:eastAsia="Arial" w:hAnsi="Arial"/>
          <w:b/>
          <w:bCs/>
          <w:color w:val="2E75B6"/>
          <w:sz w:val="24"/>
          <w:szCs w:val="24"/>
        </w:rPr>
        <w:t xml:space="preserve">1.2 The Banks' Strategic Response</w:t>
      </w:r>
    </w:p>
    <w:p>
      <w:pPr>
        <w:spacing w:after="80" w:before="80"/>
      </w:pPr>
      <w:r>
        <w:rPr>
          <w:rFonts w:ascii="Arial" w:cs="Arial" w:eastAsia="Arial" w:hAnsi="Arial"/>
          <w:sz w:val="22"/>
          <w:szCs w:val="22"/>
        </w:rPr>
        <w:t xml:space="preserve">Banks responded on three levels:</w:t>
      </w:r>
    </w:p>
    <w:p>
      <w:pPr>
        <w:pStyle w:val="ListParagraph"/>
        <w:numPr>
          <w:ilvl w:val="0"/>
          <w:numId w:val="2"/>
        </w:numPr>
        <w:spacing w:after="40" w:before="40"/>
      </w:pPr>
      <w:r>
        <w:rPr>
          <w:rFonts w:ascii="Arial" w:cs="Arial" w:eastAsia="Arial" w:hAnsi="Arial"/>
          <w:sz w:val="22"/>
          <w:szCs w:val="22"/>
        </w:rPr>
        <w:t xml:space="preserve">Technology: Massive investment in EBA-compliant APIs and Open Banking infrastructure.</w:t>
      </w:r>
    </w:p>
    <w:p>
      <w:pPr>
        <w:pStyle w:val="ListParagraph"/>
        <w:numPr>
          <w:ilvl w:val="0"/>
          <w:numId w:val="2"/>
        </w:numPr>
        <w:spacing w:after="40" w:before="40"/>
      </w:pPr>
      <w:r>
        <w:rPr>
          <w:rFonts w:ascii="Arial" w:cs="Arial" w:eastAsia="Arial" w:hAnsi="Arial"/>
          <w:sz w:val="22"/>
          <w:szCs w:val="22"/>
        </w:rPr>
        <w:t xml:space="preserve">Partnerships: Acquiring or partnering with Fintechs, turning competitors into allies through Banking-as-a-Service (BaaS).</w:t>
      </w:r>
    </w:p>
    <w:p>
      <w:pPr>
        <w:pStyle w:val="ListParagraph"/>
        <w:numPr>
          <w:ilvl w:val="0"/>
          <w:numId w:val="2"/>
        </w:numPr>
        <w:spacing w:after="40" w:before="40"/>
      </w:pPr>
      <w:r>
        <w:rPr>
          <w:rFonts w:ascii="Arial" w:cs="Arial" w:eastAsia="Arial" w:hAnsi="Arial"/>
          <w:sz w:val="22"/>
          <w:szCs w:val="22"/>
        </w:rPr>
        <w:t xml:space="preserve">Super-apps: Building proprietary digital ecosystems to offer aggregation, robo-advisory, and instant payments.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Case study: Intesa Sanpaolo</w:t>
            </w:r>
          </w:p>
          <w:p>
            <w:pPr>
              <w:spacing w:before="60"/>
            </w:pPr>
            <w:r>
              <w:rPr>
                <w:rFonts w:ascii="Arial" w:cs="Arial" w:eastAsia="Arial" w:hAnsi="Arial"/>
                <w:sz w:val="20"/>
                <w:szCs w:val="20"/>
              </w:rPr>
              <w:t xml:space="preserve">Intesa Sanpaolo responded to PSD2 by building a digital ecosystem integrating banking, insurance, and lifestyle services into one platform. This 'walled garden' strategy makes the customer experience so complete that there is little reason to turn to third parties — turning regulatory compliance into a commercial opportunity.</w:t>
            </w:r>
          </w:p>
        </w:tc>
      </w:tr>
    </w:tbl>
    <w:p>
      <w:pPr>
        <w:spacing w:after="60" w:before="60"/>
      </w:pPr>
      <w:r>
        <w:t xml:space="preserve"/>
      </w:r>
    </w:p>
    <w:p>
      <w:pPr>
        <w:pStyle w:val="Heading1"/>
        <w:spacing w:after="120" w:before="300"/>
      </w:pPr>
      <w:r>
        <w:rPr>
          <w:rFonts w:ascii="Arial" w:cs="Arial" w:eastAsia="Arial" w:hAnsi="Arial"/>
          <w:b/>
          <w:bCs/>
          <w:color w:val="1F4E79"/>
          <w:sz w:val="30"/>
          <w:szCs w:val="30"/>
        </w:rPr>
        <w:t xml:space="preserve">2. Peter Thiel, PayPal and the DNA of Fintechs</w:t>
      </w:r>
    </w:p>
    <w:p>
      <w:pPr>
        <w:pStyle w:val="Heading2"/>
        <w:spacing w:after="80" w:before="200"/>
      </w:pPr>
      <w:r>
        <w:rPr>
          <w:rFonts w:ascii="Arial" w:cs="Arial" w:eastAsia="Arial" w:hAnsi="Arial"/>
          <w:b/>
          <w:bCs/>
          <w:color w:val="2E75B6"/>
          <w:sz w:val="24"/>
          <w:szCs w:val="24"/>
        </w:rPr>
        <w:t xml:space="preserve">2.1 The Historical Precedent: PayPal</w:t>
      </w:r>
    </w:p>
    <w:p>
      <w:pPr>
        <w:spacing w:after="80" w:before="80"/>
      </w:pPr>
      <w:r>
        <w:rPr>
          <w:rFonts w:ascii="Arial" w:cs="Arial" w:eastAsia="Arial" w:hAnsi="Arial"/>
          <w:sz w:val="22"/>
          <w:szCs w:val="22"/>
        </w:rPr>
        <w:t xml:space="preserve">To understand modern Fintechs, we need to look at PayPal. Founded in 1998 by Peter Thiel, Max Levchin, and Elon Musk, PayPal was the first major case of digital financial disruption — long before the word 'Fintech' existed.</w:t>
      </w:r>
    </w:p>
    <w:p>
      <w:pPr>
        <w:spacing w:after="80" w:before="80"/>
      </w:pPr>
      <w:r>
        <w:rPr>
          <w:rFonts w:ascii="Arial" w:cs="Arial" w:eastAsia="Arial" w:hAnsi="Arial"/>
          <w:sz w:val="22"/>
          <w:szCs w:val="22"/>
        </w:rPr>
        <w:t xml:space="preserve">Thiel's original vision was radical: create a global digital currency independent of governments and central banks. PayPal did not want to improve the existing banking system — it wanted to replace it. Although this vision was softened by regulatory reality, PayPal's model anticipated by over twenty years the principles that PSD2 later codified into law.</w:t>
      </w:r>
    </w:p>
    <w:p>
      <w:pPr>
        <w:pStyle w:val="Heading2"/>
        <w:spacing w:after="80" w:before="200"/>
      </w:pPr>
      <w:r>
        <w:rPr>
          <w:rFonts w:ascii="Arial" w:cs="Arial" w:eastAsia="Arial" w:hAnsi="Arial"/>
          <w:b/>
          <w:bCs/>
          <w:color w:val="2E75B6"/>
          <w:sz w:val="24"/>
          <w:szCs w:val="24"/>
        </w:rPr>
        <w:t xml:space="preserve">2.2 The 'Zero to One' Philosophy</w:t>
      </w:r>
    </w:p>
    <w:p>
      <w:pPr>
        <w:spacing w:after="80" w:before="80"/>
      </w:pPr>
      <w:r>
        <w:rPr>
          <w:rFonts w:ascii="Arial" w:cs="Arial" w:eastAsia="Arial" w:hAnsi="Arial"/>
          <w:sz w:val="22"/>
          <w:szCs w:val="22"/>
        </w:rPr>
        <w:t xml:space="preserve">In his book Zero to One (2014), Thiel argues that true innovation does not go 'from one to n' (scaling what exists) but 'from zero to one' — creating something fundamentally new. This philosophy describes the Fintech business model perfectly.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Thiel's Principle</w:t>
            </w:r>
          </w:p>
        </w:tc>
        <w:tc>
          <w:tcPr>
            <w:tcW w:type="dxa" w:w="33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Fintech Application</w:t>
            </w:r>
          </w:p>
        </w:tc>
        <w:tc>
          <w:tcPr>
            <w:tcW w:type="dxa" w:w="33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monopoly</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Dominate a niche before expanding</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Revolut: free currency exchange as global niche</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 effects</w:t>
            </w:r>
          </w:p>
        </w:tc>
        <w:tc>
          <w:tcPr>
            <w:tcW w:type="dxa" w:w="33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Value grows with users</w:t>
            </w:r>
          </w:p>
        </w:tc>
        <w:tc>
          <w:tcPr>
            <w:tcW w:type="dxa" w:w="33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Klarna: more merchants → more users → more merchants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to one</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Don't optimise the old system — build a new one</w:t>
            </w:r>
          </w:p>
        </w:tc>
        <w:tc>
          <w:tcPr>
            <w:tcW w:type="dxa" w:w="33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N26: no branches, mobile-only native bank</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Hidden secrets</w:t>
            </w:r>
          </w:p>
        </w:tc>
        <w:tc>
          <w:tcPr>
            <w:tcW w:type="dxa" w:w="33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Exploit information asymmetries</w:t>
            </w:r>
          </w:p>
        </w:tc>
        <w:tc>
          <w:tcPr>
            <w:tcW w:type="dxa" w:w="33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Fintechs use PSD2 data that banks undervalue</w:t>
            </w:r>
          </w:p>
        </w:tc>
      </w:tr>
    </w:tbl>
    <w:p>
      <w:pPr>
        <w:spacing w:after="60" w:before="60"/>
      </w:pPr>
      <w:r>
        <w:t xml:space="preserve"/>
      </w:r>
    </w:p>
    <w:p>
      <w:pPr>
        <w:pStyle w:val="Heading2"/>
        <w:spacing w:after="80" w:before="200"/>
      </w:pPr>
      <w:r>
        <w:rPr>
          <w:rFonts w:ascii="Arial" w:cs="Arial" w:eastAsia="Arial" w:hAnsi="Arial"/>
          <w:b/>
          <w:bCs/>
          <w:color w:val="2E75B6"/>
          <w:sz w:val="24"/>
          <w:szCs w:val="24"/>
        </w:rPr>
        <w:t xml:space="preserve">2.3 From the PayPal Mafia to Big Tech Expansion</w:t>
      </w:r>
    </w:p>
    <w:p>
      <w:pPr>
        <w:spacing w:after="80" w:before="80"/>
      </w:pPr>
      <w:r>
        <w:rPr>
          <w:rFonts w:ascii="Arial" w:cs="Arial" w:eastAsia="Arial" w:hAnsi="Arial"/>
          <w:sz w:val="22"/>
          <w:szCs w:val="22"/>
        </w:rPr>
        <w:t xml:space="preserve">The 'PayPal Mafia' refers to the group of ex-PayPal employees who went on to found or fund some of Silicon Valley's most influential companies: LinkedIn (Reid Hoffman), YouTube (Chad Hurley, Steve Chen), Yelp, Palantir, Tesla, SpaceX. This shows how a technologically visionary company can have a multiplier effect on the entire innovation ecosystem.</w:t>
      </w:r>
    </w:p>
    <w:p>
      <w:pPr>
        <w:spacing w:after="80" w:before="80"/>
      </w:pPr>
      <w:r>
        <w:rPr>
          <w:rFonts w:ascii="Arial" w:cs="Arial" w:eastAsia="Arial" w:hAnsi="Arial"/>
          <w:sz w:val="22"/>
          <w:szCs w:val="22"/>
        </w:rPr>
        <w:t xml:space="preserve">Today, the true heirs of that vision are not European Fintech startups but the major global tech platforms — Meta, Apple, Google, Amazon, Microsoft — which are applying exactly Thiel's logic: dominate a niche first (social, search, e-commerce, cloud), then expand into financial services as a natural step toward monopolising the user's digital ecosystem.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Big Tech in financial markets: three expansion models</w:t>
            </w:r>
          </w:p>
          <w:p>
            <w:pPr>
              <w:spacing w:before="60"/>
            </w:pPr>
            <w:r>
              <w:rPr>
                <w:rFonts w:ascii="Arial" w:cs="Arial" w:eastAsia="Arial" w:hAnsi="Arial"/>
                <w:sz w:val="20"/>
                <w:szCs w:val="20"/>
              </w:rPr>
              <w:t xml:space="preserve">Apple: Apple Pay &amp; Apple Card — Apple didn't build a bank; it made the bank invisible in the user experience. By embedding payments in the iPhone's NFC chip and Wallet, it created a closed ecosystem where the bank is irrelevant.
Google: Google Pay &amp; Google Wallet — Google uses behavioural data from Search and Maps to offer contextual financial services. In India, it became one of the largest payment operators (100M+ users) without being a regulated bank.
Meta: WhatsApp Pay — Peer-to-peer payments integrated into WhatsApp in India and Brazil. The Libra/Diem project (later abandoned due to regulatory pressure) was an attempt at a global digital currency — exactly Thiel's original PayPal vision.
Amazon: Embedded Finance — Amazon Lending offers credit to marketplace sellers based on their sales data. Amazon Pay is present across thousands of e-commerce sites.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 The digital monopoly paradox</w:t>
            </w:r>
          </w:p>
          <w:p>
            <w:pPr>
              <w:spacing w:before="60"/>
            </w:pPr>
            <w:r>
              <w:rPr>
                <w:rFonts w:ascii="Arial" w:cs="Arial" w:eastAsia="Arial" w:hAnsi="Arial"/>
                <w:sz w:val="20"/>
                <w:szCs w:val="20"/>
              </w:rPr>
              <w:t xml:space="preserve">Thiel theorised that the best business creates a monopoly disguised as a competitive market. Big Tech is applying this to payments: Apple controls NFC access on iOS, Google dominates Android. Anyone wanting mobile payments must go through them. This is why the European Commission opened antitrust proceedings against Apple Pay in 2022, ending with commitments to open NFC access to competitors.</w:t>
            </w:r>
          </w:p>
        </w:tc>
      </w:tr>
    </w:tbl>
    <w:p>
      <w:pPr>
        <w:spacing w:after="60" w:before="60"/>
      </w:pPr>
      <w:r>
        <w:t xml:space="preserve"/>
      </w:r>
    </w:p>
    <w:p>
      <w:pPr>
        <w:pStyle w:val="Heading1"/>
        <w:spacing w:after="120" w:before="300"/>
      </w:pPr>
      <w:r>
        <w:rPr>
          <w:rFonts w:ascii="Arial" w:cs="Arial" w:eastAsia="Arial" w:hAnsi="Arial"/>
          <w:b/>
          <w:bCs/>
          <w:color w:val="1F4E79"/>
          <w:sz w:val="30"/>
          <w:szCs w:val="30"/>
        </w:rPr>
        <w:t xml:space="preserve">3. Fintech Growth in the PSD2 Era</w:t>
      </w:r>
    </w:p>
    <w:p>
      <w:pPr>
        <w:pStyle w:val="Heading2"/>
        <w:spacing w:after="80" w:before="200"/>
      </w:pPr>
      <w:r>
        <w:rPr>
          <w:rFonts w:ascii="Arial" w:cs="Arial" w:eastAsia="Arial" w:hAnsi="Arial"/>
          <w:b/>
          <w:bCs/>
          <w:color w:val="2E75B6"/>
          <w:sz w:val="24"/>
          <w:szCs w:val="24"/>
        </w:rPr>
        <w:t xml:space="preserve">3.1 Business Models: How Fintechs Make Money</w:t>
      </w:r>
    </w:p>
    <w:p>
      <w:pPr>
        <w:spacing w:after="80" w:before="80"/>
      </w:pPr>
      <w:r>
        <w:rPr>
          <w:rFonts w:ascii="Arial" w:cs="Arial" w:eastAsia="Arial" w:hAnsi="Arial"/>
          <w:sz w:val="22"/>
          <w:szCs w:val="22"/>
        </w:rPr>
        <w:t xml:space="preserve">'Fintech' refers to companies that use digital technology to offer financial services more efficiently and at lower cost than traditional banks. Their business models are varied and often combined: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400"/>
        <w:gridCol w:w="27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PSD2 Function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earns</w:t>
            </w:r>
          </w:p>
        </w:tc>
        <w:tc>
          <w:tcPr>
            <w:tcW w:type="dxa" w:w="2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Neobank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digital current 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Interchange fees, premium subscriptions, loans</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N26, Revolut, Bunq</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 Initiation (PISP)</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Trigger payments without cards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Per-transaction fee to merchant</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Klarna, TrueLayer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Aggregation (AISP)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multi-account 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subscription, anonymous data insights</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Plum, Emma, Yolt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Banking-as-a-Service (BaaS)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Banking API infrastructure for third parties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call fees, white-label licence</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Solarisbank, ClearBank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Embedded Finance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integrated into non-bank platforms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share, credit spread</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Shopify Payments, Stripe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Buy Now Pay Later (BNPL)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Instant credit at checkout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Instalments interest, merchant commission (3–6%)</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Klarna, Scalapay</w:t>
            </w:r>
          </w:p>
        </w:tc>
      </w:tr>
    </w:tbl>
    <w:p>
      <w:pPr>
        <w:spacing w:after="60" w:before="60"/>
      </w:pPr>
      <w:r>
        <w:t xml:space="preserve"/>
      </w:r>
    </w:p>
    <w:p>
      <w:pPr>
        <w:spacing w:after="80" w:before="80"/>
      </w:pPr>
      <w:r>
        <w:rPr>
          <w:rFonts w:ascii="Arial" w:cs="Arial" w:eastAsia="Arial" w:hAnsi="Arial"/>
          <w:sz w:val="22"/>
          <w:szCs w:val="22"/>
        </w:rPr>
        <w:t xml:space="preserve">A key strategy is freemium: offer the basic service for free to acquire users at low cost (using PSD2 APIs instead of building own infrastructure), then monetise through premium tiers. Revolut Metal, N26 Smart, Bunq Easy Money can generate up to 30% of total revenue. The free base service is funded by the near-zero marginal cost of digital distribution — an equation impossible for traditional banks with branch costs.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The Klarna model: BNPL as a distribution gateway</w:t>
            </w:r>
          </w:p>
          <w:p>
            <w:pPr>
              <w:spacing w:before="60"/>
            </w:pPr>
            <w:r>
              <w:rPr>
                <w:rFonts w:ascii="Arial" w:cs="Arial" w:eastAsia="Arial" w:hAnsi="Arial"/>
                <w:sz w:val="20"/>
                <w:szCs w:val="20"/>
              </w:rPr>
              <w:t xml:space="preserve">Klarna is not just a payment app — it is a commercial distribution system. By offering 'Pay in 3 instalments, interest-free', it reduces friction at checkout and increases merchant conversion by ~30%. The merchant pays a 3–5% commission. The customer pays nothing — but Klarna acquires data on every purchase, every category, every behaviour. This data becomes the real asset: used for credit scoring, insurance upsell, and predictive profiling. In 2023, Klarna reached 150 million active users in 45 countries.</w:t>
            </w:r>
          </w:p>
        </w:tc>
      </w:tr>
    </w:tbl>
    <w:p>
      <w:pPr>
        <w:spacing w:after="60" w:before="60"/>
      </w:pPr>
      <w:r>
        <w:t xml:space="preserve"/>
      </w:r>
    </w:p>
    <w:p>
      <w:pPr>
        <w:pStyle w:val="Heading2"/>
        <w:spacing w:after="80" w:before="200"/>
      </w:pPr>
      <w:r>
        <w:rPr>
          <w:rFonts w:ascii="Arial" w:cs="Arial" w:eastAsia="Arial" w:hAnsi="Arial"/>
          <w:b/>
          <w:bCs/>
          <w:color w:val="2E75B6"/>
          <w:sz w:val="24"/>
          <w:szCs w:val="24"/>
        </w:rPr>
        <w:t xml:space="preserve">3.2 Revolut vs N26: A Comparison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Revolut</w:t>
            </w:r>
          </w:p>
        </w:tc>
        <w:tc>
          <w:tcPr>
            <w:tcW w:type="dxa" w:w="3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Founded</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2015, London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2013, Berlin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Users (2024)</w:t>
            </w:r>
          </w:p>
        </w:tc>
        <w:tc>
          <w:tcPr>
            <w:tcW w:type="dxa" w:w="3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45M+ globally</w:t>
            </w:r>
          </w:p>
        </w:tc>
        <w:tc>
          <w:tcPr>
            <w:tcW w:type="dxa" w:w="3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8M+ in Europe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PSD2 role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AISP + PISP: aggregates accounts and initiates payments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Neobank: native account without branches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it earns</w:t>
            </w:r>
          </w:p>
        </w:tc>
        <w:tc>
          <w:tcPr>
            <w:tcW w:type="dxa" w:w="3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Premium Metal/Gold, crypto, stock trading, BaaS</w:t>
            </w:r>
          </w:p>
        </w:tc>
        <w:tc>
          <w:tcPr>
            <w:tcW w:type="dxa" w:w="3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Smart/You/Metal plans, consumer credit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Thiel strategy</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niche → service expansion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Radical simplicity as entry barrier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Valuation</w:t>
            </w:r>
          </w:p>
        </w:tc>
        <w:tc>
          <w:tcPr>
            <w:tcW w:type="dxa" w:w="3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~$45 billion USD (2024)</w:t>
            </w:r>
          </w:p>
        </w:tc>
        <w:tc>
          <w:tcPr>
            <w:tcW w:type="dxa" w:w="3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 billion USD (2021)</w:t>
            </w:r>
          </w:p>
        </w:tc>
      </w:tr>
    </w:tbl>
    <w:p>
      <w:pPr>
        <w:spacing w:after="60" w:before="60"/>
      </w:pPr>
      <w:r>
        <w:t xml:space="preserve"/>
      </w:r>
    </w:p>
    <w:p>
      <w:pPr>
        <w:pStyle w:val="Heading1"/>
        <w:spacing w:after="120" w:before="300"/>
      </w:pPr>
      <w:r>
        <w:rPr>
          <w:rFonts w:ascii="Arial" w:cs="Arial" w:eastAsia="Arial" w:hAnsi="Arial"/>
          <w:b/>
          <w:bCs/>
          <w:color w:val="1F4E79"/>
          <w:sz w:val="30"/>
          <w:szCs w:val="30"/>
        </w:rPr>
        <w:t xml:space="preserve">4. Impact on Consumers</w:t>
      </w:r>
    </w:p>
    <w:p>
      <w:pPr>
        <w:pStyle w:val="Heading2"/>
        <w:spacing w:after="80" w:before="200"/>
      </w:pPr>
      <w:r>
        <w:rPr>
          <w:rFonts w:ascii="Arial" w:cs="Arial" w:eastAsia="Arial" w:hAnsi="Arial"/>
          <w:b/>
          <w:bCs/>
          <w:color w:val="2E75B6"/>
          <w:sz w:val="24"/>
          <w:szCs w:val="24"/>
        </w:rPr>
        <w:t xml:space="preserve">4.1 Benefits, Risks and Real Fraud Cases</w:t>
      </w:r>
    </w:p>
    <w:p>
      <w:pPr>
        <w:spacing w:after="80" w:before="80"/>
      </w:pPr>
      <w:r>
        <w:rPr>
          <w:rFonts w:ascii="Arial" w:cs="Arial" w:eastAsia="Arial" w:hAnsi="Arial"/>
          <w:sz w:val="22"/>
          <w:szCs w:val="22"/>
        </w:rPr>
        <w:t xml:space="preserve">PSD2 has produced clear benefits for European consumers. The introduction of Strong Customer Authentication (SCA) — mandatory two-factor verification for every transaction — has significantly reduced 'card not present' fraud. However, the opening of the market has also introduced new risks.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Consumer Benefits</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Risks and Issues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choice of financial providers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Overexposure of personal and financial data</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Lower fees and transaction costs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Phishing and advanced social engineering (vishing)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Integrated financial management tools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Fraud: authorised transfers to fraudster accounts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Instant and low-cost cross-border payments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Digital exclusion for non-tech-savvy users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 transparency (surcharge ban)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Dependence on private digital infrastructure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Real fraud cases driving the need for PSD3</w:t>
            </w:r>
          </w:p>
          <w:p>
            <w:pPr>
              <w:spacing w:before="60"/>
            </w:pPr>
            <w:r>
              <w:rPr>
                <w:rFonts w:ascii="Arial" w:cs="Arial" w:eastAsia="Arial" w:hAnsi="Arial"/>
                <w:sz w:val="20"/>
                <w:szCs w:val="20"/>
              </w:rPr>
              <w:t xml:space="preserve">APP Fraud (Authorised Push Payment): The most common scam in the PSD2 era. Fraudsters impersonate bank operators or service providers and convince users to authorise a transfer to a fraudster's account. In the UK, APP Fraud losses exceeded £485 million in 2022. SCA protects against unauthorised access, but not against users who authorise transfers willingly — even if deceived.
Revolut phishing (2022): Criminals replicated Revolut's interface via fraudulent SMS (smishing), asking users to re-authenticate through a fake link. Thousands entered their credentials. This highlighted the vulnerability of SMS-based authentication.
Wirecard scandal (2020): Wirecard, a major European payment processor and PSD2 licensee, went bankrupt after falsifying €1.9 billion in assets. Millions of Fintech users who relied on Wirecard as backend (including Curve, Anna Money, Pockit) had their cards suddenly blocked.
AI/Deepfake fraud: With generative AI, deepfake audio and video have been used to bypass biometric verification (KYC) on some BNPL platforms, opening fraudulent accounts for credit purchases. This was not foreseen by PSD2.</w:t>
            </w:r>
          </w:p>
        </w:tc>
      </w:tr>
    </w:tbl>
    <w:p>
      <w:pPr>
        <w:spacing w:after="60" w:before="60"/>
      </w:pPr>
      <w:r>
        <w:t xml:space="preserve"/>
      </w:r>
    </w:p>
    <w:p>
      <w:pPr>
        <w:pStyle w:val="Heading2"/>
        <w:spacing w:after="80" w:before="200"/>
      </w:pPr>
      <w:r>
        <w:rPr>
          <w:rFonts w:ascii="Arial" w:cs="Arial" w:eastAsia="Arial" w:hAnsi="Arial"/>
          <w:b/>
          <w:bCs/>
          <w:color w:val="2E75B6"/>
          <w:sz w:val="24"/>
          <w:szCs w:val="24"/>
        </w:rPr>
        <w:t xml:space="preserve">4.2 Tension with GDPR</w:t>
      </w:r>
    </w:p>
    <w:p>
      <w:pPr>
        <w:spacing w:after="80" w:before="80"/>
      </w:pPr>
      <w:r>
        <w:rPr>
          <w:rFonts w:ascii="Arial" w:cs="Arial" w:eastAsia="Arial" w:hAnsi="Arial"/>
          <w:sz w:val="22"/>
          <w:szCs w:val="22"/>
        </w:rPr>
        <w:t xml:space="preserve">PSD2 data consent creates structural tension with the GDPR (EU 2016/679). While customers are legally the owners of their financial data, the consent mechanism — often mediated by interfaces designed to maximise acceptance ('dark patterns') — risks turning freedom of choice into an unwitting surrender of sensitive financial information.</w:t>
      </w:r>
    </w:p>
    <w:p>
      <w:pPr>
        <w:spacing w:after="80" w:before="80"/>
      </w:pPr>
      <w:r>
        <w:rPr>
          <w:rFonts w:ascii="Arial" w:cs="Arial" w:eastAsia="Arial" w:hAnsi="Arial"/>
          <w:sz w:val="22"/>
          <w:szCs w:val="22"/>
        </w:rPr>
        <w:t xml:space="preserve">PSD2 allows AISPs to collect account data on customer consent. GDPR requires this consent to be free, specific, informed, and unambiguous. In practice, many aggregation apps request generic and permanent consent, violating GDPR's data minimisation principle and the easy revocability required by Article 7.</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7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CNIL vs Google (€50M, 2019)</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fined for non-transparent consent collection during Android setup — a direct benchmark for PSD2 Fintechs.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Banking Ltd vs ICO (UK, 2021)</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ICO investigated whether Open Banking APIs enabled disproportionate data collection, sparking debate on 'purpose limitation' for banking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patterns (Italian DPA, 2022)</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Italian Privacy Authority flagged financial apps using deceptive interfaces where 'allow all' was prominent and refusal buttons were hidden. Violations can lead to fines of up to 4% of global revenue.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Purpose limitation</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 an AISP that aggregates data to show balances also use it for commercial profiling? PSD2 says yes with consent; GDPR requires separate consent for each purpose. Fintechs often operate in this grey area.</w:t>
            </w:r>
          </w:p>
        </w:tc>
      </w:tr>
    </w:tbl>
    <w:p>
      <w:pPr>
        <w:spacing w:after="60" w:before="60"/>
      </w:pPr>
      <w:r>
        <w:t xml:space="preserve"/>
      </w:r>
    </w:p>
    <w:p>
      <w:pPr>
        <w:pStyle w:val="Heading1"/>
        <w:spacing w:after="120" w:before="300"/>
      </w:pPr>
      <w:r>
        <w:rPr>
          <w:rFonts w:ascii="Arial" w:cs="Arial" w:eastAsia="Arial" w:hAnsi="Arial"/>
          <w:b/>
          <w:bCs/>
          <w:color w:val="1F4E79"/>
          <w:sz w:val="30"/>
          <w:szCs w:val="30"/>
        </w:rPr>
        <w:t xml:space="preserve">5. Macroeconomic Impact</w:t>
      </w:r>
    </w:p>
    <w:p>
      <w:pPr>
        <w:pStyle w:val="Heading2"/>
        <w:spacing w:after="80" w:before="200"/>
      </w:pPr>
      <w:r>
        <w:rPr>
          <w:rFonts w:ascii="Arial" w:cs="Arial" w:eastAsia="Arial" w:hAnsi="Arial"/>
          <w:b/>
          <w:bCs/>
          <w:color w:val="2E75B6"/>
          <w:sz w:val="24"/>
          <w:szCs w:val="24"/>
        </w:rPr>
        <w:t xml:space="preserve">5.1 Digitalisation and Decline of Cash</w:t>
      </w:r>
    </w:p>
    <w:p>
      <w:pPr>
        <w:spacing w:after="80" w:before="80"/>
      </w:pPr>
      <w:r>
        <w:rPr>
          <w:rFonts w:ascii="Arial" w:cs="Arial" w:eastAsia="Arial" w:hAnsi="Arial"/>
          <w:sz w:val="22"/>
          <w:szCs w:val="22"/>
        </w:rPr>
        <w:t xml:space="preserve">At the macroeconomic level, PSD2 has acted as a structural accelerator of the transition to a digital economy. The ECB has recorded a progressive decrease in cash use in countries that rapidly adopted instant payment systems (SCT Inst). In Italy, the acceleration was particularly significant after 2020, supported by tax incentives linked to traceable payments.</w:t>
      </w:r>
    </w:p>
    <w:p>
      <w:pPr>
        <w:pStyle w:val="Heading2"/>
        <w:spacing w:after="80" w:before="200"/>
      </w:pPr>
      <w:r>
        <w:rPr>
          <w:rFonts w:ascii="Arial" w:cs="Arial" w:eastAsia="Arial" w:hAnsi="Arial"/>
          <w:b/>
          <w:bCs/>
          <w:color w:val="2E75B6"/>
          <w:sz w:val="24"/>
          <w:szCs w:val="24"/>
        </w:rPr>
        <w:t xml:space="preserve">5.2 Tax Evasion Reduction</w:t>
      </w:r>
    </w:p>
    <w:p>
      <w:pPr>
        <w:spacing w:after="80" w:before="80"/>
      </w:pPr>
      <w:r>
        <w:rPr>
          <w:rFonts w:ascii="Arial" w:cs="Arial" w:eastAsia="Arial" w:hAnsi="Arial"/>
          <w:sz w:val="22"/>
          <w:szCs w:val="22"/>
        </w:rPr>
        <w:t xml:space="preserve">Every electronic transaction leaves a verifiable digital footprint, structurally reducing the space for the shadow economy. Italy's tax authority (Agenzia delle Entrate) has increasingly used this traceability for data cross-referencing and voluntary compliance, through mechanisms like the receipt lottery and cashback. This shows how PSD2 — born as a payments directive — cascades into the entire tax system.</w:t>
      </w:r>
    </w:p>
    <w:p>
      <w:pPr>
        <w:pStyle w:val="Heading2"/>
        <w:spacing w:after="80" w:before="200"/>
      </w:pPr>
      <w:r>
        <w:rPr>
          <w:rFonts w:ascii="Arial" w:cs="Arial" w:eastAsia="Arial" w:hAnsi="Arial"/>
          <w:b/>
          <w:bCs/>
          <w:color w:val="2E75B6"/>
          <w:sz w:val="24"/>
          <w:szCs w:val="24"/>
        </w:rPr>
        <w:t xml:space="preserve">5.3 Embedded Finance and Big Tech</w:t>
      </w:r>
    </w:p>
    <w:p>
      <w:pPr>
        <w:spacing w:after="80" w:before="80"/>
      </w:pPr>
      <w:r>
        <w:rPr>
          <w:rFonts w:ascii="Arial" w:cs="Arial" w:eastAsia="Arial" w:hAnsi="Arial"/>
          <w:sz w:val="22"/>
          <w:szCs w:val="22"/>
        </w:rPr>
        <w:t xml:space="preserve">The most advanced concept born from the PSD2 ecosystem is Embedded Finance: the invisible integration of financial services into non-banking platforms. The paradox is that the most advanced operators in Embedded Finance are not Fintechs but Big Tech companies, whose distribution infrastructure is orders of magnitude larger.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Thiel's prophetic vision on Embedded Finance</w:t>
            </w:r>
          </w:p>
          <w:p>
            <w:pPr>
              <w:spacing w:before="60"/>
            </w:pPr>
            <w:r>
              <w:rPr>
                <w:rFonts w:ascii="Arial" w:cs="Arial" w:eastAsia="Arial" w:hAnsi="Arial"/>
                <w:sz w:val="20"/>
                <w:szCs w:val="20"/>
              </w:rPr>
              <w:t xml:space="preserve">Thiel theorised that the future of payments would not be a 'super digital bank', but the dissolution of finance as a separate sector — with financial services invisibly integrated into every consumer experience. Embedded Finance is exactly that: finance becomes invisible infrastructure. Amazon applies it with merchant credit; Apple with in-app payments; Shopify with sales data-based loans. PSD2 created the technical and legal conditions in Europe for this transition to become possible.</w:t>
            </w:r>
          </w:p>
        </w:tc>
      </w:tr>
    </w:tbl>
    <w:p>
      <w:pPr>
        <w:spacing w:after="60" w:before="60"/>
      </w:pPr>
      <w:r>
        <w:t xml:space="preserve"/>
      </w:r>
    </w:p>
    <w:p>
      <w:pPr>
        <w:pStyle w:val="Heading1"/>
        <w:spacing w:after="120" w:before="300"/>
      </w:pPr>
      <w:r>
        <w:rPr>
          <w:rFonts w:ascii="Arial" w:cs="Arial" w:eastAsia="Arial" w:hAnsi="Arial"/>
          <w:b/>
          <w:bCs/>
          <w:color w:val="1F4E79"/>
          <w:sz w:val="30"/>
          <w:szCs w:val="30"/>
        </w:rPr>
        <w:t xml:space="preserve">6. Future Evolution: PSD3</w:t>
      </w:r>
    </w:p>
    <w:p>
      <w:pPr>
        <w:pStyle w:val="Heading2"/>
        <w:spacing w:after="80" w:before="200"/>
      </w:pPr>
      <w:r>
        <w:rPr>
          <w:rFonts w:ascii="Arial" w:cs="Arial" w:eastAsia="Arial" w:hAnsi="Arial"/>
          <w:b/>
          <w:bCs/>
          <w:color w:val="2E75B6"/>
          <w:sz w:val="24"/>
          <w:szCs w:val="24"/>
        </w:rPr>
        <w:t xml:space="preserve">6.1 Why a Revision is Needed</w:t>
      </w:r>
    </w:p>
    <w:p>
      <w:pPr>
        <w:spacing w:after="80" w:before="80"/>
      </w:pPr>
      <w:r>
        <w:rPr>
          <w:rFonts w:ascii="Arial" w:cs="Arial" w:eastAsia="Arial" w:hAnsi="Arial"/>
          <w:sz w:val="22"/>
          <w:szCs w:val="22"/>
        </w:rPr>
        <w:t xml:space="preserve">In June 2023, the European Commission published the PSD3 proposal, alongside a Payment Services Regulation (PSR). The analysis of PSD2's shortfalls identifies four critical areas:</w:t>
      </w:r>
    </w:p>
    <w:p>
      <w:pPr>
        <w:pStyle w:val="ListParagraph"/>
        <w:numPr>
          <w:ilvl w:val="0"/>
          <w:numId w:val="2"/>
        </w:numPr>
        <w:spacing w:after="40" w:before="40"/>
      </w:pPr>
      <w:r>
        <w:rPr>
          <w:rFonts w:ascii="Arial" w:cs="Arial" w:eastAsia="Arial" w:hAnsi="Arial"/>
          <w:sz w:val="22"/>
          <w:szCs w:val="22"/>
        </w:rPr>
        <w:t xml:space="preserve">Fraud is still rising despite SCA: APP Fraud and deepfake KYC show that strong authentication protects against unauthorised access but not against psychological manipulation. Authorised fraud losses in Europe exceeded €1.17 billion in 2022. PSD3 introduces shared liability between banks and merchants for APP Fraud cases.</w:t>
      </w:r>
    </w:p>
    <w:p>
      <w:pPr>
        <w:pStyle w:val="ListParagraph"/>
        <w:numPr>
          <w:ilvl w:val="0"/>
          <w:numId w:val="2"/>
        </w:numPr>
        <w:spacing w:after="40" w:before="40"/>
      </w:pPr>
      <w:r>
        <w:rPr>
          <w:rFonts w:ascii="Arial" w:cs="Arial" w:eastAsia="Arial" w:hAnsi="Arial"/>
          <w:sz w:val="22"/>
          <w:szCs w:val="22"/>
        </w:rPr>
        <w:t xml:space="preserve">Underdeveloped Open Banking: Bank APIs often offered minimal technical standards, limiting the Fintech innovation the directive intended. Many banks deliberately implemented slow or poorly documented APIs to discourage competitors.</w:t>
      </w:r>
    </w:p>
    <w:p>
      <w:pPr>
        <w:pStyle w:val="ListParagraph"/>
        <w:numPr>
          <w:ilvl w:val="0"/>
          <w:numId w:val="2"/>
        </w:numPr>
        <w:spacing w:after="40" w:before="40"/>
      </w:pPr>
      <w:r>
        <w:rPr>
          <w:rFonts w:ascii="Arial" w:cs="Arial" w:eastAsia="Arial" w:hAnsi="Arial"/>
          <w:sz w:val="22"/>
          <w:szCs w:val="22"/>
        </w:rPr>
        <w:t xml:space="preserve">Asymmetry with Big Tech: Apple Pay and Google Pay partially escape the PSD2 framework by operating on proprietary platforms. The EU antitrust investigation into Apple (2022–2024) confirmed that exclusive NFC control creates an unregulated competitive advantage. PSD3 will require open NFC access for all authorised providers.</w:t>
      </w:r>
    </w:p>
    <w:p>
      <w:pPr>
        <w:pStyle w:val="ListParagraph"/>
        <w:numPr>
          <w:ilvl w:val="0"/>
          <w:numId w:val="2"/>
        </w:numPr>
        <w:spacing w:after="40" w:before="40"/>
      </w:pPr>
      <w:r>
        <w:rPr>
          <w:rFonts w:ascii="Arial" w:cs="Arial" w:eastAsia="Arial" w:hAnsi="Arial"/>
          <w:sz w:val="22"/>
          <w:szCs w:val="22"/>
        </w:rPr>
        <w:t xml:space="preserve">GDPR coordination: PSD3 introduces harmonised standards for PSD2-GDPR consent, reducing the grey area of dark patterns and requiring Fintechs to explicitly separate consent for different purposes.</w:t>
      </w:r>
    </w:p>
    <w:p>
      <w:pPr>
        <w:pStyle w:val="Heading2"/>
        <w:spacing w:after="80" w:before="200"/>
      </w:pPr>
      <w:r>
        <w:rPr>
          <w:rFonts w:ascii="Arial" w:cs="Arial" w:eastAsia="Arial" w:hAnsi="Arial"/>
          <w:b/>
          <w:bCs/>
          <w:color w:val="2E75B6"/>
          <w:sz w:val="24"/>
          <w:szCs w:val="24"/>
        </w:rPr>
        <w:t xml:space="preserve">6.2 Towards a New Balance</w:t>
      </w:r>
    </w:p>
    <w:p>
      <w:pPr>
        <w:spacing w:after="80" w:before="80"/>
      </w:pPr>
      <w:r>
        <w:rPr>
          <w:rFonts w:ascii="Arial" w:cs="Arial" w:eastAsia="Arial" w:hAnsi="Arial"/>
          <w:sz w:val="22"/>
          <w:szCs w:val="22"/>
        </w:rPr>
        <w:t xml:space="preserve">PSD3 aims to close these gaps through: harmonised and mandatory API standards across Europe; extended scope covering digital wallets and cryptocurrencies (in coordination with the MiCA Regulation); stronger anti-fraud protections with extended liability for tech platforms; and the obligation for smartphone manufacturers to open NFC access. The goal is to consolidate PSD2's gains without allowing technological concentration in the hands of a few large operators to reproduce, in digital form, the same oligopolies the directive aimed to overcome.</w:t>
      </w:r>
    </w:p>
    <w:p>
      <w:pPr>
        <w:spacing w:after="60" w:before="60"/>
      </w:pPr>
      <w:r>
        <w:t xml:space="preserve"/>
      </w:r>
    </w:p>
    <w:p>
      <w:pPr>
        <w:pStyle w:val="Heading1"/>
        <w:spacing w:after="120" w:before="300"/>
      </w:pPr>
      <w:r>
        <w:rPr>
          <w:rFonts w:ascii="Arial" w:cs="Arial" w:eastAsia="Arial" w:hAnsi="Arial"/>
          <w:b/>
          <w:bCs/>
          <w:color w:val="1F4E79"/>
          <w:sz w:val="30"/>
          <w:szCs w:val="30"/>
        </w:rPr>
        <w:t xml:space="preserve">7. Interdisciplinary Summary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Discipline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Concept</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Connection to PSD2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directive, consumer protection, TPP regulation</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framework enabling Open Banking and new players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 Economics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Innovative business models, competition, disruption</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Fintechs vs banks vs Big Tech; Thiel's theory applied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Computer Science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 SCA, cryptography, machine learning</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infrastructure making Open Banking possible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Civic Education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Privacy, tax evasion, digital citizenship</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Social impact of digital payments; GDPR and dark patterns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History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PayPal, PayPal Mafia, Silicon Valley, Big Tech</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Cultural DNA of Fintechs and monopoly dynamics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Conclusion</w:t>
            </w:r>
          </w:p>
          <w:p>
            <w:pPr>
              <w:spacing w:before="60"/>
            </w:pPr>
            <w:r>
              <w:rPr>
                <w:rFonts w:ascii="Arial" w:cs="Arial" w:eastAsia="Arial" w:hAnsi="Arial"/>
                <w:sz w:val="20"/>
                <w:szCs w:val="20"/>
              </w:rPr>
              <w:t xml:space="preserve">PSD2 is far more than a payments directive: it is the legal codification of a vision for an open and competitive digital economy. The parallel with Thiel's entrepreneurial philosophy is not accidental — it is structural. Just as PayPal did not want to improve money transfers but to reinvent them, the Fintechs born in the PSD2 ecosystem do not optimise the traditional bank: they redefine it.
The real challenge in the coming years is not between banks and Fintechs — but between the regulated European ecosystem and the global Big Tech companies applying Thiel's monopoly logic on a planetary scale. PSD3, with its NFC opening and GDPR coordination, is Europe's attempt to ensure that this openness produces real benefits for consumers, without technological concentration reproducing — in digital form — the same oligopolies the directive set out to dismantle.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2026-04-19T12:56:57.377Z</dcterms:created>
  <dcterms:modified xsi:type="dcterms:W3CDTF">2026-04-19T12:56:57.378Z</dcterms:modified>
</cp:coreProperties>
</file>

<file path=docProps/custom.xml><?xml version="1.0" encoding="utf-8"?>
<Properties xmlns="http://schemas.openxmlformats.org/officeDocument/2006/custom-properties" xmlns:vt="http://schemas.openxmlformats.org/officeDocument/2006/docPropsVTypes"/>
</file>