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Arial" w:cs="Arial" w:eastAsia="Arial" w:hAnsi="Arial"/>
          <w:b/>
          <w:bCs/>
          <w:color w:val="1F4E79"/>
          <w:sz w:val="34"/>
          <w:szCs w:val="34"/>
        </w:rPr>
        <w:t xml:space="preserve">PSD2 — Economic &amp; Strategic Impact</w:t>
      </w:r>
    </w:p>
    <w:p>
      <w:pPr>
        <w:spacing w:after="200" w:before="0"/>
        <w:jc w:val="center"/>
      </w:pPr>
      <w:r>
        <w:rPr>
          <w:rFonts w:ascii="Arial" w:cs="Arial" w:eastAsia="Arial" w:hAnsi="Arial"/>
          <w:color w:val="2E75B6"/>
          <w:sz w:val="22"/>
          <w:szCs w:val="22"/>
        </w:rPr>
        <w:t xml:space="preserve">Big Tech, Fintech and the Future of Digital Payments</w:t>
      </w:r>
    </w:p>
    <w:p>
      <w:pPr>
        <w:spacing w:after="60" w:before="60"/>
      </w:pPr>
      <w:r>
        <w:rPr>
          <w:rFonts w:ascii="Arial" w:cs="Arial" w:eastAsia="Arial" w:hAnsi="Arial"/>
          <w:sz w:val="21"/>
          <w:szCs w:val="21"/>
        </w:rPr>
        <w:t xml:space="preserve">PSD2 is not just a technical regulation on electronic payments — it is the legal engine of a competitive revolution that reshaped the European financial sector. This document covers: impact on banks, Fintech business models, Big Tech expansion, consumer risks, GDPR tensions, macroeconomic effects, and the upcoming PSD3.</w:t>
      </w:r>
    </w:p>
    <w:p>
      <w:pPr>
        <w:spacing w:after="40" w:before="40"/>
      </w:pPr>
      <w:r>
        <w:t xml:space="preserve"/>
      </w:r>
    </w:p>
    <w:p>
      <w:pPr>
        <w:pStyle w:val="Heading1"/>
        <w:spacing w:after="100" w:before="280"/>
      </w:pPr>
      <w:r>
        <w:rPr>
          <w:rFonts w:ascii="Arial" w:cs="Arial" w:eastAsia="Arial" w:hAnsi="Arial"/>
          <w:b/>
          <w:bCs/>
          <w:color w:val="1F4E79"/>
          <w:sz w:val="28"/>
          <w:szCs w:val="28"/>
        </w:rPr>
        <w:t xml:space="preserve">1. Impact on Traditional Banks</w:t>
      </w:r>
    </w:p>
    <w:p>
      <w:pPr>
        <w:spacing w:after="60" w:before="60"/>
      </w:pPr>
      <w:r>
        <w:rPr>
          <w:rFonts w:ascii="Arial" w:cs="Arial" w:eastAsia="Arial" w:hAnsi="Arial"/>
          <w:sz w:val="21"/>
          <w:szCs w:val="21"/>
        </w:rPr>
        <w:t xml:space="preserve">Before PSD2, banks had a monopoly over their customers' financial data. Clients were locked in. PSD2 changed this: it established in law that financial data belongs to the customer, not the bank.</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20"/>
                <w:szCs w:val="20"/>
              </w:rPr>
              <w:t xml:space="preserve">Before PSD2</w:t>
            </w:r>
          </w:p>
        </w:tc>
        <w:tc>
          <w:tcPr>
            <w:tcW w:type="dxa" w:w="4513"/>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20"/>
                <w:szCs w:val="20"/>
              </w:rPr>
              <w:t xml:space="preserve">After PSD2</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Customer data = exclusive bank property</w:t>
            </w:r>
          </w:p>
        </w:tc>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Data belongs to the customer, shareable with third parties</w:t>
            </w:r>
          </w:p>
        </w:tc>
      </w:tr>
      <w:tr>
        <w:tc>
          <w:tcPr>
            <w:tcW w:type="dxa" w:w="4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Account access only via bank's own app</w:t>
            </w:r>
          </w:p>
        </w:tc>
        <w:tc>
          <w:tcPr>
            <w:tcW w:type="dxa" w:w="4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Third-party apps can access accounts too</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Protected banking oligopoly</w:t>
            </w:r>
          </w:p>
        </w:tc>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Open market: Fintechs and Big Tech can compete</w:t>
            </w:r>
          </w:p>
        </w:tc>
      </w:tr>
      <w:tr>
        <w:tc>
          <w:tcPr>
            <w:tcW w:type="dxa" w:w="4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Innovation slow and internal</w:t>
            </w:r>
          </w:p>
        </w:tc>
        <w:tc>
          <w:tcPr>
            <w:tcW w:type="dxa" w:w="4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Innovation fast, external, competitive</w:t>
            </w:r>
          </w:p>
        </w:tc>
      </w:tr>
    </w:tbl>
    <w:p>
      <w:pPr>
        <w:spacing w:after="40" w:before="40"/>
      </w:pPr>
      <w:r>
        <w:t xml:space="preserve"/>
      </w:r>
    </w:p>
    <w:p>
      <w:pPr>
        <w:spacing w:after="60" w:before="60"/>
      </w:pPr>
      <w:r>
        <w:rPr>
          <w:rFonts w:ascii="Arial" w:cs="Arial" w:eastAsia="Arial" w:hAnsi="Arial"/>
          <w:sz w:val="21"/>
          <w:szCs w:val="21"/>
        </w:rPr>
        <w:t xml:space="preserve">Banks responded in three ways: (1) massive investment in Open Banking APIs; (2) acquiring or partnering with Fintechs (Banking-as-a-Service); (3) building super-apps to keep customers inside their own ecosystem.</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bCs/>
                <w:color w:val="1F4E79"/>
                <w:sz w:val="21"/>
                <w:szCs w:val="21"/>
              </w:rPr>
              <w:t xml:space="preserve">Example: Intesa Sanpaolo</w:t>
            </w:r>
          </w:p>
          <w:p>
            <w:pPr>
              <w:spacing w:before="40"/>
            </w:pPr>
            <w:r>
              <w:rPr>
                <w:rFonts w:ascii="Arial" w:cs="Arial" w:eastAsia="Arial" w:hAnsi="Arial"/>
                <w:sz w:val="20"/>
                <w:szCs w:val="20"/>
              </w:rPr>
              <w:t xml:space="preserve">Intesa built a digital platform integrating banking, insurance, and lifestyle services. The goal: make the experience so complete that customers have no reason to go to third parties. Regulatory pressure turned into commercial opportunity.</w:t>
            </w:r>
          </w:p>
        </w:tc>
      </w:tr>
    </w:tbl>
    <w:p>
      <w:pPr>
        <w:spacing w:after="40" w:before="40"/>
      </w:pPr>
      <w:r>
        <w:t xml:space="preserve"/>
      </w:r>
    </w:p>
    <w:p>
      <w:pPr>
        <w:pStyle w:val="Heading1"/>
        <w:spacing w:after="100" w:before="280"/>
      </w:pPr>
      <w:r>
        <w:rPr>
          <w:rFonts w:ascii="Arial" w:cs="Arial" w:eastAsia="Arial" w:hAnsi="Arial"/>
          <w:b/>
          <w:bCs/>
          <w:color w:val="1F4E79"/>
          <w:sz w:val="28"/>
          <w:szCs w:val="28"/>
        </w:rPr>
        <w:t xml:space="preserve">2. Peter Thiel, PayPal and the Fintech DNA</w:t>
      </w:r>
    </w:p>
    <w:p>
      <w:pPr>
        <w:pStyle w:val="Heading2"/>
        <w:spacing w:after="60" w:before="160"/>
      </w:pPr>
      <w:r>
        <w:rPr>
          <w:rFonts w:ascii="Arial" w:cs="Arial" w:eastAsia="Arial" w:hAnsi="Arial"/>
          <w:b/>
          <w:bCs/>
          <w:color w:val="2E75B6"/>
          <w:sz w:val="23"/>
          <w:szCs w:val="23"/>
        </w:rPr>
        <w:t xml:space="preserve">2.1 PayPal as the first Fintech</w:t>
      </w:r>
    </w:p>
    <w:p>
      <w:pPr>
        <w:spacing w:after="60" w:before="60"/>
      </w:pPr>
      <w:r>
        <w:rPr>
          <w:rFonts w:ascii="Arial" w:cs="Arial" w:eastAsia="Arial" w:hAnsi="Arial"/>
          <w:sz w:val="21"/>
          <w:szCs w:val="21"/>
        </w:rPr>
        <w:t xml:space="preserve">PayPal (founded 1998 by Thiel, Levchin, and Musk) was the first case of digital financial disruption — before the word 'Fintech' even existed. Thiel's original vision: create a global digital currency independent of governments and banks. PayPal didn't want to improve the banking system; it wanted to replace it.</w:t>
      </w:r>
    </w:p>
    <w:p>
      <w:pPr>
        <w:pStyle w:val="Heading2"/>
        <w:spacing w:after="60" w:before="160"/>
      </w:pPr>
      <w:r>
        <w:rPr>
          <w:rFonts w:ascii="Arial" w:cs="Arial" w:eastAsia="Arial" w:hAnsi="Arial"/>
          <w:b/>
          <w:bCs/>
          <w:color w:val="2E75B6"/>
          <w:sz w:val="23"/>
          <w:szCs w:val="23"/>
        </w:rPr>
        <w:t xml:space="preserve">2.2 The 'Zero to One' Philosophy</w:t>
      </w:r>
    </w:p>
    <w:p>
      <w:pPr>
        <w:spacing w:after="60" w:before="60"/>
      </w:pPr>
      <w:r>
        <w:rPr>
          <w:rFonts w:ascii="Arial" w:cs="Arial" w:eastAsia="Arial" w:hAnsi="Arial"/>
          <w:sz w:val="21"/>
          <w:szCs w:val="21"/>
        </w:rPr>
        <w:t xml:space="preserve">In Zero to One (2014), Thiel argues that real innovation doesn't scale what already exists — it creates something fundamentally new. Applied to Fintechs:</w:t>
      </w:r>
    </w:p>
    <w:p>
      <w:pPr>
        <w:pStyle w:val="ListParagraph"/>
        <w:numPr>
          <w:ilvl w:val="0"/>
          <w:numId w:val="2"/>
        </w:numPr>
        <w:spacing w:after="30" w:before="30"/>
      </w:pPr>
      <w:r>
        <w:rPr>
          <w:rFonts w:ascii="Arial" w:cs="Arial" w:eastAsia="Arial" w:hAnsi="Arial"/>
          <w:sz w:val="21"/>
          <w:szCs w:val="21"/>
        </w:rPr>
        <w:t xml:space="preserve">Dominate a niche first, then expand — Revolut started with free currency exchange</w:t>
      </w:r>
    </w:p>
    <w:p>
      <w:pPr>
        <w:pStyle w:val="ListParagraph"/>
        <w:numPr>
          <w:ilvl w:val="0"/>
          <w:numId w:val="2"/>
        </w:numPr>
        <w:spacing w:after="30" w:before="30"/>
      </w:pPr>
      <w:r>
        <w:rPr>
          <w:rFonts w:ascii="Arial" w:cs="Arial" w:eastAsia="Arial" w:hAnsi="Arial"/>
          <w:sz w:val="21"/>
          <w:szCs w:val="21"/>
        </w:rPr>
        <w:t xml:space="preserve">Network effects: the more users, the more valuable — Klarna grows as more merchants join</w:t>
      </w:r>
    </w:p>
    <w:p>
      <w:pPr>
        <w:pStyle w:val="ListParagraph"/>
        <w:numPr>
          <w:ilvl w:val="0"/>
          <w:numId w:val="2"/>
        </w:numPr>
        <w:spacing w:after="30" w:before="30"/>
      </w:pPr>
      <w:r>
        <w:rPr>
          <w:rFonts w:ascii="Arial" w:cs="Arial" w:eastAsia="Arial" w:hAnsi="Arial"/>
          <w:sz w:val="21"/>
          <w:szCs w:val="21"/>
        </w:rPr>
        <w:t xml:space="preserve">Don't optimise the old system — build a new one: N26, no branches, mobile-only</w:t>
      </w:r>
    </w:p>
    <w:p>
      <w:pPr>
        <w:pStyle w:val="ListParagraph"/>
        <w:numPr>
          <w:ilvl w:val="0"/>
          <w:numId w:val="2"/>
        </w:numPr>
        <w:spacing w:after="30" w:before="30"/>
      </w:pPr>
      <w:r>
        <w:rPr>
          <w:rFonts w:ascii="Arial" w:cs="Arial" w:eastAsia="Arial" w:hAnsi="Arial"/>
          <w:sz w:val="21"/>
          <w:szCs w:val="21"/>
        </w:rPr>
        <w:t xml:space="preserve">Use information asymmetries that incumbents ignore: Fintechs monetise PSD2 data that banks overlook</w:t>
      </w:r>
    </w:p>
    <w:p>
      <w:pPr>
        <w:spacing w:after="40" w:before="40"/>
      </w:pPr>
      <w:r>
        <w:t xml:space="preserve"/>
      </w:r>
    </w:p>
    <w:p>
      <w:pPr>
        <w:pStyle w:val="Heading2"/>
        <w:spacing w:after="60" w:before="160"/>
      </w:pPr>
      <w:r>
        <w:rPr>
          <w:rFonts w:ascii="Arial" w:cs="Arial" w:eastAsia="Arial" w:hAnsi="Arial"/>
          <w:b/>
          <w:bCs/>
          <w:color w:val="2E75B6"/>
          <w:sz w:val="23"/>
          <w:szCs w:val="23"/>
        </w:rPr>
        <w:t xml:space="preserve">2.3 The PayPal Mafia and Big Tech</w:t>
      </w:r>
    </w:p>
    <w:p>
      <w:pPr>
        <w:spacing w:after="60" w:before="60"/>
      </w:pPr>
      <w:r>
        <w:rPr>
          <w:rFonts w:ascii="Arial" w:cs="Arial" w:eastAsia="Arial" w:hAnsi="Arial"/>
          <w:sz w:val="21"/>
          <w:szCs w:val="21"/>
        </w:rPr>
        <w:t xml:space="preserve">PayPal's alumni — Reid Hoffman (LinkedIn), Chad Hurley (YouTube), and others — went on to build some of Silicon Valley's most influential companies, proving how a visionary company multiplies innovation across an entire ecosystem.</w:t>
      </w:r>
    </w:p>
    <w:p>
      <w:pPr>
        <w:spacing w:after="60" w:before="60"/>
      </w:pPr>
      <w:r>
        <w:rPr>
          <w:rFonts w:ascii="Arial" w:cs="Arial" w:eastAsia="Arial" w:hAnsi="Arial"/>
          <w:sz w:val="21"/>
          <w:szCs w:val="21"/>
        </w:rPr>
        <w:t xml:space="preserve">Today's real heirs of Thiel's vision are not European Fintechs but Big Tech — Apple, Google, Meta, Amazon — which are applying his logic at planetary scale: dominate a niche (social, search, e-commerce, cloud), then expand into financial services to monopolise the user's entire digital life.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c>
          <w:tcPr>
            <w:tcW w:type="dxa" w:w="16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20"/>
                <w:szCs w:val="20"/>
              </w:rPr>
              <w:t xml:space="preserve">Big Tech</w:t>
            </w:r>
          </w:p>
        </w:tc>
        <w:tc>
          <w:tcPr>
            <w:tcW w:type="dxa" w:w="24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20"/>
                <w:szCs w:val="20"/>
              </w:rPr>
              <w:t xml:space="preserve">Financial product</w:t>
            </w:r>
          </w:p>
        </w:tc>
        <w:tc>
          <w:tcPr>
            <w:tcW w:type="dxa" w:w="5026"/>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20"/>
                <w:szCs w:val="20"/>
              </w:rPr>
              <w:t xml:space="preserve">Strategy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Apple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Apple Pay, Apple Card</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NFC chip in iPhone → bank becomes invisible to the user</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Google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Google Pay, Google Wallet</w:t>
            </w:r>
          </w:p>
        </w:tc>
        <w:tc>
          <w:tcPr>
            <w:tcW w:type="dxa" w:w="5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Behavioural data from Search/Maps → contextual financial services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Meta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WhatsApp Pay</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P2P payments on existing user base. Libra/Diem was an attempt at a global digital currency</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Lending, Amazon Pay</w:t>
            </w:r>
          </w:p>
        </w:tc>
        <w:tc>
          <w:tcPr>
            <w:tcW w:type="dxa" w:w="5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Credit to sellers based on sales data; BNPL via Affirm</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bCs/>
                <w:color w:val="1F4E79"/>
                <w:sz w:val="21"/>
                <w:szCs w:val="21"/>
              </w:rPr>
              <w:t xml:space="preserve">⚠️ The monopoly paradox</w:t>
            </w:r>
          </w:p>
          <w:p>
            <w:pPr>
              <w:spacing w:before="40"/>
            </w:pPr>
            <w:r>
              <w:rPr>
                <w:rFonts w:ascii="Arial" w:cs="Arial" w:eastAsia="Arial" w:hAnsi="Arial"/>
                <w:sz w:val="20"/>
                <w:szCs w:val="20"/>
              </w:rPr>
              <w:t xml:space="preserve">Thiel theorised that the best business creates a monopoly disguised as competition. Big Tech does this in payments: Apple controls NFC on iOS, Google dominates Android. To offer mobile payments, everyone must go through them.</w:t>
            </w:r>
          </w:p>
          <w:p>
            <w:pPr>
              <w:spacing w:before="40"/>
            </w:pPr>
            <w:r>
              <w:rPr>
                <w:rFonts w:ascii="Arial" w:cs="Arial" w:eastAsia="Arial" w:hAnsi="Arial"/>
                <w:sz w:val="20"/>
                <w:szCs w:val="20"/>
              </w:rPr>
              <w:t xml:space="preserve">This is why the EU opened antitrust proceedings against Apple Pay in 2022, concluding with commitments to open NFC access to competitors. PSD3 will make this mandatory.</w:t>
            </w:r>
          </w:p>
        </w:tc>
      </w:tr>
    </w:tbl>
    <w:p>
      <w:pPr>
        <w:spacing w:after="40" w:before="40"/>
      </w:pPr>
      <w:r>
        <w:t xml:space="preserve"/>
      </w:r>
    </w:p>
    <w:p>
      <w:pPr>
        <w:pStyle w:val="Heading1"/>
        <w:spacing w:after="100" w:before="280"/>
      </w:pPr>
      <w:r>
        <w:rPr>
          <w:rFonts w:ascii="Arial" w:cs="Arial" w:eastAsia="Arial" w:hAnsi="Arial"/>
          <w:b/>
          <w:bCs/>
          <w:color w:val="1F4E79"/>
          <w:sz w:val="28"/>
          <w:szCs w:val="28"/>
        </w:rPr>
        <w:t xml:space="preserve">3. How Fintechs Work and Make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500"/>
        <w:gridCol w:w="2626"/>
      </w:tblGrid>
      <w:tr>
        <w:tc>
          <w:tcPr>
            <w:tcW w:type="dxa" w:w="1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20"/>
                <w:szCs w:val="20"/>
              </w:rPr>
              <w:t xml:space="preserve">What it does</w:t>
            </w:r>
          </w:p>
        </w:tc>
        <w:tc>
          <w:tcPr>
            <w:tcW w:type="dxa" w:w="25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20"/>
                <w:szCs w:val="20"/>
              </w:rPr>
              <w:t xml:space="preserve">How it earns</w:t>
            </w:r>
          </w:p>
        </w:tc>
        <w:tc>
          <w:tcPr>
            <w:tcW w:type="dxa" w:w="2626"/>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20"/>
                <w:szCs w:val="20"/>
              </w:rPr>
              <w:t xml:space="preserve">Example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Neobank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Full digital current account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Fees, premium plans, loans</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N26, Revolut</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PISP</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Initiates payments without cards</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Fee per transaction</w:t>
            </w:r>
          </w:p>
        </w:tc>
        <w:tc>
          <w:tcPr>
            <w:tcW w:type="dxa" w:w="2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Klarna, TrueLayer</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AISP</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Aggregates multiple bank accounts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Subscription, data insights</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Plum, Emma</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BaaS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Banking infrastructure via API</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API fees, white-label licence</w:t>
            </w:r>
          </w:p>
        </w:tc>
        <w:tc>
          <w:tcPr>
            <w:tcW w:type="dxa" w:w="2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Solarisbank</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Embedded Finance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Finance inside non-bank platforms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Revenue share, credit spread</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Shopify, Stripe</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BNPL</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Instant credit at checkout</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Merchant commission 3–6%</w:t>
            </w:r>
          </w:p>
        </w:tc>
        <w:tc>
          <w:tcPr>
            <w:tcW w:type="dxa" w:w="2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Klarna, Scalapay</w:t>
            </w:r>
          </w:p>
        </w:tc>
      </w:tr>
    </w:tbl>
    <w:p>
      <w:pPr>
        <w:spacing w:after="40" w:before="40"/>
      </w:pPr>
      <w:r>
        <w:t xml:space="preserve"/>
      </w:r>
    </w:p>
    <w:p>
      <w:pPr>
        <w:spacing w:after="60" w:before="60"/>
      </w:pPr>
      <w:r>
        <w:rPr>
          <w:rFonts w:ascii="Arial" w:cs="Arial" w:eastAsia="Arial" w:hAnsi="Arial"/>
          <w:sz w:val="21"/>
          <w:szCs w:val="21"/>
        </w:rPr>
        <w:t xml:space="preserve">Most Fintechs use a freemium model: the basic service is free (to acquire users at nearly zero cost via PSD2 APIs), and premium tiers generate revenue. This works because digital distribution has near-zero marginal cost — impossible for traditional banks with branch overheads.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bCs/>
                <w:color w:val="1F4E79"/>
                <w:sz w:val="21"/>
                <w:szCs w:val="21"/>
              </w:rPr>
              <w:t xml:space="preserve">Klarna in brief</w:t>
            </w:r>
          </w:p>
          <w:p>
            <w:pPr>
              <w:spacing w:before="40"/>
            </w:pPr>
            <w:r>
              <w:rPr>
                <w:rFonts w:ascii="Arial" w:cs="Arial" w:eastAsia="Arial" w:hAnsi="Arial"/>
                <w:sz w:val="20"/>
                <w:szCs w:val="20"/>
              </w:rPr>
              <w:t xml:space="preserve">Klarna offers 'Pay in 3 instalments, interest-free'. The merchant pays 3–5% per transaction to increase conversions (~+30%). The user pays nothing — but Klarna collects data on every purchase. That data is the real asset: used for credit scoring, insurance upsell, and predictive profiling. In 2023: 150M active users in 45 countries.</w:t>
            </w:r>
          </w:p>
        </w:tc>
      </w:tr>
    </w:tbl>
    <w:p>
      <w:pPr>
        <w:spacing w:after="40" w:before="40"/>
      </w:pPr>
      <w:r>
        <w:t xml:space="preserve"/>
      </w:r>
    </w:p>
    <w:p>
      <w:pPr>
        <w:pStyle w:val="Heading1"/>
        <w:spacing w:after="100" w:before="280"/>
      </w:pPr>
      <w:r>
        <w:rPr>
          <w:rFonts w:ascii="Arial" w:cs="Arial" w:eastAsia="Arial" w:hAnsi="Arial"/>
          <w:b/>
          <w:bCs/>
          <w:color w:val="1F4E79"/>
          <w:sz w:val="28"/>
          <w:szCs w:val="28"/>
        </w:rPr>
        <w:t xml:space="preserve">4. Impact on Consumers</w:t>
      </w:r>
    </w:p>
    <w:p>
      <w:pPr>
        <w:pStyle w:val="Heading2"/>
        <w:spacing w:after="60" w:before="160"/>
      </w:pPr>
      <w:r>
        <w:rPr>
          <w:rFonts w:ascii="Arial" w:cs="Arial" w:eastAsia="Arial" w:hAnsi="Arial"/>
          <w:b/>
          <w:bCs/>
          <w:color w:val="2E75B6"/>
          <w:sz w:val="23"/>
          <w:szCs w:val="23"/>
        </w:rPr>
        <w:t xml:space="preserve">4.1 Benefits and Risks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20"/>
                <w:szCs w:val="20"/>
              </w:rPr>
              <w:t xml:space="preserve">Before PSD2</w:t>
            </w:r>
          </w:p>
        </w:tc>
        <w:tc>
          <w:tcPr>
            <w:tcW w:type="dxa" w:w="4513"/>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20"/>
                <w:szCs w:val="20"/>
              </w:rPr>
              <w:t xml:space="preserve">After PSD2</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Limited provider choice</w:t>
            </w:r>
          </w:p>
        </w:tc>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More competition → more choice and lower fees</w:t>
            </w:r>
          </w:p>
        </w:tc>
      </w:tr>
      <w:tr>
        <w:tc>
          <w:tcPr>
            <w:tcW w:type="dxa" w:w="4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Slow and expensive cross-border payments</w:t>
            </w:r>
          </w:p>
        </w:tc>
        <w:tc>
          <w:tcPr>
            <w:tcW w:type="dxa" w:w="4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Instant and low-cost international transfers</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Opaque bank fees</w:t>
            </w:r>
          </w:p>
        </w:tc>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Full fee transparency (surcharge ban)</w:t>
            </w:r>
          </w:p>
        </w:tc>
      </w:tr>
      <w:tr>
        <w:tc>
          <w:tcPr>
            <w:tcW w:type="dxa" w:w="4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No integrated financial tools</w:t>
            </w:r>
          </w:p>
        </w:tc>
        <w:tc>
          <w:tcPr>
            <w:tcW w:type="dxa" w:w="4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Multi-account aggregation and management apps</w:t>
            </w:r>
          </w:p>
        </w:tc>
      </w:tr>
    </w:tbl>
    <w:p>
      <w:pPr>
        <w:spacing w:after="40" w:before="40"/>
      </w:pPr>
      <w:r>
        <w:t xml:space="preserve"/>
      </w:r>
    </w:p>
    <w:p>
      <w:pPr>
        <w:spacing w:after="60" w:before="60"/>
      </w:pPr>
      <w:r>
        <w:rPr>
          <w:rFonts w:ascii="Arial" w:cs="Arial" w:eastAsia="Arial" w:hAnsi="Arial"/>
          <w:sz w:val="21"/>
          <w:szCs w:val="21"/>
        </w:rPr>
        <w:t xml:space="preserve">SCA (Strong Customer Authentication) — mandatory two-factor verification — significantly reduced 'card not present' fraud. But new risks emerged: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bCs/>
                <w:color w:val="1F4E79"/>
                <w:sz w:val="21"/>
                <w:szCs w:val="21"/>
              </w:rPr>
              <w:t xml:space="preserve">Main fraud types in the PSD2 era</w:t>
            </w:r>
          </w:p>
          <w:p>
            <w:pPr>
              <w:spacing w:before="40"/>
            </w:pPr>
            <w:r>
              <w:rPr>
                <w:rFonts w:ascii="Arial" w:cs="Arial" w:eastAsia="Arial" w:hAnsi="Arial"/>
                <w:sz w:val="20"/>
                <w:szCs w:val="20"/>
              </w:rPr>
              <w:t xml:space="preserve">APP Fraud: Fraudsters impersonate bank staff and convince users to authorise transfers to fraudster accounts. SCA doesn't help here — the user authorises willingly, even if deceived. UK losses: £485M in 2022.</w:t>
            </w:r>
          </w:p>
          <w:p>
            <w:pPr>
              <w:spacing w:before="40"/>
            </w:pPr>
            <w:r>
              <w:rPr>
                <w:rFonts w:ascii="Arial" w:cs="Arial" w:eastAsia="Arial" w:hAnsi="Arial"/>
                <w:sz w:val="20"/>
                <w:szCs w:val="20"/>
              </w:rPr>
              <w:t xml:space="preserve">Revolut phishing (2022): Fake SMS mimicking Revolut, asking for re-authentication via fraudulent link. Thousands of users entered their credentials.</w:t>
            </w:r>
          </w:p>
          <w:p>
            <w:pPr>
              <w:spacing w:before="40"/>
            </w:pPr>
            <w:r>
              <w:rPr>
                <w:rFonts w:ascii="Arial" w:cs="Arial" w:eastAsia="Arial" w:hAnsi="Arial"/>
                <w:sz w:val="20"/>
                <w:szCs w:val="20"/>
              </w:rPr>
              <w:t xml:space="preserve">Wirecard (2020): A major EU payment processor falsified €1.9B in assets and went bankrupt. Millions of users (Curve, Anna Money, Pockit) had their cards suddenly blocked.</w:t>
            </w:r>
          </w:p>
          <w:p>
            <w:pPr>
              <w:spacing w:before="40"/>
            </w:pPr>
            <w:r>
              <w:rPr>
                <w:rFonts w:ascii="Arial" w:cs="Arial" w:eastAsia="Arial" w:hAnsi="Arial"/>
                <w:sz w:val="20"/>
                <w:szCs w:val="20"/>
              </w:rPr>
              <w:t xml:space="preserve">AI deepfake fraud: Generative AI audio/video used to bypass biometric KYC on BNPL platforms. Not foreseen by PSD2.</w:t>
            </w:r>
          </w:p>
        </w:tc>
      </w:tr>
    </w:tbl>
    <w:p>
      <w:pPr>
        <w:spacing w:after="40" w:before="40"/>
      </w:pPr>
      <w:r>
        <w:t xml:space="preserve"/>
      </w:r>
    </w:p>
    <w:p>
      <w:pPr>
        <w:pStyle w:val="Heading2"/>
        <w:spacing w:after="60" w:before="160"/>
      </w:pPr>
      <w:r>
        <w:rPr>
          <w:rFonts w:ascii="Arial" w:cs="Arial" w:eastAsia="Arial" w:hAnsi="Arial"/>
          <w:b/>
          <w:bCs/>
          <w:color w:val="2E75B6"/>
          <w:sz w:val="23"/>
          <w:szCs w:val="23"/>
        </w:rPr>
        <w:t xml:space="preserve">4.2 Tension with GDPR</w:t>
      </w:r>
    </w:p>
    <w:p>
      <w:pPr>
        <w:spacing w:after="60" w:before="60"/>
      </w:pPr>
      <w:r>
        <w:rPr>
          <w:rFonts w:ascii="Arial" w:cs="Arial" w:eastAsia="Arial" w:hAnsi="Arial"/>
          <w:sz w:val="21"/>
          <w:szCs w:val="21"/>
        </w:rPr>
        <w:t xml:space="preserve">PSD2 allows AISPs to collect account data with customer consent. GDPR requires that consent to be free, specific, informed, and unambiguous. In practice, many apps use 'dark patterns' — prominent 'allow all' buttons, hidden refusal options — violating GDPR's data minimisation principle (Art. 7).</w:t>
      </w:r>
    </w:p>
    <w:p>
      <w:pPr>
        <w:spacing w:after="60" w:before="60"/>
      </w:pPr>
      <w:r>
        <w:rPr>
          <w:rFonts w:ascii="Arial" w:cs="Arial" w:eastAsia="Arial" w:hAnsi="Arial"/>
          <w:sz w:val="21"/>
          <w:szCs w:val="21"/>
        </w:rPr>
        <w:t xml:space="preserve">Key conflict: can an AISP that aggregates data to show balances also use that data for commercial profiling? PSD2 says yes, with consent. GDPR requires separate consent for each purpose. Fintechs often operate in this grey area.</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bCs/>
                <w:color w:val="1F4E79"/>
                <w:sz w:val="21"/>
                <w:szCs w:val="21"/>
              </w:rPr>
              <w:t xml:space="preserve">Notable cases</w:t>
            </w:r>
          </w:p>
          <w:p>
            <w:pPr>
              <w:spacing w:before="40"/>
            </w:pPr>
            <w:r>
              <w:rPr>
                <w:rFonts w:ascii="Arial" w:cs="Arial" w:eastAsia="Arial" w:hAnsi="Arial"/>
                <w:sz w:val="20"/>
                <w:szCs w:val="20"/>
              </w:rPr>
              <w:t xml:space="preserve">CNIL vs Google (€50M, 2019): Fined for non-transparent consent during Android setup — a direct benchmark for Fintech consent flows.</w:t>
            </w:r>
          </w:p>
          <w:p>
            <w:pPr>
              <w:spacing w:before="40"/>
            </w:pPr>
            <w:r>
              <w:rPr>
                <w:rFonts w:ascii="Arial" w:cs="Arial" w:eastAsia="Arial" w:hAnsi="Arial"/>
                <w:sz w:val="20"/>
                <w:szCs w:val="20"/>
              </w:rPr>
              <w:t xml:space="preserve">Italian DPA (2022): Several financial apps flagged for deceptive interfaces. Violations risk fines up to 4% of global annual revenue.</w:t>
            </w:r>
          </w:p>
          <w:p>
            <w:pPr>
              <w:spacing w:before="40"/>
            </w:pPr>
            <w:r>
              <w:rPr>
                <w:rFonts w:ascii="Arial" w:cs="Arial" w:eastAsia="Arial" w:hAnsi="Arial"/>
                <w:sz w:val="20"/>
                <w:szCs w:val="20"/>
              </w:rPr>
              <w:t xml:space="preserve">PSD3 solution: Harmonised standards for PSD2-GDPR consent, with mandatory explicit separation of consent by purpose.</w:t>
            </w:r>
          </w:p>
        </w:tc>
      </w:tr>
    </w:tbl>
    <w:p>
      <w:pPr>
        <w:spacing w:after="40" w:before="40"/>
      </w:pPr>
      <w:r>
        <w:t xml:space="preserve"/>
      </w:r>
    </w:p>
    <w:p>
      <w:pPr>
        <w:pStyle w:val="Heading1"/>
        <w:spacing w:after="100" w:before="280"/>
      </w:pPr>
      <w:r>
        <w:rPr>
          <w:rFonts w:ascii="Arial" w:cs="Arial" w:eastAsia="Arial" w:hAnsi="Arial"/>
          <w:b/>
          <w:bCs/>
          <w:color w:val="1F4E79"/>
          <w:sz w:val="28"/>
          <w:szCs w:val="28"/>
        </w:rPr>
        <w:t xml:space="preserve">5. Macroeconomic Effects</w:t>
      </w:r>
    </w:p>
    <w:p>
      <w:pPr>
        <w:pStyle w:val="ListParagraph"/>
        <w:numPr>
          <w:ilvl w:val="0"/>
          <w:numId w:val="2"/>
        </w:numPr>
        <w:spacing w:after="30" w:before="30"/>
      </w:pPr>
      <w:r>
        <w:rPr>
          <w:rFonts w:ascii="Arial" w:cs="Arial" w:eastAsia="Arial" w:hAnsi="Arial"/>
          <w:sz w:val="21"/>
          <w:szCs w:val="21"/>
        </w:rPr>
        <w:t xml:space="preserve">Cash reduction: ECB data shows progressive decline in cash use in countries with fast SCT Inst adoption. Italy accelerated post-2020 with tax incentives tied to traceable payments.</w:t>
      </w:r>
    </w:p>
    <w:p>
      <w:pPr>
        <w:pStyle w:val="ListParagraph"/>
        <w:numPr>
          <w:ilvl w:val="0"/>
          <w:numId w:val="2"/>
        </w:numPr>
        <w:spacing w:after="30" w:before="30"/>
      </w:pPr>
      <w:r>
        <w:rPr>
          <w:rFonts w:ascii="Arial" w:cs="Arial" w:eastAsia="Arial" w:hAnsi="Arial"/>
          <w:sz w:val="21"/>
          <w:szCs w:val="21"/>
        </w:rPr>
        <w:t xml:space="preserve">Tax evasion: Every electronic transaction leaves a digital footprint. Italy's tax authority uses this traceability for data cross-referencing. PSD2 — born as a payments directive — has cascading effects on the entire tax system.</w:t>
      </w:r>
    </w:p>
    <w:p>
      <w:pPr>
        <w:pStyle w:val="ListParagraph"/>
        <w:numPr>
          <w:ilvl w:val="0"/>
          <w:numId w:val="2"/>
        </w:numPr>
        <w:spacing w:after="30" w:before="30"/>
      </w:pPr>
      <w:r>
        <w:rPr>
          <w:rFonts w:ascii="Arial" w:cs="Arial" w:eastAsia="Arial" w:hAnsi="Arial"/>
          <w:sz w:val="21"/>
          <w:szCs w:val="21"/>
        </w:rPr>
        <w:t xml:space="preserve">Embedded Finance: Financial services become invisible infrastructure inside non-financial platforms. Amazon credits its merchants; Apple handles in-app payments; Shopify lends based on sales data. Big Tech leads this space — their distribution infrastructure is orders of magnitude larger than any Fintech.</w:t>
      </w:r>
    </w:p>
    <w:p>
      <w:pPr>
        <w:spacing w:after="40" w:before="40"/>
      </w:pPr>
      <w:r>
        <w:t xml:space="preserve"/>
      </w:r>
    </w:p>
    <w:p>
      <w:pPr>
        <w:pStyle w:val="Heading1"/>
        <w:spacing w:after="100" w:before="280"/>
      </w:pPr>
      <w:r>
        <w:rPr>
          <w:rFonts w:ascii="Arial" w:cs="Arial" w:eastAsia="Arial" w:hAnsi="Arial"/>
          <w:b/>
          <w:bCs/>
          <w:color w:val="1F4E79"/>
          <w:sz w:val="28"/>
          <w:szCs w:val="28"/>
        </w:rPr>
        <w:t xml:space="preserve">6. PSD3: What Changes and Why</w:t>
      </w:r>
    </w:p>
    <w:p>
      <w:pPr>
        <w:spacing w:after="60" w:before="60"/>
      </w:pPr>
      <w:r>
        <w:rPr>
          <w:rFonts w:ascii="Arial" w:cs="Arial" w:eastAsia="Arial" w:hAnsi="Arial"/>
          <w:sz w:val="21"/>
          <w:szCs w:val="21"/>
        </w:rPr>
        <w:t xml:space="preserve">In June 2023, the European Commission published the PSD3 proposal. Four main problems to fix:</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20"/>
                <w:szCs w:val="20"/>
              </w:rPr>
              <w:t xml:space="preserve">Problem</w:t>
            </w:r>
          </w:p>
        </w:tc>
        <w:tc>
          <w:tcPr>
            <w:tcW w:type="dxa" w:w="5026"/>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20"/>
                <w:szCs w:val="20"/>
              </w:rPr>
              <w:t xml:space="preserve">PSD3 Solution</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APP Fraud rising despite SCA
(€1.17B in authorised fraud losses, EU 2022)</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Shared liability between banks and merchants for APP Fraud</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Banks implemented slow/undocumented APIs
to discourage Fintech competition</w:t>
            </w:r>
          </w:p>
        </w:tc>
        <w:tc>
          <w:tcPr>
            <w:tcW w:type="dxa" w:w="5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Harmonised and mandatory API standards across Europe</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Apple/Google control NFC — partial PSD2 exemption
(EU antitrust investigation 2022–2024)</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Mandatory open NFC access for all authorised providers</w:t>
            </w:r>
          </w:p>
        </w:tc>
      </w:tr>
      <w:tr>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Dark patterns and GDPR grey areas</w:t>
            </w:r>
          </w:p>
        </w:tc>
        <w:tc>
          <w:tcPr>
            <w:tcW w:type="dxa" w:w="5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Harmonised PSD2-GDPR consent, separated by purpose</w:t>
            </w:r>
          </w:p>
        </w:tc>
      </w:tr>
    </w:tbl>
    <w:p>
      <w:pPr>
        <w:spacing w:after="40" w:before="40"/>
      </w:pPr>
      <w:r>
        <w:t xml:space="preserve"/>
      </w:r>
    </w:p>
    <w:p>
      <w:pPr>
        <w:spacing w:after="60" w:before="60"/>
      </w:pPr>
      <w:r>
        <w:rPr>
          <w:rFonts w:ascii="Arial" w:cs="Arial" w:eastAsia="Arial" w:hAnsi="Arial"/>
          <w:sz w:val="21"/>
          <w:szCs w:val="21"/>
        </w:rPr>
        <w:t xml:space="preserve">PSD3 will also extend coverage to digital wallets and cryptocurrencies, in coordination with the MiCA Regulation.</w:t>
      </w:r>
    </w:p>
    <w:p>
      <w:pPr>
        <w:spacing w:after="40" w:before="40"/>
      </w:pPr>
      <w:r>
        <w:t xml:space="preserve"/>
      </w:r>
    </w:p>
    <w:p>
      <w:pPr>
        <w:pStyle w:val="Heading1"/>
        <w:spacing w:after="100" w:before="280"/>
      </w:pPr>
      <w:r>
        <w:rPr>
          <w:rFonts w:ascii="Arial" w:cs="Arial" w:eastAsia="Arial" w:hAnsi="Arial"/>
          <w:b/>
          <w:bCs/>
          <w:color w:val="1F4E79"/>
          <w:sz w:val="28"/>
          <w:szCs w:val="28"/>
        </w:rPr>
        <w:t xml:space="preserve">7.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20"/>
                <w:szCs w:val="20"/>
              </w:rPr>
              <w:t xml:space="preserve">Topic</w:t>
            </w:r>
          </w:p>
        </w:tc>
        <w:tc>
          <w:tcPr>
            <w:tcW w:type="dxa" w:w="6526"/>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rFonts w:ascii="Arial" w:cs="Arial" w:eastAsia="Arial" w:hAnsi="Arial"/>
                <w:b/>
                <w:bCs/>
                <w:color w:val="FFFFFF"/>
                <w:sz w:val="20"/>
                <w:szCs w:val="20"/>
              </w:rPr>
              <w:t xml:space="preserve">Key point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Banks</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Lost data monopoly; responded with APIs, partnerships, and super-apps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Thiel / PayPal</w:t>
            </w:r>
          </w:p>
        </w:tc>
        <w:tc>
          <w:tcPr>
            <w:tcW w:type="dxa" w:w="6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Zero-to-one philosophy: create something new, don't optimise the old system</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Big Tech</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Apply Thiel's monopoly logic at scale; partially escape PSD2 via proprietary NFC</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Fintech models</w:t>
            </w:r>
          </w:p>
        </w:tc>
        <w:tc>
          <w:tcPr>
            <w:tcW w:type="dxa" w:w="6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Freemium + premium tiers; AISP, PISP, BNPL, BaaS, Embedded Finance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Consumers</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More choice and lower fees, but new fraud risks (APP, deepfake KYC)</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GDPR tension</w:t>
            </w:r>
          </w:p>
        </w:tc>
        <w:tc>
          <w:tcPr>
            <w:tcW w:type="dxa" w:w="6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Dark patterns, grey area on data purpose; PSD3 will harmonise consent rules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Macroeconomics</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Less cash, less tax evasion, rise of Embedded Finance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PSD3</w:t>
            </w:r>
          </w:p>
        </w:tc>
        <w:tc>
          <w:tcPr>
            <w:tcW w:type="dxa" w:w="6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Open NFC, mandatory APIs, shared fraud liability, GDPR alignment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tcPr>
          <w:p>
            <w:r>
              <w:rPr>
                <w:rFonts w:ascii="Arial" w:cs="Arial" w:eastAsia="Arial" w:hAnsi="Arial"/>
                <w:b/>
                <w:bCs/>
                <w:color w:val="1F4E79"/>
                <w:sz w:val="21"/>
                <w:szCs w:val="21"/>
              </w:rPr>
              <w:t xml:space="preserve">Core message</w:t>
            </w:r>
          </w:p>
          <w:p>
            <w:pPr>
              <w:spacing w:before="40"/>
            </w:pPr>
            <w:r>
              <w:rPr>
                <w:rFonts w:ascii="Arial" w:cs="Arial" w:eastAsia="Arial" w:hAnsi="Arial"/>
                <w:sz w:val="20"/>
                <w:szCs w:val="20"/>
              </w:rPr>
              <w:t xml:space="preserve">PSD2 is the legal engine of an open digital economy. The real competition is not banks vs Fintechs — it is the regulated European ecosystem vs global Big Tech applying Thiel's monopoly logic at planetary scale. PSD3 is Europe's answer: ensure the opening produces real benefits for consumers, without digital concentration reproducing the oligopolies PSD2 set out to dismantle.</w:t>
            </w:r>
          </w:p>
        </w:tc>
      </w:tr>
    </w:tbl>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60" w:before="16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2026-04-19T13:01:23.183Z</dcterms:created>
  <dcterms:modified xsi:type="dcterms:W3CDTF">2026-04-19T13:01:23.184Z</dcterms:modified>
</cp:coreProperties>
</file>

<file path=docProps/custom.xml><?xml version="1.0" encoding="utf-8"?>
<Properties xmlns="http://schemas.openxmlformats.org/officeDocument/2006/custom-properties" xmlns:vt="http://schemas.openxmlformats.org/officeDocument/2006/docPropsVTypes"/>
</file>