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97D" w:val="clear"/>
            <w:tcMar>
              <w:top w:type="dxa" w:w="320"/>
              <w:left w:type="dxa" w:w="400"/>
              <w:bottom w:type="dxa" w:w="320"/>
              <w:right w:type="dxa" w:w="400"/>
            </w:tcMar>
          </w:tcPr>
          <w:p>
            <w:pPr>
              <w:spacing w:after="0" w:before="0"/>
              <w:jc w:val="center"/>
            </w:pPr>
            <w:r>
              <w:rPr>
                <w:rFonts w:ascii="Arial" w:cs="Arial" w:eastAsia="Arial" w:hAnsi="Arial"/>
                <w:b/>
                <w:bCs/>
                <w:color w:val="FFFFFF"/>
                <w:sz w:val="72"/>
                <w:szCs w:val="72"/>
              </w:rPr>
              <w:t xml:space="preserve">PSD2</w:t>
            </w:r>
          </w:p>
          <w:p>
            <w:pPr>
              <w:spacing w:after="0" w:before="80"/>
              <w:jc w:val="center"/>
            </w:pPr>
            <w:r>
              <w:rPr>
                <w:rFonts w:ascii="Arial" w:cs="Arial" w:eastAsia="Arial" w:hAnsi="Arial"/>
                <w:color w:val="D6E4F0"/>
                <w:sz w:val="30"/>
                <w:szCs w:val="30"/>
              </w:rPr>
              <w:t xml:space="preserve">Impatto Economico, Sociale e Strategico</w:t>
            </w:r>
          </w:p>
          <w:p>
            <w:pPr>
              <w:spacing w:after="0" w:before="120"/>
              <w:jc w:val="center"/>
            </w:pPr>
            <w:r>
              <w:rPr>
                <w:rFonts w:ascii="Arial" w:cs="Arial" w:eastAsia="Arial" w:hAnsi="Arial"/>
                <w:color w:val="A8C8E8"/>
                <w:sz w:val="22"/>
                <w:szCs w:val="22"/>
              </w:rPr>
              <w:t xml:space="preserve">Big Tech, Fintech e il futuro dei pagamenti digitali</w:t>
            </w:r>
          </w:p>
        </w:tc>
      </w:tr>
    </w:tbl>
    <w:p>
      <w:pPr>
        <w:spacing w:after="120" w:before="120"/>
      </w:pPr>
    </w:p>
    <w:p>
      <w:pPr>
        <w:spacing w:after="100" w:before="100" w:line="276"/>
        <w:jc w:val="both"/>
      </w:pPr>
      <w:r>
        <w:rPr>
          <w:rFonts w:ascii="Arial" w:cs="Arial" w:eastAsia="Arial" w:hAnsi="Arial"/>
          <w:color w:val="2C2C2C"/>
          <w:sz w:val="22"/>
          <w:szCs w:val="22"/>
        </w:rPr>
        <w:t xml:space="preserve">La Direttiva PSD2 non è semplicemente una norma tecnica sui pagamenti elettronici: è il motore regolatorio di una </w:t>
      </w:r>
      <w:r>
        <w:rPr>
          <w:rFonts w:ascii="Arial" w:cs="Arial" w:eastAsia="Arial" w:hAnsi="Arial"/>
          <w:b/>
          <w:bCs/>
          <w:color w:val="2C2C2C"/>
          <w:sz w:val="22"/>
          <w:szCs w:val="22"/>
        </w:rPr>
        <w:t xml:space="preserve">rivoluzione economica e competitiva</w:t>
      </w:r>
      <w:r>
        <w:rPr>
          <w:rFonts w:ascii="Arial" w:cs="Arial" w:eastAsia="Arial" w:hAnsi="Arial"/>
          <w:color w:val="2C2C2C"/>
          <w:sz w:val="22"/>
          <w:szCs w:val="22"/>
        </w:rPr>
        <w:t xml:space="preserve"> che ha ridisegnato il settore finanziario europeo. Per comprenderne l’impatto reale, questa analisi esamina gli effetti sulle banche tradizionali, i modelli di business delle Fintech, le tensioni con il GDPR e le ricadute macroeconomiche. L’angolo interpretativo è duplice: da un lato la filosofia di </w:t>
      </w:r>
      <w:r>
        <w:rPr>
          <w:rFonts w:ascii="Arial" w:cs="Arial" w:eastAsia="Arial" w:hAnsi="Arial"/>
          <w:b/>
          <w:bCs/>
          <w:color w:val="2C2C2C"/>
          <w:sz w:val="22"/>
          <w:szCs w:val="22"/>
        </w:rPr>
        <w:t xml:space="preserve">Peter Thiel</w:t>
      </w:r>
      <w:r>
        <w:rPr>
          <w:rFonts w:ascii="Arial" w:cs="Arial" w:eastAsia="Arial" w:hAnsi="Arial"/>
          <w:color w:val="2C2C2C"/>
          <w:sz w:val="22"/>
          <w:szCs w:val="22"/>
        </w:rPr>
        <w:t xml:space="preserve"> e la lezione di PayPal; dall’altro il fenomeno attuale delle </w:t>
      </w:r>
      <w:r>
        <w:rPr>
          <w:rFonts w:ascii="Arial" w:cs="Arial" w:eastAsia="Arial" w:hAnsi="Arial"/>
          <w:b/>
          <w:bCs/>
          <w:color w:val="2C2C2C"/>
          <w:sz w:val="22"/>
          <w:szCs w:val="22"/>
        </w:rPr>
        <w:t xml:space="preserve">Big Tech che espandono il proprio dominio nei mercati finanziari</w:t>
      </w:r>
      <w:r>
        <w:rPr>
          <w:rFonts w:ascii="Arial" w:cs="Arial" w:eastAsia="Arial" w:hAnsi="Arial"/>
          <w:color w:val="2C2C2C"/>
          <w:sz w:val="22"/>
          <w:szCs w:val="22"/>
        </w:rPr>
        <w:t xml:space="preserve">, ridefinendo le regole del gioco.</w:t>
      </w:r>
    </w:p>
    <w:p>
      <w:pPr>
        <w:spacing w:after="80" w:before="80"/>
      </w:pPr>
    </w:p>
    <w:p>
      <w:pPr>
        <w:pStyle w:val="Heading1"/>
        <w:pBdr>
          <w:bottom w:val="single" w:color="2E75B6" w:sz="8" w:space="4"/>
        </w:pBdr>
        <w:spacing w:after="140" w:before="320"/>
      </w:pPr>
      <w:r>
        <w:rPr>
          <w:rFonts w:ascii="Arial" w:cs="Arial" w:eastAsia="Arial" w:hAnsi="Arial"/>
          <w:b/>
          <w:bCs/>
          <w:color w:val="1F497D"/>
          <w:sz w:val="30"/>
          <w:szCs w:val="30"/>
        </w:rPr>
        <w:t xml:space="preserve">1. Impatto sulle Banche Tradizionali</w:t>
      </w:r>
    </w:p>
    <w:p>
      <w:pPr>
        <w:spacing w:after="100" w:before="100" w:line="276"/>
        <w:jc w:val="both"/>
      </w:pPr>
      <w:r>
        <w:rPr>
          <w:rFonts w:ascii="Arial" w:cs="Arial" w:eastAsia="Arial" w:hAnsi="Arial"/>
          <w:color w:val="2C2C2C"/>
          <w:sz w:val="22"/>
          <w:szCs w:val="22"/>
        </w:rPr>
        <w:t xml:space="preserve">Prima della PSD2, le banche tradizionali detenevano un vantaggio competitivo fondamentale: il monopolio sui dati finanziari dei propri clienti. Il cliente era captive — legato alla propria banca per impossibilità strutturale di portare i propri dati altrove. La PSD2 ha sovvertito questo paradigma, codificando in legge il principio che i dati bancari appartengono al cliente, non all’istituto che li custodisce.</w:t>
      </w:r>
    </w:p>
    <w:p>
      <w:pPr>
        <w:pStyle w:val="Heading2"/>
        <w:spacing w:after="100" w:before="240"/>
      </w:pPr>
      <w:r>
        <w:rPr>
          <w:rFonts w:ascii="Arial" w:cs="Arial" w:eastAsia="Arial" w:hAnsi="Arial"/>
          <w:b/>
          <w:bCs/>
          <w:color w:val="2E75B6"/>
          <w:sz w:val="24"/>
          <w:szCs w:val="24"/>
        </w:rPr>
        <w:t xml:space="preserve">1.1 La Fine dell’Esclusività sui Dati</w:t>
      </w:r>
    </w:p>
    <w:p>
      <w:pPr>
        <w:spacing w:after="100" w:before="100" w:line="276"/>
        <w:jc w:val="both"/>
      </w:pPr>
      <w:r>
        <w:rPr>
          <w:rFonts w:ascii="Arial" w:cs="Arial" w:eastAsia="Arial" w:hAnsi="Arial"/>
          <w:color w:val="2C2C2C"/>
          <w:sz w:val="22"/>
          <w:szCs w:val="22"/>
        </w:rPr>
        <w:t xml:space="preserve">L’obbligo di apertura delle API (Open Banking) ha privato gli istituti tradizionali del loro asset più prezioso: l’informazione. Le banche devono ora condividere questi dati con terze parti autorizzate (AISP e PISP) su semplice consenso del cliente. Questo non è un cambiamento tecnico: è una redistribuzione del potere economico.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600"/>
        <w:gridCol w:w="1726"/>
      </w:tblGrid>
      <w:tr>
        <w:tc>
          <w:tcPr>
            <w:tcW w:type="dxa" w:w="21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Dimensione</w:t>
            </w:r>
          </w:p>
        </w:tc>
        <w:tc>
          <w:tcPr>
            <w:tcW w:type="dxa" w:w="26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Prima della PSD2</w:t>
            </w:r>
          </w:p>
        </w:tc>
        <w:tc>
          <w:tcPr>
            <w:tcW w:type="dxa" w:w="26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Dopo la PSD2</w:t>
            </w:r>
          </w:p>
        </w:tc>
        <w:tc>
          <w:tcPr>
            <w:tcW w:type="dxa" w:w="1726"/>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Impatto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Dati del cliente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Proprietà esclusiva della banca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Del cliente, condivisibili con terzi</w:t>
            </w:r>
          </w:p>
        </w:tc>
        <w:tc>
          <w:tcPr>
            <w:tcW w:type="dxa" w:w="1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Alta mobilità</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Accesso ai conti</w:t>
            </w:r>
          </w:p>
        </w:tc>
        <w:tc>
          <w:tcPr>
            <w:tcW w:type="dxa" w:w="2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Solo tramite home banking banca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Anche tramite app di terze parti (TPP)</w:t>
            </w:r>
          </w:p>
        </w:tc>
        <w:tc>
          <w:tcPr>
            <w:tcW w:type="dxa" w:w="17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Competizione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Concorrenza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Oligopolio bancario protetto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Mercato aperto a Fintech e Big Tech</w:t>
            </w:r>
          </w:p>
        </w:tc>
        <w:tc>
          <w:tcPr>
            <w:tcW w:type="dxa" w:w="1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Disruption</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Innovazione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Interna, lenta, controllata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Esterna, rapida, competitiva</w:t>
            </w:r>
          </w:p>
        </w:tc>
        <w:tc>
          <w:tcPr>
            <w:tcW w:type="dxa" w:w="17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Accelerazione</w:t>
            </w:r>
          </w:p>
        </w:tc>
      </w:tr>
    </w:tbl>
    <w:p>
      <w:pPr>
        <w:spacing w:after="80" w:before="80"/>
      </w:pPr>
    </w:p>
    <w:p>
      <w:pPr>
        <w:pStyle w:val="Heading2"/>
        <w:spacing w:after="100" w:before="240"/>
      </w:pPr>
      <w:r>
        <w:rPr>
          <w:rFonts w:ascii="Arial" w:cs="Arial" w:eastAsia="Arial" w:hAnsi="Arial"/>
          <w:b/>
          <w:bCs/>
          <w:color w:val="2E75B6"/>
          <w:sz w:val="24"/>
          <w:szCs w:val="24"/>
        </w:rPr>
        <w:t xml:space="preserve">1.2 La Risposta Strategica delle Banche</w:t>
      </w:r>
    </w:p>
    <w:p>
      <w:pPr>
        <w:spacing w:after="100" w:before="100" w:line="276"/>
        <w:jc w:val="both"/>
      </w:pPr>
      <w:r>
        <w:rPr>
          <w:rFonts w:ascii="Arial" w:cs="Arial" w:eastAsia="Arial" w:hAnsi="Arial"/>
          <w:color w:val="2C2C2C"/>
          <w:sz w:val="22"/>
          <w:szCs w:val="22"/>
        </w:rPr>
        <w:t xml:space="preserve">La risposta delle banche alla PSD2 si è articolata su tre livelli strategici principali:</w:t>
      </w:r>
    </w:p>
    <w:p>
      <w:pPr>
        <w:pStyle w:val="ListParagraph"/>
        <w:numPr>
          <w:ilvl w:val="0"/>
          <w:numId w:val="2"/>
        </w:numPr>
        <w:spacing w:after="60" w:before="60"/>
        <w:jc w:val="left"/>
      </w:pPr>
      <w:r>
        <w:rPr>
          <w:rFonts w:ascii="Arial" w:cs="Arial" w:eastAsia="Arial" w:hAnsi="Arial"/>
          <w:b/>
          <w:bCs/>
          <w:color w:val="2C2C2C"/>
          <w:sz w:val="22"/>
          <w:szCs w:val="22"/>
        </w:rPr>
        <w:t xml:space="preserve">Tecnologia: </w:t>
      </w:r>
      <w:r>
        <w:rPr>
          <w:rFonts w:ascii="Arial" w:cs="Arial" w:eastAsia="Arial" w:hAnsi="Arial"/>
          <w:color w:val="2C2C2C"/>
          <w:sz w:val="22"/>
          <w:szCs w:val="22"/>
        </w:rPr>
        <w:t xml:space="preserve">Investimenti tecnologici massicci per sviluppare API conformi agli RTS dell’EBA, con infrastrutture di Open Banking proprietarie.</w:t>
      </w:r>
    </w:p>
    <w:p>
      <w:pPr>
        <w:pStyle w:val="ListParagraph"/>
        <w:numPr>
          <w:ilvl w:val="0"/>
          <w:numId w:val="2"/>
        </w:numPr>
        <w:spacing w:after="60" w:before="60"/>
        <w:jc w:val="left"/>
      </w:pPr>
      <w:r>
        <w:rPr>
          <w:rFonts w:ascii="Arial" w:cs="Arial" w:eastAsia="Arial" w:hAnsi="Arial"/>
          <w:b/>
          <w:bCs/>
          <w:color w:val="2C2C2C"/>
          <w:sz w:val="22"/>
          <w:szCs w:val="22"/>
        </w:rPr>
        <w:t xml:space="preserve">Partnership: </w:t>
      </w:r>
      <w:r>
        <w:rPr>
          <w:rFonts w:ascii="Arial" w:cs="Arial" w:eastAsia="Arial" w:hAnsi="Arial"/>
          <w:color w:val="2C2C2C"/>
          <w:sz w:val="22"/>
          <w:szCs w:val="22"/>
        </w:rPr>
        <w:t xml:space="preserve">Partnership e acquisizioni Fintech: trasformazione dei potenziali competitor in alleati tecnologici nel modello Banking-as-a-Service (BaaS).</w:t>
      </w:r>
    </w:p>
    <w:p>
      <w:pPr>
        <w:pStyle w:val="ListParagraph"/>
        <w:numPr>
          <w:ilvl w:val="0"/>
          <w:numId w:val="2"/>
        </w:numPr>
        <w:spacing w:after="60" w:before="60"/>
        <w:jc w:val="left"/>
      </w:pPr>
      <w:r>
        <w:rPr>
          <w:rFonts w:ascii="Arial" w:cs="Arial" w:eastAsia="Arial" w:hAnsi="Arial"/>
          <w:b/>
          <w:bCs/>
          <w:color w:val="2C2C2C"/>
          <w:sz w:val="22"/>
          <w:szCs w:val="22"/>
        </w:rPr>
        <w:t xml:space="preserve">Super-app: </w:t>
      </w:r>
      <w:r>
        <w:rPr>
          <w:rFonts w:ascii="Arial" w:cs="Arial" w:eastAsia="Arial" w:hAnsi="Arial"/>
          <w:color w:val="2C2C2C"/>
          <w:sz w:val="22"/>
          <w:szCs w:val="22"/>
        </w:rPr>
        <w:t xml:space="preserve">Ecosistemi digitali proprietari: super-app bancarie capaci di offrire aggregazione, robo-advisory e pagamenti istantanei.</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180"/>
              <w:left w:type="dxa" w:w="240"/>
              <w:bottom w:type="dxa" w:w="180"/>
              <w:right w:type="dxa" w:w="240"/>
            </w:tcMar>
          </w:tcPr>
          <w:p>
            <w:pPr>
              <w:spacing w:after="80" w:before="0"/>
            </w:pPr>
            <w:r>
              <w:rPr>
                <w:rFonts w:ascii="Arial" w:cs="Arial" w:eastAsia="Arial" w:hAnsi="Arial"/>
                <w:b/>
                <w:bCs/>
                <w:color w:val="2E75B6"/>
                <w:sz w:val="22"/>
                <w:szCs w:val="22"/>
              </w:rPr>
              <w:t xml:space="preserve">🏦 Caso studio: Intesa Sanpaolo</w:t>
            </w:r>
          </w:p>
          <w:p>
            <w:pPr>
              <w:spacing w:after="0" w:before="0" w:line="276"/>
              <w:jc w:val="both"/>
            </w:pPr>
            <w:r>
              <w:rPr>
                <w:rFonts w:ascii="Arial" w:cs="Arial" w:eastAsia="Arial" w:hAnsi="Arial"/>
                <w:color w:val="2C2C2C"/>
                <w:sz w:val="22"/>
                <w:szCs w:val="22"/>
              </w:rPr>
              <w:t xml:space="preserve">Intesa Sanpaolo ha risposto alla PSD2 sviluppando un ecosistema digitale che integra servizi bancari, assicurativi e di lifestyle in un’unica piattaforma. Questa strategia di “walled garden” punta a rendere l’esperienza cliente così completa da ridurre l’incentivo a rivolgersi a terze parti, trasformando la compliance normativa in opportunità commerciale. È un esempio di come la disruption regolamentare possa paradossalmente rafforzare i player che reagiscono con visione strategica.</w:t>
            </w:r>
          </w:p>
        </w:tc>
      </w:tr>
    </w:tbl>
    <w:p>
      <w:pPr>
        <w:spacing w:after="100" w:before="100"/>
      </w:pPr>
    </w:p>
    <w:p>
      <w:pPr>
        <w:pStyle w:val="Heading1"/>
        <w:pBdr>
          <w:bottom w:val="single" w:color="2E75B6" w:sz="8" w:space="4"/>
        </w:pBdr>
        <w:spacing w:after="140" w:before="320"/>
      </w:pPr>
      <w:r>
        <w:rPr>
          <w:rFonts w:ascii="Arial" w:cs="Arial" w:eastAsia="Arial" w:hAnsi="Arial"/>
          <w:b/>
          <w:bCs/>
          <w:color w:val="1F497D"/>
          <w:sz w:val="30"/>
          <w:szCs w:val="30"/>
        </w:rPr>
        <w:t xml:space="preserve">2. Peter Thiel, PayPal e il DNA delle Fintech</w:t>
      </w:r>
    </w:p>
    <w:p>
      <w:pPr>
        <w:pStyle w:val="Heading2"/>
        <w:spacing w:after="100" w:before="240"/>
      </w:pPr>
      <w:r>
        <w:rPr>
          <w:rFonts w:ascii="Arial" w:cs="Arial" w:eastAsia="Arial" w:hAnsi="Arial"/>
          <w:b/>
          <w:bCs/>
          <w:color w:val="2E75B6"/>
          <w:sz w:val="24"/>
          <w:szCs w:val="24"/>
        </w:rPr>
        <w:t xml:space="preserve">2.1 Il Precedente Storico: PayPal e la Prima Disruption</w:t>
      </w:r>
    </w:p>
    <w:p>
      <w:pPr>
        <w:spacing w:after="100" w:before="100" w:line="276"/>
        <w:jc w:val="both"/>
      </w:pPr>
      <w:r>
        <w:rPr>
          <w:rFonts w:ascii="Arial" w:cs="Arial" w:eastAsia="Arial" w:hAnsi="Arial"/>
          <w:color w:val="2C2C2C"/>
          <w:sz w:val="22"/>
          <w:szCs w:val="22"/>
        </w:rPr>
        <w:t xml:space="preserve">Per comprendere le Fintech moderne non si può prescindere da un episodio fondativo della storia tecnologica: la nascita di PayPal. Fondata nel 1998 da Peter Thiel, Max Levchin ed Elon Musk (dopo la fusione con X.com), PayPal ha rappresentato il primo grande caso di disruption finanziaria digitale — ben prima che esistesse il termine “Fintech”.</w:t>
      </w:r>
    </w:p>
    <w:p>
      <w:pPr>
        <w:spacing w:after="100" w:before="100" w:line="276"/>
        <w:jc w:val="both"/>
      </w:pPr>
      <w:r>
        <w:rPr>
          <w:rFonts w:ascii="Arial" w:cs="Arial" w:eastAsia="Arial" w:hAnsi="Arial"/>
          <w:color w:val="2C2C2C"/>
          <w:sz w:val="22"/>
          <w:szCs w:val="22"/>
        </w:rPr>
        <w:t xml:space="preserve">Thiel aveva una visione radicale: creare una </w:t>
      </w:r>
      <w:r>
        <w:rPr>
          <w:rFonts w:ascii="Arial" w:cs="Arial" w:eastAsia="Arial" w:hAnsi="Arial"/>
          <w:b/>
          <w:bCs/>
          <w:color w:val="2C2C2C"/>
          <w:sz w:val="22"/>
          <w:szCs w:val="22"/>
        </w:rPr>
        <w:t xml:space="preserve">valuta digitale globale indipendente dai governi e dalle banche centrali</w:t>
      </w:r>
      <w:r>
        <w:rPr>
          <w:rFonts w:ascii="Arial" w:cs="Arial" w:eastAsia="Arial" w:hAnsi="Arial"/>
          <w:color w:val="2C2C2C"/>
          <w:sz w:val="22"/>
          <w:szCs w:val="22"/>
        </w:rPr>
        <w:t xml:space="preserve">. PayPal non voleva migliorare il sistema bancario esistente: voleva </w:t>
      </w:r>
      <w:r>
        <w:rPr>
          <w:rFonts w:ascii="Arial" w:cs="Arial" w:eastAsia="Arial" w:hAnsi="Arial"/>
          <w:b/>
          <w:bCs/>
          <w:color w:val="2C2C2C"/>
          <w:sz w:val="22"/>
          <w:szCs w:val="22"/>
        </w:rPr>
        <w:t xml:space="preserve">sostituirlo</w:t>
      </w:r>
      <w:r>
        <w:rPr>
          <w:rFonts w:ascii="Arial" w:cs="Arial" w:eastAsia="Arial" w:hAnsi="Arial"/>
          <w:color w:val="2C2C2C"/>
          <w:sz w:val="22"/>
          <w:szCs w:val="22"/>
        </w:rPr>
        <w:t xml:space="preserve">. Sebbene questa visione originale fosse stata temperata dalla realtà regolamentare, il modello operativo di PayPal ha anticipato di oltre vent’anni i principi che la PSD2 ha poi codificato in legge.</w:t>
      </w:r>
    </w:p>
    <w:p>
      <w:pPr>
        <w:pStyle w:val="Heading2"/>
        <w:spacing w:after="100" w:before="240"/>
      </w:pPr>
      <w:r>
        <w:rPr>
          <w:rFonts w:ascii="Arial" w:cs="Arial" w:eastAsia="Arial" w:hAnsi="Arial"/>
          <w:b/>
          <w:bCs/>
          <w:color w:val="2E75B6"/>
          <w:sz w:val="24"/>
          <w:szCs w:val="24"/>
        </w:rPr>
        <w:t xml:space="preserve">2.2 La Filosofia “Da Zero a Uno”</w:t>
      </w:r>
    </w:p>
    <w:p>
      <w:pPr>
        <w:spacing w:after="100" w:before="100" w:line="276"/>
        <w:jc w:val="both"/>
      </w:pPr>
      <w:r>
        <w:rPr>
          <w:rFonts w:ascii="Arial" w:cs="Arial" w:eastAsia="Arial" w:hAnsi="Arial"/>
          <w:color w:val="2C2C2C"/>
          <w:sz w:val="22"/>
          <w:szCs w:val="22"/>
        </w:rPr>
        <w:t xml:space="preserve">Nel suo libro “Zero to One” (2014), Thiel articola una filosofia imprenditoriale che descrive perfettamente il modello di business delle Fintech nate nell’era PSD2. Il concetto centrale è che la vera innovazione non procede “da uno a n” (replicare ciò che esiste in scala) ma “da zero a uno” — creare qualcosa di fondamentalmente nuovo che prima non esisteva.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26"/>
        <w:gridCol w:w="1700"/>
      </w:tblGrid>
      <w:tr>
        <w:tc>
          <w:tcPr>
            <w:tcW w:type="dxa" w:w="20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Principio Thiel</w:t>
            </w:r>
          </w:p>
        </w:tc>
        <w:tc>
          <w:tcPr>
            <w:tcW w:type="dxa" w:w="25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Applicazione Fintech</w:t>
            </w:r>
          </w:p>
        </w:tc>
        <w:tc>
          <w:tcPr>
            <w:tcW w:type="dxa" w:w="2826"/>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Esempio concreto</w:t>
            </w:r>
          </w:p>
        </w:tc>
        <w:tc>
          <w:tcPr>
            <w:tcW w:type="dxa" w:w="17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Effetto PSD2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Monopolio tecnologico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Dominare una nicchia prima di espandersi</w:t>
            </w:r>
          </w:p>
        </w:tc>
        <w:tc>
          <w:tcPr>
            <w:tcW w:type="dxa" w:w="2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Revolut: cambio valuta gratuito come nicchia globale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Accesso ai conti bancari via API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Network effect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Il valore cresce con gli utenti</w:t>
            </w:r>
          </w:p>
        </w:tc>
        <w:tc>
          <w:tcPr>
            <w:tcW w:type="dxa" w:w="28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Klarna: più merchant → più utenti → più merchant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Aggregazione multi-conto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Da zero a uno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Non ottimizzare il vecchio sistema, crearne uno nuovo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N26: nessuna filiale, solo app nativa mobile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Neobank senza legacy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Segreti nascosti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Sfruttare asimmetrie informative</w:t>
            </w:r>
          </w:p>
        </w:tc>
        <w:tc>
          <w:tcPr>
            <w:tcW w:type="dxa" w:w="28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Fintech usano dati PSD2 che le banche non valorizzano</w:t>
            </w:r>
          </w:p>
        </w:tc>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Open data come vantaggio</w:t>
            </w:r>
          </w:p>
        </w:tc>
      </w:tr>
    </w:tbl>
    <w:p>
      <w:pPr>
        <w:spacing w:after="80" w:before="80"/>
      </w:pPr>
    </w:p>
    <w:p>
      <w:pPr>
        <w:pStyle w:val="Heading2"/>
        <w:spacing w:after="100" w:before="240"/>
      </w:pPr>
      <w:r>
        <w:rPr>
          <w:rFonts w:ascii="Arial" w:cs="Arial" w:eastAsia="Arial" w:hAnsi="Arial"/>
          <w:b/>
          <w:bCs/>
          <w:color w:val="2E75B6"/>
          <w:sz w:val="24"/>
          <w:szCs w:val="24"/>
        </w:rPr>
        <w:t xml:space="preserve">2.3 Dalla PayPal Mafia all’Espansionismo delle Big Tech</w:t>
      </w:r>
    </w:p>
    <w:p>
      <w:pPr>
        <w:spacing w:after="100" w:before="100" w:line="276"/>
        <w:jc w:val="both"/>
      </w:pPr>
      <w:r>
        <w:rPr>
          <w:rFonts w:ascii="Arial" w:cs="Arial" w:eastAsia="Arial" w:hAnsi="Arial"/>
          <w:b/>
          <w:bCs/>
          <w:color w:val="2C2C2C"/>
          <w:sz w:val="22"/>
          <w:szCs w:val="22"/>
        </w:rPr>
        <w:t xml:space="preserve">La “PayPal Mafia”</w:t>
      </w:r>
      <w:r>
        <w:rPr>
          <w:rFonts w:ascii="Arial" w:cs="Arial" w:eastAsia="Arial" w:hAnsi="Arial"/>
          <w:color w:val="2C2C2C"/>
          <w:sz w:val="22"/>
          <w:szCs w:val="22"/>
        </w:rPr>
        <w:t xml:space="preserve"> è il nome con cui viene indicato il gruppo di ex dipendenti e co-fondatori di PayPal che hanno successivamente fondato o finanziato alcune delle aziende più influenti della Silicon Valley: LinkedIn (Reid Hoffman), YouTube (Chad Hurley, Steve Chen), Yelp, Palantir, Tesla, SpaceX. Questo fenomeno dimostra come un’azienda tecnologicamente visionaria generi un effetto moltiplicatore sull’intero ecosistema dell’innovazione.</w:t>
      </w:r>
    </w:p>
    <w:p>
      <w:pPr>
        <w:spacing w:after="100" w:before="100" w:line="276"/>
        <w:jc w:val="both"/>
      </w:pPr>
      <w:r>
        <w:rPr>
          <w:rFonts w:ascii="Arial" w:cs="Arial" w:eastAsia="Arial" w:hAnsi="Arial"/>
          <w:color w:val="2C2C2C"/>
          <w:sz w:val="22"/>
          <w:szCs w:val="22"/>
        </w:rPr>
        <w:t xml:space="preserve">Il vero erede di quella visione, oggi, non sono le startup Fintech europee, ma le </w:t>
      </w:r>
      <w:r>
        <w:rPr>
          <w:rFonts w:ascii="Arial" w:cs="Arial" w:eastAsia="Arial" w:hAnsi="Arial"/>
          <w:b/>
          <w:bCs/>
          <w:color w:val="2C2C2C"/>
          <w:sz w:val="22"/>
          <w:szCs w:val="22"/>
        </w:rPr>
        <w:t xml:space="preserve">grandi piattaforme tecnologiche globali</w:t>
      </w:r>
      <w:r>
        <w:rPr>
          <w:rFonts w:ascii="Arial" w:cs="Arial" w:eastAsia="Arial" w:hAnsi="Arial"/>
          <w:color w:val="2C2C2C"/>
          <w:sz w:val="22"/>
          <w:szCs w:val="22"/>
        </w:rPr>
        <w:t xml:space="preserve"> — Meta, Apple, Google, Amazon, Microsoft — che stanno applicando esattamente la logica thieliana: dominare prima una nicchia (social, search, e-commerce, cloud), poi espandersi nei servizi finanziari come passo naturale verso il monopolio dell’ecosistema digitale dell’utente.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180"/>
              <w:left w:type="dxa" w:w="240"/>
              <w:bottom w:type="dxa" w:w="180"/>
              <w:right w:type="dxa" w:w="240"/>
            </w:tcMar>
          </w:tcPr>
          <w:p>
            <w:pPr>
              <w:spacing w:after="100" w:before="0"/>
            </w:pPr>
            <w:r>
              <w:rPr>
                <w:rFonts w:ascii="Arial" w:cs="Arial" w:eastAsia="Arial" w:hAnsi="Arial"/>
                <w:b/>
                <w:bCs/>
                <w:color w:val="2E75B6"/>
                <w:sz w:val="22"/>
                <w:szCs w:val="22"/>
              </w:rPr>
              <w:t xml:space="preserve">🌐 Big Tech nei mercati finanziari: tre modelli di espansione</w:t>
            </w:r>
          </w:p>
          <w:p>
            <w:pPr>
              <w:pStyle w:val="ListParagraph"/>
              <w:numPr>
                <w:ilvl w:val="0"/>
                <w:numId w:val="2"/>
              </w:numPr>
              <w:spacing w:after="60" w:before="60"/>
              <w:jc w:val="left"/>
            </w:pPr>
            <w:r>
              <w:rPr>
                <w:rFonts w:ascii="Arial" w:cs="Arial" w:eastAsia="Arial" w:hAnsi="Arial"/>
                <w:b/>
                <w:bCs/>
                <w:color w:val="2C2C2C"/>
                <w:sz w:val="22"/>
                <w:szCs w:val="22"/>
              </w:rPr>
              <w:t xml:space="preserve">Apple: </w:t>
            </w:r>
            <w:r>
              <w:rPr>
                <w:rFonts w:ascii="Arial" w:cs="Arial" w:eastAsia="Arial" w:hAnsi="Arial"/>
                <w:color w:val="2C2C2C"/>
                <w:sz w:val="22"/>
                <w:szCs w:val="22"/>
              </w:rPr>
              <w:t xml:space="preserve">Apple Pay &amp; Apple Card — Apple non ha costruito una banca: ha reso la banca irrilevante nell’esperienza utente. Inserendo i pagamenti direttamente nel chip NFC dell’iPhone e nel Wallet, ha creato un ecosistema chiuso in cui il fornitore bancario è invisibile. Apple Card (con Goldman Sachs) applica il machine learning per la gestione del credito.</w:t>
            </w:r>
          </w:p>
          <w:p>
            <w:pPr>
              <w:pStyle w:val="ListParagraph"/>
              <w:numPr>
                <w:ilvl w:val="0"/>
                <w:numId w:val="2"/>
              </w:numPr>
              <w:spacing w:after="60" w:before="60"/>
              <w:jc w:val="left"/>
            </w:pPr>
            <w:r>
              <w:rPr>
                <w:rFonts w:ascii="Arial" w:cs="Arial" w:eastAsia="Arial" w:hAnsi="Arial"/>
                <w:b/>
                <w:bCs/>
                <w:color w:val="2C2C2C"/>
                <w:sz w:val="22"/>
                <w:szCs w:val="22"/>
              </w:rPr>
              <w:t xml:space="preserve">Google: </w:t>
            </w:r>
            <w:r>
              <w:rPr>
                <w:rFonts w:ascii="Arial" w:cs="Arial" w:eastAsia="Arial" w:hAnsi="Arial"/>
                <w:color w:val="2C2C2C"/>
                <w:sz w:val="22"/>
                <w:szCs w:val="22"/>
              </w:rPr>
              <w:t xml:space="preserve">Google Pay &amp; Google Wallet — Google sfrutta i dati comportamentali di Search e Maps per offrire servizi finanziari contestuali. In India (con Google Pay UPI) è diventato uno dei più grandi operatori di pagamento del paese, con oltre 100 milioni di utenti, senza essere una banca regolamentata.</w:t>
            </w:r>
          </w:p>
          <w:p>
            <w:pPr>
              <w:pStyle w:val="ListParagraph"/>
              <w:numPr>
                <w:ilvl w:val="0"/>
                <w:numId w:val="2"/>
              </w:numPr>
              <w:spacing w:after="60" w:before="60"/>
              <w:jc w:val="left"/>
            </w:pPr>
            <w:r>
              <w:rPr>
                <w:rFonts w:ascii="Arial" w:cs="Arial" w:eastAsia="Arial" w:hAnsi="Arial"/>
                <w:b/>
                <w:bCs/>
                <w:color w:val="2C2C2C"/>
                <w:sz w:val="22"/>
                <w:szCs w:val="22"/>
              </w:rPr>
              <w:t xml:space="preserve">Meta: </w:t>
            </w:r>
            <w:r>
              <w:rPr>
                <w:rFonts w:ascii="Arial" w:cs="Arial" w:eastAsia="Arial" w:hAnsi="Arial"/>
                <w:color w:val="2C2C2C"/>
                <w:sz w:val="22"/>
                <w:szCs w:val="22"/>
              </w:rPr>
              <w:t xml:space="preserve">Meta &amp; WhatsApp Pay — Meta ha lanciato pagamenti P2P integrati in WhatsApp in India e Brasile, sfruttando la base utenti esistente. Il progetto Libra/Diem (poi abortito per pressioni regolatorie) era un tentativo di creare una valuta digitale globale: esattamente la visione originale di Thiel con PayPal.</w:t>
            </w:r>
          </w:p>
          <w:p>
            <w:pPr>
              <w:pStyle w:val="ListParagraph"/>
              <w:numPr>
                <w:ilvl w:val="0"/>
                <w:numId w:val="2"/>
              </w:numPr>
              <w:spacing w:after="60" w:before="60"/>
              <w:jc w:val="left"/>
            </w:pPr>
            <w:r>
              <w:rPr>
                <w:rFonts w:ascii="Arial" w:cs="Arial" w:eastAsia="Arial" w:hAnsi="Arial"/>
                <w:b/>
                <w:bCs/>
                <w:color w:val="2C2C2C"/>
                <w:sz w:val="22"/>
                <w:szCs w:val="22"/>
              </w:rPr>
              <w:t xml:space="preserve">Amazon: </w:t>
            </w:r>
            <w:r>
              <w:rPr>
                <w:rFonts w:ascii="Arial" w:cs="Arial" w:eastAsia="Arial" w:hAnsi="Arial"/>
                <w:color w:val="2C2C2C"/>
                <w:sz w:val="22"/>
                <w:szCs w:val="22"/>
              </w:rPr>
              <w:t xml:space="preserve">Amazon &amp; Embedded Finance — Amazon Lending offre credito ai merchant della piattaforma sulla base dei loro dati di vendita. Amazon Pay è presente in migliaia di siti e-commerce. L’integrazione di Buy Now Pay Later tramite Affirm amplifica la conversione senza che l’utente lasci mai l’ecosistema.</w:t>
            </w:r>
          </w:p>
        </w:tc>
      </w:tr>
    </w:tbl>
    <w:p>
      <w:pPr>
        <w:spacing w:after="80" w:before="80"/>
      </w:pPr>
    </w:p>
    <w:p>
      <w:pPr>
        <w:spacing w:after="100" w:before="100" w:line="276"/>
        <w:jc w:val="both"/>
      </w:pPr>
      <w:r>
        <w:rPr>
          <w:rFonts w:ascii="Arial" w:cs="Arial" w:eastAsia="Arial" w:hAnsi="Arial"/>
          <w:color w:val="2C2C2C"/>
          <w:sz w:val="22"/>
          <w:szCs w:val="22"/>
        </w:rPr>
        <w:t xml:space="preserve">Questa espansione non è casuale: è strutturale. Le Big Tech partono da un vantaggio che nessuna Fintech può replicare: </w:t>
      </w:r>
      <w:r>
        <w:rPr>
          <w:rFonts w:ascii="Arial" w:cs="Arial" w:eastAsia="Arial" w:hAnsi="Arial"/>
          <w:b/>
          <w:bCs/>
          <w:color w:val="2C2C2C"/>
          <w:sz w:val="22"/>
          <w:szCs w:val="22"/>
        </w:rPr>
        <w:t xml:space="preserve">miliardi di utenti già fidelizzati</w:t>
      </w:r>
      <w:r>
        <w:rPr>
          <w:rFonts w:ascii="Arial" w:cs="Arial" w:eastAsia="Arial" w:hAnsi="Arial"/>
          <w:color w:val="2C2C2C"/>
          <w:sz w:val="22"/>
          <w:szCs w:val="22"/>
        </w:rPr>
        <w:t xml:space="preserve">, dati comportamentali profondi e infrastrutture cloud globali. La PSD2 ha aperto le porte del sistema bancario europeo anche a loro, ma con un paradosso: mentre le Fintech sono pienamente regolamentate, Apple e Google operano spesso ai margini del framework PSD2 grazie al controllo esclusivo dei chip NFC degli smartphone — una lacuna che la PSD3 cerca di colmare.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ECEA" w:val="clear"/>
            <w:tcMar>
              <w:top w:type="dxa" w:w="180"/>
              <w:left w:type="dxa" w:w="240"/>
              <w:bottom w:type="dxa" w:w="180"/>
              <w:right w:type="dxa" w:w="240"/>
            </w:tcMar>
          </w:tcPr>
          <w:p>
            <w:pPr>
              <w:spacing w:after="80" w:before="0"/>
            </w:pPr>
            <w:r>
              <w:rPr>
                <w:rFonts w:ascii="Arial" w:cs="Arial" w:eastAsia="Arial" w:hAnsi="Arial"/>
                <w:b/>
                <w:bCs/>
                <w:color w:val="C0392B"/>
                <w:sz w:val="22"/>
                <w:szCs w:val="22"/>
              </w:rPr>
              <w:t xml:space="preserve">⚠️ Il paradosso del monopolio digitale</w:t>
            </w:r>
          </w:p>
          <w:p>
            <w:pPr>
              <w:spacing w:after="0" w:before="0" w:line="276"/>
              <w:jc w:val="both"/>
            </w:pPr>
            <w:r>
              <w:rPr>
                <w:rFonts w:ascii="Arial" w:cs="Arial" w:eastAsia="Arial" w:hAnsi="Arial"/>
                <w:color w:val="2C2C2C"/>
                <w:sz w:val="22"/>
                <w:szCs w:val="22"/>
              </w:rPr>
              <w:t xml:space="preserve">Thiel aveva teorizzato che il miglior business è quello che crea un monopolio mascherato da mercato competitivo. Le Big Tech lo stanno applicando ai pagamenti: Apple controlla l’accesso NFC su iOS, Google domina Android. Chi vuole accedere ai pagamenti mobile deve passare per loro. Non è un caso che la Commissione Europea abbia aperto indagini antitrust su Apple Pay nel 2022, concludendosi con impegni di apertura dell’NFC ai concorrenti.</w:t>
            </w:r>
          </w:p>
        </w:tc>
      </w:tr>
    </w:tbl>
    <w:p>
      <w:pPr>
        <w:spacing w:after="100" w:before="100"/>
      </w:pPr>
    </w:p>
    <w:p>
      <w:pPr>
        <w:pStyle w:val="Heading1"/>
        <w:pBdr>
          <w:bottom w:val="single" w:color="2E75B6" w:sz="8" w:space="4"/>
        </w:pBdr>
        <w:spacing w:after="140" w:before="320"/>
      </w:pPr>
      <w:r>
        <w:rPr>
          <w:rFonts w:ascii="Arial" w:cs="Arial" w:eastAsia="Arial" w:hAnsi="Arial"/>
          <w:b/>
          <w:bCs/>
          <w:color w:val="1F497D"/>
          <w:sz w:val="30"/>
          <w:szCs w:val="30"/>
        </w:rPr>
        <w:t xml:space="preserve">3. Nascita e Crescita delle Fintech nell’Era PSD2</w:t>
      </w:r>
    </w:p>
    <w:p>
      <w:pPr>
        <w:pStyle w:val="Heading2"/>
        <w:spacing w:after="100" w:before="240"/>
      </w:pPr>
      <w:r>
        <w:rPr>
          <w:rFonts w:ascii="Arial" w:cs="Arial" w:eastAsia="Arial" w:hAnsi="Arial"/>
          <w:b/>
          <w:bCs/>
          <w:color w:val="2E75B6"/>
          <w:sz w:val="24"/>
          <w:szCs w:val="24"/>
        </w:rPr>
        <w:t xml:space="preserve">3.1 I Modelli di Business: Come Guadagnano le Fintech</w:t>
      </w:r>
    </w:p>
    <w:p>
      <w:pPr>
        <w:spacing w:after="100" w:before="100" w:line="276"/>
        <w:jc w:val="both"/>
      </w:pPr>
      <w:r>
        <w:rPr>
          <w:rFonts w:ascii="Arial" w:cs="Arial" w:eastAsia="Arial" w:hAnsi="Arial"/>
          <w:color w:val="2C2C2C"/>
          <w:sz w:val="22"/>
          <w:szCs w:val="22"/>
        </w:rPr>
        <w:t xml:space="preserve">Il termine “Fintech” (Financial Technology) designa aziende che utilizzano la tecnologia digitale per offrire servizi finanziari in modo più efficiente, accessibile e a costi inferiori rispetto ai canali bancari tradizionali. Ma come guadagnano concretamente? I modelli di business sono diversi e spesso combinati tra loro.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2726"/>
      </w:tblGrid>
      <w:tr>
        <w:tc>
          <w:tcPr>
            <w:tcW w:type="dxa" w:w="18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Modello</w:t>
            </w:r>
          </w:p>
        </w:tc>
        <w:tc>
          <w:tcPr>
            <w:tcW w:type="dxa" w:w="20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Funzione PSD2</w:t>
            </w:r>
          </w:p>
        </w:tc>
        <w:tc>
          <w:tcPr>
            <w:tcW w:type="dxa" w:w="25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Come guadagna</w:t>
            </w:r>
          </w:p>
        </w:tc>
        <w:tc>
          <w:tcPr>
            <w:tcW w:type="dxa" w:w="2726"/>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Esempio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Neobank / Challenger Bank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Conto corrente nativo digitale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Commissioni interchange, abbonamenti premium, prestiti</w:t>
            </w:r>
          </w:p>
        </w:tc>
        <w:tc>
          <w:tcPr>
            <w:tcW w:type="dxa" w:w="2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N26, Revolut, Bunq</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Payment Initiation (PISP)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Disposizione pagamenti senza carta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Fee per transazione a merchant (&lt; costi carta)</w:t>
            </w:r>
          </w:p>
        </w:tc>
        <w:tc>
          <w:tcPr>
            <w:tcW w:type="dxa" w:w="27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Klarna, TrueLayer, Token.io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Account Aggregation (AISP)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Visualizzazione multi-conto unificata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Abbonamento utente, vendita insight anonimi a banche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Plum, Emma, Yolt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Banking-as-a-Service (BaaS)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Infrastruttura bancaria API per terzi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Fee per API call, licenza white-label</w:t>
            </w:r>
          </w:p>
        </w:tc>
        <w:tc>
          <w:tcPr>
            <w:tcW w:type="dxa" w:w="27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Solarisbank, ClearBank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Embedded 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Finanza integrata in piattaforme non bancarie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Revenue share con partner, spread su credito</w:t>
            </w:r>
          </w:p>
        </w:tc>
        <w:tc>
          <w:tcPr>
            <w:tcW w:type="dxa" w:w="2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Shopify Payments, Stripe Treasury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Buy Now Pay Later (BNPL)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Credito istantaneo al checkout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Interessi su rate, commissioni al merchant (3-6%)</w:t>
            </w:r>
          </w:p>
        </w:tc>
        <w:tc>
          <w:tcPr>
            <w:tcW w:type="dxa" w:w="27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Klarna, Scalapay, Afterpay</w:t>
            </w:r>
          </w:p>
        </w:tc>
      </w:tr>
    </w:tbl>
    <w:p>
      <w:pPr>
        <w:spacing w:after="80" w:before="80"/>
      </w:pPr>
    </w:p>
    <w:p>
      <w:pPr>
        <w:spacing w:after="100" w:before="100" w:line="276"/>
        <w:jc w:val="both"/>
      </w:pPr>
      <w:r>
        <w:rPr>
          <w:rFonts w:ascii="Arial" w:cs="Arial" w:eastAsia="Arial" w:hAnsi="Arial"/>
          <w:b/>
          <w:bCs/>
          <w:color w:val="2C2C2C"/>
          <w:sz w:val="22"/>
          <w:szCs w:val="22"/>
        </w:rPr>
        <w:t xml:space="preserve">Un aspetto cruciale è la strategia freemium</w:t>
      </w:r>
      <w:r>
        <w:rPr>
          <w:rFonts w:ascii="Arial" w:cs="Arial" w:eastAsia="Arial" w:hAnsi="Arial"/>
          <w:color w:val="2C2C2C"/>
          <w:sz w:val="22"/>
          <w:szCs w:val="22"/>
        </w:rPr>
        <w:t xml:space="preserve">: molte Fintech offrono il servizio base gratuitamente per acquisire utenti a basso costo (sfruttando le API PSD2 invece di costruire infrastrutture proprie), poi monetizzano con tier premium. Revolut Metal, N26 Smart, Bunq Easy Money sono esempi di pacchetti a pagamento che portano fino al 30% del fatturato totale. La gratuita del servizio base è finanziata dal costo marginale quasi zero della distribuzione digitale: un’equazione impossibile per le banche tradizionali con costi di filiale.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9F7EF" w:val="clear"/>
            <w:tcMar>
              <w:top w:type="dxa" w:w="180"/>
              <w:left w:type="dxa" w:w="240"/>
              <w:bottom w:type="dxa" w:w="180"/>
              <w:right w:type="dxa" w:w="240"/>
            </w:tcMar>
          </w:tcPr>
          <w:p>
            <w:pPr>
              <w:spacing w:after="80" w:before="0"/>
            </w:pPr>
            <w:r>
              <w:rPr>
                <w:rFonts w:ascii="Arial" w:cs="Arial" w:eastAsia="Arial" w:hAnsi="Arial"/>
                <w:b/>
                <w:bCs/>
                <w:color w:val="196F3D"/>
                <w:sz w:val="22"/>
                <w:szCs w:val="22"/>
              </w:rPr>
              <w:t xml:space="preserve">💡 Il modello Klarna: BNPL come gateway</w:t>
            </w:r>
          </w:p>
          <w:p>
            <w:pPr>
              <w:spacing w:after="0" w:before="0" w:line="276"/>
              <w:jc w:val="both"/>
            </w:pPr>
            <w:r>
              <w:rPr>
                <w:rFonts w:ascii="Arial" w:cs="Arial" w:eastAsia="Arial" w:hAnsi="Arial"/>
                <w:color w:val="2C2C2C"/>
                <w:sz w:val="22"/>
                <w:szCs w:val="22"/>
              </w:rPr>
              <w:t xml:space="preserve">Klarna non è una semplice app di pagamento: è un sistema di distribuzione commerciale. Offrendo “Paga in 3 rate senza interessi”, Klarna riduce l’attrito al checkout aumentando le conversioni del merchant (mediamente +30%). Il merchant paga una commissione del 3-5% per questo vantaggio. L’utente non paga nulla — ma Klarna acquisisce dati su ogni acquisto, ogni categoria, ogni comportamento. Questi dati diventano il vero asset: servono per valutare il credito, fare upsell di prodotti assicurativi e costruire profili predittivi. Nel 2023 Klarna ha raggiunto i 150 milioni di utenti attivi in 45 paesi.</w:t>
            </w:r>
          </w:p>
        </w:tc>
      </w:tr>
    </w:tbl>
    <w:p>
      <w:pPr>
        <w:pStyle w:val="Heading2"/>
        <w:spacing w:after="100" w:before="240"/>
      </w:pPr>
      <w:r>
        <w:rPr>
          <w:rFonts w:ascii="Arial" w:cs="Arial" w:eastAsia="Arial" w:hAnsi="Arial"/>
          <w:b/>
          <w:bCs/>
          <w:color w:val="2E75B6"/>
          <w:sz w:val="24"/>
          <w:szCs w:val="24"/>
        </w:rPr>
        <w:t xml:space="preserve">3.2 Casi Studio Comparativi: Revolut e N26</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3426"/>
      </w:tblGrid>
      <w:tr>
        <w:tc>
          <w:tcPr>
            <w:tcW w:type="dxa" w:w="14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
            </w:r>
          </w:p>
        </w:tc>
        <w:tc>
          <w:tcPr>
            <w:tcW w:type="dxa" w:w="21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Revolut</w:t>
            </w:r>
          </w:p>
        </w:tc>
        <w:tc>
          <w:tcPr>
            <w:tcW w:type="dxa" w:w="21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N26</w:t>
            </w:r>
          </w:p>
        </w:tc>
        <w:tc>
          <w:tcPr>
            <w:tcW w:type="dxa" w:w="3426"/>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Confronto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Fondazione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2015, Londra — Nikolay Storonsky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2013, Berlino — Valentin Stalf</w:t>
            </w:r>
          </w:p>
        </w:tc>
        <w:tc>
          <w:tcPr>
            <w:tcW w:type="dxa" w:w="3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Due approcci europei</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Utenti (2024)</w:t>
            </w:r>
          </w:p>
        </w:tc>
        <w:tc>
          <w:tcPr>
            <w:tcW w:type="dxa" w:w="21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45+ milioni globali</w:t>
            </w:r>
          </w:p>
        </w:tc>
        <w:tc>
          <w:tcPr>
            <w:tcW w:type="dxa" w:w="21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8+ milioni in Europa</w:t>
            </w:r>
          </w:p>
        </w:tc>
        <w:tc>
          <w:tcPr>
            <w:tcW w:type="dxa" w:w="34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Revolut scala globalmente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Ruolo PSD2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AISP + PISP: aggrega conti e dispone pagamenti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Neobank: conto nativo senza filiali</w:t>
            </w:r>
          </w:p>
        </w:tc>
        <w:tc>
          <w:tcPr>
            <w:tcW w:type="dxa" w:w="3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Diversi use case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Come guadagna</w:t>
            </w:r>
          </w:p>
        </w:tc>
        <w:tc>
          <w:tcPr>
            <w:tcW w:type="dxa" w:w="21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Premium Metal/Gold, crypto, stock trading, BaaS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Piano Smart/You/Metal, credito al consumo</w:t>
            </w:r>
          </w:p>
        </w:tc>
        <w:tc>
          <w:tcPr>
            <w:tcW w:type="dxa" w:w="34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Revenue diversificata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Strategia Thiel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Nicchia globale → espansione servizi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Semplicità radicale come barriera d’ingresso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Zero-to-one diverso</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Valutazione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~45 miliardi USD (2024)</w:t>
            </w:r>
          </w:p>
        </w:tc>
        <w:tc>
          <w:tcPr>
            <w:tcW w:type="dxa" w:w="21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~9 miliardi USD (2021)</w:t>
            </w:r>
          </w:p>
        </w:tc>
        <w:tc>
          <w:tcPr>
            <w:tcW w:type="dxa" w:w="34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Gap da scalabilità</w:t>
            </w:r>
          </w:p>
        </w:tc>
      </w:tr>
    </w:tbl>
    <w:p>
      <w:pPr>
        <w:spacing w:after="100" w:before="100"/>
      </w:pPr>
    </w:p>
    <w:p>
      <w:pPr>
        <w:pStyle w:val="Heading1"/>
        <w:pBdr>
          <w:bottom w:val="single" w:color="2E75B6" w:sz="8" w:space="4"/>
        </w:pBdr>
        <w:spacing w:after="140" w:before="320"/>
      </w:pPr>
      <w:r>
        <w:rPr>
          <w:rFonts w:ascii="Arial" w:cs="Arial" w:eastAsia="Arial" w:hAnsi="Arial"/>
          <w:b/>
          <w:bCs/>
          <w:color w:val="1F497D"/>
          <w:sz w:val="30"/>
          <w:szCs w:val="30"/>
        </w:rPr>
        <w:t xml:space="preserve">4. Impatto sui Consumatori</w:t>
      </w:r>
    </w:p>
    <w:p>
      <w:pPr>
        <w:pStyle w:val="Heading2"/>
        <w:spacing w:after="100" w:before="240"/>
      </w:pPr>
      <w:r>
        <w:rPr>
          <w:rFonts w:ascii="Arial" w:cs="Arial" w:eastAsia="Arial" w:hAnsi="Arial"/>
          <w:b/>
          <w:bCs/>
          <w:color w:val="2E75B6"/>
          <w:sz w:val="24"/>
          <w:szCs w:val="24"/>
        </w:rPr>
        <w:t xml:space="preserve">4.1 Vantaggi, Rischi e Casi Reali di Frode</w:t>
      </w:r>
    </w:p>
    <w:p>
      <w:pPr>
        <w:spacing w:after="100" w:before="100" w:line="276"/>
        <w:jc w:val="both"/>
      </w:pPr>
      <w:r>
        <w:rPr>
          <w:rFonts w:ascii="Arial" w:cs="Arial" w:eastAsia="Arial" w:hAnsi="Arial"/>
          <w:color w:val="2C2C2C"/>
          <w:sz w:val="22"/>
          <w:szCs w:val="22"/>
        </w:rPr>
        <w:t xml:space="preserve">Per il consumatore europeo, la PSD2 ha prodotto benefici tangibili e misurabili. L’introduzione della Strong Customer Authentication (SCA) — doppia verifica obbligatoria per ogni transazione — ha ridotto significativamente le frodi “card not present”. Tuttavia, l’apertura del mercato ha introdotto nuovi profili di rischio che illustrano chiaramente perché è necessaria una PSD3.</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40" w:before="40"/>
              <w:jc w:val="left"/>
            </w:pPr>
            <w:r>
              <w:rPr>
                <w:rFonts w:ascii="Arial" w:cs="Arial" w:eastAsia="Arial" w:hAnsi="Arial"/>
                <w:b/>
                <w:bCs/>
                <w:color w:val="FFFFFF"/>
                <w:sz w:val="20"/>
                <w:szCs w:val="20"/>
              </w:rPr>
              <w:t xml:space="preserve">Vantaggi per il Consumatore</w:t>
            </w:r>
          </w:p>
        </w:tc>
        <w:tc>
          <w:tcPr>
            <w:tcW w:type="dxa" w:w="5026"/>
            <w:tcBorders>
              <w:top w:val="single" w:color="CCCCCC" w:sz="1"/>
              <w:left w:val="single" w:color="CCCCCC" w:sz="1"/>
              <w:bottom w:val="single" w:color="CCCCCC" w:sz="1"/>
              <w:right w:val="single" w:color="CCCCCC" w:sz="1"/>
            </w:tcBorders>
            <w:shd w:fill="1F497D" w:val="clear"/>
            <w:tcMar>
              <w:top w:type="dxa" w:w="80"/>
              <w:left w:type="dxa" w:w="140"/>
              <w:bottom w:type="dxa" w:w="80"/>
              <w:right w:type="dxa" w:w="140"/>
            </w:tcMar>
          </w:tcPr>
          <w:p>
            <w:pPr>
              <w:spacing w:after="40" w:before="40"/>
              <w:jc w:val="left"/>
            </w:pPr>
            <w:r>
              <w:rPr>
                <w:rFonts w:ascii="Arial" w:cs="Arial" w:eastAsia="Arial" w:hAnsi="Arial"/>
                <w:b/>
                <w:bCs/>
                <w:color w:val="FFFFFF"/>
                <w:sz w:val="20"/>
                <w:szCs w:val="20"/>
              </w:rPr>
              <w:t xml:space="preserve">Rischi e Problematiche Reali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2C2C2C"/>
                <w:sz w:val="20"/>
                <w:szCs w:val="20"/>
              </w:rPr>
              <w:t xml:space="preserve">Maggiore scelta di provider finanziari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2C2C2C"/>
                <w:sz w:val="20"/>
                <w:szCs w:val="20"/>
              </w:rPr>
              <w:t xml:space="preserve">Sovraesposizione dei dati personali e finanziari</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spacing w:after="40" w:before="40"/>
              <w:jc w:val="left"/>
            </w:pPr>
            <w:r>
              <w:rPr>
                <w:rFonts w:ascii="Arial" w:cs="Arial" w:eastAsia="Arial" w:hAnsi="Arial"/>
                <w:b w:val="false"/>
                <w:bCs w:val="false"/>
                <w:color w:val="2C2C2C"/>
                <w:sz w:val="20"/>
                <w:szCs w:val="20"/>
              </w:rPr>
              <w:t xml:space="preserve">Riduzione di commissioni e costi di transazione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2C2C2C"/>
                <w:sz w:val="20"/>
                <w:szCs w:val="20"/>
              </w:rPr>
              <w:t xml:space="preserve">Phishing e social engineering avanzato (vishing)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2C2C2C"/>
                <w:sz w:val="20"/>
                <w:szCs w:val="20"/>
              </w:rPr>
              <w:t xml:space="preserve">Accesso a servizi di gestione finanziaria integrata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2C2C2C"/>
                <w:sz w:val="20"/>
                <w:szCs w:val="20"/>
              </w:rPr>
              <w:t xml:space="preserve">APP Fraud: bonifici autorizzati verso conti truffatori</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spacing w:after="40" w:before="40"/>
              <w:jc w:val="left"/>
            </w:pPr>
            <w:r>
              <w:rPr>
                <w:rFonts w:ascii="Arial" w:cs="Arial" w:eastAsia="Arial" w:hAnsi="Arial"/>
                <w:b w:val="false"/>
                <w:bCs w:val="false"/>
                <w:color w:val="2C2C2C"/>
                <w:sz w:val="20"/>
                <w:szCs w:val="20"/>
              </w:rPr>
              <w:t xml:space="preserve">Pagamenti istantanei e cross-border a basso costo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2C2C2C"/>
                <w:sz w:val="20"/>
                <w:szCs w:val="20"/>
              </w:rPr>
              <w:t xml:space="preserve">Dipendenza da infrastrutture digitali private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2C2C2C"/>
                <w:sz w:val="20"/>
                <w:szCs w:val="20"/>
              </w:rPr>
              <w:t xml:space="preserve">Trasparenza sulle commissioni (divieto di surcharge)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jc w:val="left"/>
            </w:pPr>
            <w:r>
              <w:rPr>
                <w:rFonts w:ascii="Arial" w:cs="Arial" w:eastAsia="Arial" w:hAnsi="Arial"/>
                <w:b w:val="false"/>
                <w:bCs w:val="false"/>
                <w:color w:val="2C2C2C"/>
                <w:sz w:val="20"/>
                <w:szCs w:val="20"/>
              </w:rPr>
              <w:t xml:space="preserve">Esclusione digitale per utenti non tecnologici</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ECEA" w:val="clear"/>
            <w:tcMar>
              <w:top w:type="dxa" w:w="180"/>
              <w:left w:type="dxa" w:w="240"/>
              <w:bottom w:type="dxa" w:w="180"/>
              <w:right w:type="dxa" w:w="240"/>
            </w:tcMar>
          </w:tcPr>
          <w:p>
            <w:pPr>
              <w:spacing w:after="100" w:before="0"/>
            </w:pPr>
            <w:r>
              <w:rPr>
                <w:rFonts w:ascii="Arial" w:cs="Arial" w:eastAsia="Arial" w:hAnsi="Arial"/>
                <w:b/>
                <w:bCs/>
                <w:color w:val="C0392B"/>
                <w:sz w:val="22"/>
                <w:szCs w:val="22"/>
              </w:rPr>
              <w:t xml:space="preserve">🚨 Casi reali di frode che motivano la PSD3</w:t>
            </w:r>
          </w:p>
          <w:p>
            <w:pPr>
              <w:pStyle w:val="ListParagraph"/>
              <w:numPr>
                <w:ilvl w:val="0"/>
                <w:numId w:val="2"/>
              </w:numPr>
              <w:spacing w:after="60" w:before="60"/>
              <w:jc w:val="left"/>
            </w:pPr>
            <w:r>
              <w:rPr>
                <w:rFonts w:ascii="Arial" w:cs="Arial" w:eastAsia="Arial" w:hAnsi="Arial"/>
                <w:b/>
                <w:bCs/>
                <w:color w:val="2C2C2C"/>
                <w:sz w:val="22"/>
                <w:szCs w:val="22"/>
              </w:rPr>
              <w:t xml:space="preserve">APP Fraud: </w:t>
            </w:r>
            <w:r>
              <w:rPr>
                <w:rFonts w:ascii="Arial" w:cs="Arial" w:eastAsia="Arial" w:hAnsi="Arial"/>
                <w:color w:val="2C2C2C"/>
                <w:sz w:val="22"/>
                <w:szCs w:val="22"/>
              </w:rPr>
              <w:t xml:space="preserve">APP Fraud (Authorised Push Payment): la truffa più diffusa nell’era PSD2. Il truffatore si finge operatore bancario, provider di servizi o venditore e convinca l’utente ad autorizzare un bonifico verso un conto truffatore. In UK (mercato più avanzato di Open Banking) le perdite da APP Fraud hanno superato 485 milioni di sterline nel 2022. La SCA protegge dall’accesso non autorizzato, ma non da chi autorizza consapevolmente — anche se ingannato.</w:t>
            </w:r>
          </w:p>
          <w:p>
            <w:pPr>
              <w:pStyle w:val="ListParagraph"/>
              <w:numPr>
                <w:ilvl w:val="0"/>
                <w:numId w:val="2"/>
              </w:numPr>
              <w:spacing w:after="60" w:before="60"/>
              <w:jc w:val="left"/>
            </w:pPr>
            <w:r>
              <w:rPr>
                <w:rFonts w:ascii="Arial" w:cs="Arial" w:eastAsia="Arial" w:hAnsi="Arial"/>
                <w:b/>
                <w:bCs/>
                <w:color w:val="2C2C2C"/>
                <w:sz w:val="22"/>
                <w:szCs w:val="22"/>
              </w:rPr>
              <w:t xml:space="preserve">Revolut 2022: </w:t>
            </w:r>
            <w:r>
              <w:rPr>
                <w:rFonts w:ascii="Arial" w:cs="Arial" w:eastAsia="Arial" w:hAnsi="Arial"/>
                <w:color w:val="2C2C2C"/>
                <w:sz w:val="22"/>
                <w:szCs w:val="22"/>
              </w:rPr>
              <w:t xml:space="preserve">Revolut phishing campaign (2022): criminali hanno replicato l’interfaccia di Revolut con SMS fraudolenti (smishing) chiedendo la re-autenticazione tramite link falso. Migliaia di utenti hanno inserito le proprie credenziali. L’incidente ha evidenziato la vulnerabilità dei sistemi di autenticazione via SMS, poi rafforzati.</w:t>
            </w:r>
          </w:p>
          <w:p>
            <w:pPr>
              <w:pStyle w:val="ListParagraph"/>
              <w:numPr>
                <w:ilvl w:val="0"/>
                <w:numId w:val="2"/>
              </w:numPr>
              <w:spacing w:after="60" w:before="60"/>
              <w:jc w:val="left"/>
            </w:pPr>
            <w:r>
              <w:rPr>
                <w:rFonts w:ascii="Arial" w:cs="Arial" w:eastAsia="Arial" w:hAnsi="Arial"/>
                <w:b/>
                <w:bCs/>
                <w:color w:val="2C2C2C"/>
                <w:sz w:val="22"/>
                <w:szCs w:val="22"/>
              </w:rPr>
              <w:t xml:space="preserve">Wirecard: </w:t>
            </w:r>
            <w:r>
              <w:rPr>
                <w:rFonts w:ascii="Arial" w:cs="Arial" w:eastAsia="Arial" w:hAnsi="Arial"/>
                <w:color w:val="2C2C2C"/>
                <w:sz w:val="22"/>
                <w:szCs w:val="22"/>
              </w:rPr>
              <w:t xml:space="preserve">Wirecard scandal (2020): Wirecard, uno dei maggiori processori di pagamento europei e licenziatario PSD2, ha dichiarato bancarotta dopo aver falsificato 1,9 miliardi di euro di asset. Milioni di utenti di Fintech che usavano Wirecard come backend (tra cui Curve, Anna Money, Pockit) hanno visto le proprie carte bloccate improvvisamente. Il caso ha sollevato interrogativi sulla solidità dell’infrastruttura Fintech.</w:t>
            </w:r>
          </w:p>
          <w:p>
            <w:pPr>
              <w:pStyle w:val="ListParagraph"/>
              <w:numPr>
                <w:ilvl w:val="0"/>
                <w:numId w:val="2"/>
              </w:numPr>
              <w:spacing w:after="60" w:before="60"/>
              <w:jc w:val="left"/>
            </w:pPr>
            <w:r>
              <w:rPr>
                <w:rFonts w:ascii="Arial" w:cs="Arial" w:eastAsia="Arial" w:hAnsi="Arial"/>
                <w:b/>
                <w:bCs/>
                <w:color w:val="2C2C2C"/>
                <w:sz w:val="22"/>
                <w:szCs w:val="22"/>
              </w:rPr>
              <w:t xml:space="preserve">AI Fraud: </w:t>
            </w:r>
            <w:r>
              <w:rPr>
                <w:rFonts w:ascii="Arial" w:cs="Arial" w:eastAsia="Arial" w:hAnsi="Arial"/>
                <w:color w:val="2C2C2C"/>
                <w:sz w:val="22"/>
                <w:szCs w:val="22"/>
              </w:rPr>
              <w:t xml:space="preserve">Klarna deep fake fraud: con la diffusione dell’AI generativa, sono emersi casi di deepfake audio e video usati per superare i sistemi di verifica biometrica (KYC) di alcune piattaforme BNPL, aprendo conti fraudolenti per acquisti a credito. Il problema è strutturalmente nuovo e non previsto dalla PSD2.</w:t>
            </w:r>
          </w:p>
        </w:tc>
      </w:tr>
    </w:tbl>
    <w:p>
      <w:pPr>
        <w:pStyle w:val="Heading2"/>
        <w:spacing w:after="100" w:before="240"/>
      </w:pPr>
      <w:r>
        <w:rPr>
          <w:rFonts w:ascii="Arial" w:cs="Arial" w:eastAsia="Arial" w:hAnsi="Arial"/>
          <w:b/>
          <w:bCs/>
          <w:color w:val="2E75B6"/>
          <w:sz w:val="24"/>
          <w:szCs w:val="24"/>
        </w:rPr>
        <w:t xml:space="preserve">4.2 La Tensione con il GDPR: Conflitti e Casi Concreti</w:t>
      </w:r>
    </w:p>
    <w:p>
      <w:pPr>
        <w:spacing w:after="100" w:before="100" w:line="276"/>
        <w:jc w:val="both"/>
      </w:pPr>
      <w:r>
        <w:rPr>
          <w:rFonts w:ascii="Arial" w:cs="Arial" w:eastAsia="Arial" w:hAnsi="Arial"/>
          <w:color w:val="2C2C2C"/>
          <w:sz w:val="22"/>
          <w:szCs w:val="22"/>
        </w:rPr>
        <w:t xml:space="preserve">Il consenso al trattamento dei dati nell’ecosistema PSD2 introduce una tensione strutturale con il </w:t>
      </w:r>
      <w:r>
        <w:rPr>
          <w:rFonts w:ascii="Arial" w:cs="Arial" w:eastAsia="Arial" w:hAnsi="Arial"/>
          <w:b/>
          <w:bCs/>
          <w:color w:val="2C2C2C"/>
          <w:sz w:val="22"/>
          <w:szCs w:val="22"/>
        </w:rPr>
        <w:t xml:space="preserve">Regolamento GDPR (UE) 2016/679</w:t>
      </w:r>
      <w:r>
        <w:rPr>
          <w:rFonts w:ascii="Arial" w:cs="Arial" w:eastAsia="Arial" w:hAnsi="Arial"/>
          <w:color w:val="2C2C2C"/>
          <w:sz w:val="22"/>
          <w:szCs w:val="22"/>
        </w:rPr>
        <w:t xml:space="preserve">: da un lato il cliente è giuridicamente proprietario dei propri dati finanziari, dall’altro il meccanismo del consenso — spesso mediato da interfacce progettate per massimizzare l’accettazione (“dark patterns”) — rischia di trasformare la libertà di scelta in una cessione inconsapevole di informazioni finanziarie sensibili.</w:t>
      </w:r>
    </w:p>
    <w:p>
      <w:pPr>
        <w:spacing w:after="100" w:before="100" w:line="276"/>
        <w:jc w:val="both"/>
      </w:pPr>
      <w:r>
        <w:rPr>
          <w:rFonts w:ascii="Arial" w:cs="Arial" w:eastAsia="Arial" w:hAnsi="Arial"/>
          <w:color w:val="2C2C2C"/>
          <w:sz w:val="22"/>
          <w:szCs w:val="22"/>
        </w:rPr>
        <w:t xml:space="preserve">I punti di attrito tra PSD2 e GDPR sono molteplici e non tutti risolti. La PSD2 permette agli AISP di raccogliere dati dai conti bancari su consenso del cliente. Il GDPR impone che tale consenso sia </w:t>
      </w:r>
      <w:r>
        <w:rPr>
          <w:rFonts w:ascii="Arial" w:cs="Arial" w:eastAsia="Arial" w:hAnsi="Arial"/>
          <w:b/>
          <w:bCs/>
          <w:color w:val="2C2C2C"/>
          <w:sz w:val="22"/>
          <w:szCs w:val="22"/>
        </w:rPr>
        <w:t xml:space="preserve">libero, specifico, informato e inequivocabile</w:t>
      </w:r>
      <w:r>
        <w:rPr>
          <w:rFonts w:ascii="Arial" w:cs="Arial" w:eastAsia="Arial" w:hAnsi="Arial"/>
          <w:color w:val="2C2C2C"/>
          <w:sz w:val="22"/>
          <w:szCs w:val="22"/>
        </w:rPr>
        <w:t xml:space="preserve">. In pratica, molte app di aggregazione richiedono un consenso generico e permanente, violando il principio di minimizzazione del dato e la revocabilità semplice prevista dall’art. 7 GDPR.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180"/>
              <w:left w:type="dxa" w:w="240"/>
              <w:bottom w:type="dxa" w:w="180"/>
              <w:right w:type="dxa" w:w="240"/>
            </w:tcMar>
          </w:tcPr>
          <w:p>
            <w:pPr>
              <w:spacing w:after="100" w:before="0"/>
            </w:pPr>
            <w:r>
              <w:rPr>
                <w:rFonts w:ascii="Arial" w:cs="Arial" w:eastAsia="Arial" w:hAnsi="Arial"/>
                <w:b/>
                <w:bCs/>
                <w:color w:val="2E75B6"/>
                <w:sz w:val="22"/>
                <w:szCs w:val="22"/>
              </w:rPr>
              <w:t xml:space="preserve">⚖️ Conflitti PSD2 – GDPR: i casi più rilevanti</w:t>
            </w:r>
          </w:p>
          <w:p>
            <w:pPr>
              <w:pStyle w:val="ListParagraph"/>
              <w:numPr>
                <w:ilvl w:val="0"/>
                <w:numId w:val="2"/>
              </w:numPr>
              <w:spacing w:after="60" w:before="60"/>
              <w:jc w:val="left"/>
            </w:pPr>
            <w:r>
              <w:rPr>
                <w:rFonts w:ascii="Arial" w:cs="Arial" w:eastAsia="Arial" w:hAnsi="Arial"/>
                <w:b/>
                <w:bCs/>
                <w:color w:val="2C2C2C"/>
                <w:sz w:val="22"/>
                <w:szCs w:val="22"/>
              </w:rPr>
              <w:t xml:space="preserve">Caso CNIL-Google: </w:t>
            </w:r>
            <w:r>
              <w:rPr>
                <w:rFonts w:ascii="Arial" w:cs="Arial" w:eastAsia="Arial" w:hAnsi="Arial"/>
                <w:color w:val="2C2C2C"/>
                <w:sz w:val="22"/>
                <w:szCs w:val="22"/>
              </w:rPr>
              <w:t xml:space="preserve">Sanzione CNIL a Google (50 milioni €, 2019): la CNIL francese ha sanzionato Google per aver raccolto il consenso al trattamento dati in modo non trasparente durante la configurazione iniziale di Android. Benchmark diretto per le Fintech che raccolgono consenso PSD2 in modo analogo.</w:t>
            </w:r>
          </w:p>
          <w:p>
            <w:pPr>
              <w:pStyle w:val="ListParagraph"/>
              <w:numPr>
                <w:ilvl w:val="0"/>
                <w:numId w:val="2"/>
              </w:numPr>
              <w:spacing w:after="60" w:before="60"/>
              <w:jc w:val="left"/>
            </w:pPr>
            <w:r>
              <w:rPr>
                <w:rFonts w:ascii="Arial" w:cs="Arial" w:eastAsia="Arial" w:hAnsi="Arial"/>
                <w:b/>
                <w:bCs/>
                <w:color w:val="2C2C2C"/>
                <w:sz w:val="22"/>
                <w:szCs w:val="22"/>
              </w:rPr>
              <w:t xml:space="preserve">Caso ICO: </w:t>
            </w:r>
            <w:r>
              <w:rPr>
                <w:rFonts w:ascii="Arial" w:cs="Arial" w:eastAsia="Arial" w:hAnsi="Arial"/>
                <w:color w:val="2C2C2C"/>
                <w:sz w:val="22"/>
                <w:szCs w:val="22"/>
              </w:rPr>
              <w:t xml:space="preserve">Open Banking Ltd vs ICO (UK, 2021): l’Information Commissioner’s Office ha indagato se le API di Open Banking consentissero una raccolta dati sproporzionata rispetto alle finalità dichiarate, avviando un dibattito sul principio di “purpose limitation” applicato ai dati bancari.</w:t>
            </w:r>
          </w:p>
          <w:p>
            <w:pPr>
              <w:pStyle w:val="ListParagraph"/>
              <w:numPr>
                <w:ilvl w:val="0"/>
                <w:numId w:val="2"/>
              </w:numPr>
              <w:spacing w:after="60" w:before="60"/>
              <w:jc w:val="left"/>
            </w:pPr>
            <w:r>
              <w:rPr>
                <w:rFonts w:ascii="Arial" w:cs="Arial" w:eastAsia="Arial" w:hAnsi="Arial"/>
                <w:b/>
                <w:bCs/>
                <w:color w:val="2C2C2C"/>
                <w:sz w:val="22"/>
                <w:szCs w:val="22"/>
              </w:rPr>
              <w:t xml:space="preserve">Dark patterns: </w:t>
            </w:r>
            <w:r>
              <w:rPr>
                <w:rFonts w:ascii="Arial" w:cs="Arial" w:eastAsia="Arial" w:hAnsi="Arial"/>
                <w:color w:val="2C2C2C"/>
                <w:sz w:val="22"/>
                <w:szCs w:val="22"/>
              </w:rPr>
              <w:t xml:space="preserve">Dark patterns nelle app di aggregazione: Garante della Privacy italiano ha segnalato nel 2022 l’uso di interfacce ingannevoli in diverse app finanziarie, dove il pulsante “consenti a tutto” era ben visibile e quello di rifiuto quasi nascosto. Violare il GDPR in questo modo può portare a sanzioni fino al 4% del fatturato globale.</w:t>
            </w:r>
          </w:p>
          <w:p>
            <w:pPr>
              <w:pStyle w:val="ListParagraph"/>
              <w:numPr>
                <w:ilvl w:val="0"/>
                <w:numId w:val="2"/>
              </w:numPr>
              <w:spacing w:after="60" w:before="60"/>
              <w:jc w:val="left"/>
            </w:pPr>
            <w:r>
              <w:rPr>
                <w:rFonts w:ascii="Arial" w:cs="Arial" w:eastAsia="Arial" w:hAnsi="Arial"/>
                <w:b/>
                <w:bCs/>
                <w:color w:val="2C2C2C"/>
                <w:sz w:val="22"/>
                <w:szCs w:val="22"/>
              </w:rPr>
              <w:t xml:space="preserve">Purpose limitation: </w:t>
            </w:r>
            <w:r>
              <w:rPr>
                <w:rFonts w:ascii="Arial" w:cs="Arial" w:eastAsia="Arial" w:hAnsi="Arial"/>
                <w:color w:val="2C2C2C"/>
                <w:sz w:val="22"/>
                <w:szCs w:val="22"/>
              </w:rPr>
              <w:t xml:space="preserve">Il problema della finalità: un AISP che aggrega dati bancari per mostrare il saldo può usare quei dati anche per profilazione commerciale? La PSD2 dice sì con consenso; il GDPR richiede consenso separato per ogni finalità diversa. Le Fintech operano spesso in questa zona grigia.</w:t>
            </w:r>
          </w:p>
        </w:tc>
      </w:tr>
    </w:tbl>
    <w:p>
      <w:pPr>
        <w:spacing w:after="100" w:before="100" w:line="276"/>
        <w:jc w:val="both"/>
      </w:pPr>
      <w:r>
        <w:rPr>
          <w:rFonts w:ascii="Arial" w:cs="Arial" w:eastAsia="Arial" w:hAnsi="Arial"/>
          <w:color w:val="2C2C2C"/>
          <w:sz w:val="22"/>
          <w:szCs w:val="22"/>
        </w:rPr>
        <w:t xml:space="preserve">La protezione effettiva del consumatore richiede dunque non solo una regolamentazione tecnica ma anche un’educazione digitale e finanziaria adeguata. Il GDPR e la PSD2 non sono in contraddizione ontologica — ma richiedono un coordinamento applicativo che ad oggi manca in molti Stati membri, Italia inclusa.</w:t>
      </w:r>
    </w:p>
    <w:p>
      <w:pPr>
        <w:spacing w:after="100" w:before="100"/>
      </w:pPr>
    </w:p>
    <w:p>
      <w:pPr>
        <w:pStyle w:val="Heading1"/>
        <w:pBdr>
          <w:bottom w:val="single" w:color="2E75B6" w:sz="8" w:space="4"/>
        </w:pBdr>
        <w:spacing w:after="140" w:before="320"/>
      </w:pPr>
      <w:r>
        <w:rPr>
          <w:rFonts w:ascii="Arial" w:cs="Arial" w:eastAsia="Arial" w:hAnsi="Arial"/>
          <w:b/>
          <w:bCs/>
          <w:color w:val="1F497D"/>
          <w:sz w:val="30"/>
          <w:szCs w:val="30"/>
        </w:rPr>
        <w:t xml:space="preserve">5. Impatto Macroeconomico</w:t>
      </w:r>
    </w:p>
    <w:p>
      <w:pPr>
        <w:pStyle w:val="Heading2"/>
        <w:spacing w:after="100" w:before="240"/>
      </w:pPr>
      <w:r>
        <w:rPr>
          <w:rFonts w:ascii="Arial" w:cs="Arial" w:eastAsia="Arial" w:hAnsi="Arial"/>
          <w:b/>
          <w:bCs/>
          <w:color w:val="2E75B6"/>
          <w:sz w:val="24"/>
          <w:szCs w:val="24"/>
        </w:rPr>
        <w:t xml:space="preserve">5.1 Digitalizzazione dell’Economia e Riduzione del Contante</w:t>
      </w:r>
    </w:p>
    <w:p>
      <w:pPr>
        <w:spacing w:after="100" w:before="100" w:line="276"/>
        <w:jc w:val="both"/>
      </w:pPr>
      <w:r>
        <w:rPr>
          <w:rFonts w:ascii="Arial" w:cs="Arial" w:eastAsia="Arial" w:hAnsi="Arial"/>
          <w:color w:val="2C2C2C"/>
          <w:sz w:val="22"/>
          <w:szCs w:val="22"/>
        </w:rPr>
        <w:t xml:space="preserve">A livello macroeconomico, la PSD2 ha operato da acceleratore strutturale della transizione verso un’economia digitale. La Banca Centrale Europea ha registrato una diminuzione progressiva nell’uso del contante nei Paesi che hanno rapidamente adottato sistemi di pagamento istantaneo (SCT Inst). In Italia, l’accelerazione è stata particolarmente significativa dopo il 2020, sostenuta anche da incentivi fiscali legati ai pagamenti tracciabili.</w:t>
      </w:r>
    </w:p>
    <w:p>
      <w:pPr>
        <w:pStyle w:val="Heading2"/>
        <w:spacing w:after="100" w:before="240"/>
      </w:pPr>
      <w:r>
        <w:rPr>
          <w:rFonts w:ascii="Arial" w:cs="Arial" w:eastAsia="Arial" w:hAnsi="Arial"/>
          <w:b/>
          <w:bCs/>
          <w:color w:val="2E75B6"/>
          <w:sz w:val="24"/>
          <w:szCs w:val="24"/>
        </w:rPr>
        <w:t xml:space="preserve">5.2 Tracciabilità e Lotta all’Evasione Fiscale</w:t>
      </w:r>
    </w:p>
    <w:p>
      <w:pPr>
        <w:spacing w:after="100" w:before="100" w:line="276"/>
        <w:jc w:val="both"/>
      </w:pPr>
      <w:r>
        <w:rPr>
          <w:rFonts w:ascii="Arial" w:cs="Arial" w:eastAsia="Arial" w:hAnsi="Arial"/>
          <w:color w:val="2C2C2C"/>
          <w:sz w:val="22"/>
          <w:szCs w:val="22"/>
        </w:rPr>
        <w:t xml:space="preserve">Ogni transazione elettronica lascia un’impronta digitale verificabile, riducendo strutturalmente lo spazio per l’economia sommersa. L’Agenzia delle Entrate italiana ha progressivamente sfruttato questa tracciabilità per l’incrocio dei dati e la promozione della compliance volontaria, attraverso meccanismi come la lotteria degli scontrini e il cashback. È un esempio di come la PSD2, nata come direttiva sui pagamenti, produca effetti a cascata sull’intero sistema fiscale.</w:t>
      </w:r>
    </w:p>
    <w:p>
      <w:pPr>
        <w:pStyle w:val="Heading2"/>
        <w:spacing w:after="100" w:before="240"/>
      </w:pPr>
      <w:r>
        <w:rPr>
          <w:rFonts w:ascii="Arial" w:cs="Arial" w:eastAsia="Arial" w:hAnsi="Arial"/>
          <w:b/>
          <w:bCs/>
          <w:color w:val="2E75B6"/>
          <w:sz w:val="24"/>
          <w:szCs w:val="24"/>
        </w:rPr>
        <w:t xml:space="preserve">5.3 Embedded Finance e Big Tech: La Frontiera dell’Integrazione</w:t>
      </w:r>
    </w:p>
    <w:p>
      <w:pPr>
        <w:spacing w:after="100" w:before="100" w:line="276"/>
        <w:jc w:val="both"/>
      </w:pPr>
      <w:r>
        <w:rPr>
          <w:rFonts w:ascii="Arial" w:cs="Arial" w:eastAsia="Arial" w:hAnsi="Arial"/>
          <w:color w:val="2C2C2C"/>
          <w:sz w:val="22"/>
          <w:szCs w:val="22"/>
        </w:rPr>
        <w:t xml:space="preserve">Il concetto più avanzato nato dall’ecosistema PSD2 è l’Embedded Finance: l’integrazione invisibile di servizi finanziari all’interno di piattaforme non bancarie. Il paradosso è che i più avanzati operatori di Embedded Finance non sono le Fintech ma le Big Tech, che hanno infrastrutture di distribuzione ordini di grandezza superiori.</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180"/>
              <w:left w:type="dxa" w:w="240"/>
              <w:bottom w:type="dxa" w:w="180"/>
              <w:right w:type="dxa" w:w="240"/>
            </w:tcMar>
          </w:tcPr>
          <w:p>
            <w:pPr>
              <w:spacing w:after="80" w:before="0"/>
            </w:pPr>
            <w:r>
              <w:rPr>
                <w:rFonts w:ascii="Arial" w:cs="Arial" w:eastAsia="Arial" w:hAnsi="Arial"/>
                <w:b/>
                <w:bCs/>
                <w:color w:val="2E75B6"/>
                <w:sz w:val="22"/>
                <w:szCs w:val="22"/>
              </w:rPr>
              <w:t xml:space="preserve">🔮 La visione profetica di Thiel sull’Embedded Finance</w:t>
            </w:r>
          </w:p>
          <w:p>
            <w:pPr>
              <w:spacing w:after="0" w:before="0" w:line="276"/>
              <w:jc w:val="both"/>
            </w:pPr>
            <w:r>
              <w:rPr>
                <w:rFonts w:ascii="Arial" w:cs="Arial" w:eastAsia="Arial" w:hAnsi="Arial"/>
                <w:color w:val="2C2C2C"/>
                <w:sz w:val="22"/>
                <w:szCs w:val="22"/>
              </w:rPr>
              <w:t xml:space="preserve">Thiel aveva teorizzato che il futuro dei pagamenti non sarebbe stato una “super-banca digitale” ma la dissoluzione della finanza come settore separato, con servizi finanziari integrati invisibilmente in ogni esperienza di consumo. L’Embedded Finance è esattamente questo: la finanza diventa infrastruttura invisibile. Amazon lo applica con il credito ai merchant; Apple con i pagamenti in-app; Shopify con i prestiti basati sui dati di vendita. La PSD2 ha creato le condizioni tecniche e giuridiche europee perché questa transizione diventasse possibile.</w:t>
            </w:r>
          </w:p>
        </w:tc>
      </w:tr>
    </w:tbl>
    <w:p>
      <w:pPr>
        <w:spacing w:after="100" w:before="100"/>
      </w:pPr>
    </w:p>
    <w:p>
      <w:pPr>
        <w:pStyle w:val="Heading1"/>
        <w:pBdr>
          <w:bottom w:val="single" w:color="2E75B6" w:sz="8" w:space="4"/>
        </w:pBdr>
        <w:spacing w:after="140" w:before="320"/>
      </w:pPr>
      <w:r>
        <w:rPr>
          <w:rFonts w:ascii="Arial" w:cs="Arial" w:eastAsia="Arial" w:hAnsi="Arial"/>
          <w:b/>
          <w:bCs/>
          <w:color w:val="1F497D"/>
          <w:sz w:val="30"/>
          <w:szCs w:val="30"/>
        </w:rPr>
        <w:t xml:space="preserve">6. Evoluzione Futura: PSD3 e il Nuovo Equilibrio</w:t>
      </w:r>
    </w:p>
    <w:p>
      <w:pPr>
        <w:pStyle w:val="Heading2"/>
        <w:spacing w:after="100" w:before="240"/>
      </w:pPr>
      <w:r>
        <w:rPr>
          <w:rFonts w:ascii="Arial" w:cs="Arial" w:eastAsia="Arial" w:hAnsi="Arial"/>
          <w:b/>
          <w:bCs/>
          <w:color w:val="2E75B6"/>
          <w:sz w:val="24"/>
          <w:szCs w:val="24"/>
        </w:rPr>
        <w:t xml:space="preserve">6.1 Perché Serve una Revisione: Frodi, Lacune e Big Tech</w:t>
      </w:r>
    </w:p>
    <w:p>
      <w:pPr>
        <w:spacing w:after="100" w:before="100" w:line="276"/>
        <w:jc w:val="both"/>
      </w:pPr>
      <w:r>
        <w:rPr>
          <w:rFonts w:ascii="Arial" w:cs="Arial" w:eastAsia="Arial" w:hAnsi="Arial"/>
          <w:color w:val="2C2C2C"/>
          <w:sz w:val="22"/>
          <w:szCs w:val="22"/>
        </w:rPr>
        <w:t xml:space="preserve">La Commissione Europea ha pubblicato nel giugno 2023 la proposta di PSD3, accompagnata da un Regolamento sui Servizi di Pagamento (PSR). L’analisi economica dei limiti emersi dalla PSD2 individua quattro aree critiche, tre delle quali sono direttamente collegate ai casi di frode e alle problematiche reali descritte sopra.</w:t>
      </w:r>
    </w:p>
    <w:p>
      <w:pPr>
        <w:pStyle w:val="ListParagraph"/>
        <w:numPr>
          <w:ilvl w:val="0"/>
          <w:numId w:val="3"/>
        </w:numPr>
        <w:spacing w:after="60" w:before="60"/>
        <w:jc w:val="left"/>
      </w:pPr>
      <w:r>
        <w:rPr>
          <w:rFonts w:ascii="Arial" w:cs="Arial" w:eastAsia="Arial" w:hAnsi="Arial"/>
          <w:b/>
          <w:bCs/>
          <w:color w:val="2C2C2C"/>
          <w:sz w:val="22"/>
          <w:szCs w:val="22"/>
        </w:rPr>
        <w:t xml:space="preserve">Frodi in aumento: </w:t>
      </w:r>
      <w:r>
        <w:rPr>
          <w:rFonts w:ascii="Arial" w:cs="Arial" w:eastAsia="Arial" w:hAnsi="Arial"/>
          <w:color w:val="2C2C2C"/>
          <w:sz w:val="22"/>
          <w:szCs w:val="22"/>
        </w:rPr>
        <w:t xml:space="preserve">Frodi in aumento nonostante la SCA: come dimostrato dai casi di APP Fraud e deepfake KYC, la Strong Customer Authentication protegge dall’accesso non autorizzato ma non dalle manipolazioni psicologiche. Le perdite da frode autorizzata in Europa hanno superato 1,17 miliardi di euro nel 2022 (EBA Payment Fraud Report 2023). La PSD3 introduce la responsabilità condivisa banca-merchant per i casi di APP Fraud.</w:t>
      </w:r>
    </w:p>
    <w:p>
      <w:pPr>
        <w:pStyle w:val="ListParagraph"/>
        <w:numPr>
          <w:ilvl w:val="0"/>
          <w:numId w:val="3"/>
        </w:numPr>
        <w:spacing w:after="60" w:before="60"/>
        <w:jc w:val="left"/>
      </w:pPr>
      <w:r>
        <w:rPr>
          <w:rFonts w:ascii="Arial" w:cs="Arial" w:eastAsia="Arial" w:hAnsi="Arial"/>
          <w:b/>
          <w:bCs/>
          <w:color w:val="2C2C2C"/>
          <w:sz w:val="22"/>
          <w:szCs w:val="22"/>
        </w:rPr>
        <w:t xml:space="preserve">Open Banking: </w:t>
      </w:r>
      <w:r>
        <w:rPr>
          <w:rFonts w:ascii="Arial" w:cs="Arial" w:eastAsia="Arial" w:hAnsi="Arial"/>
          <w:color w:val="2C2C2C"/>
          <w:sz w:val="22"/>
          <w:szCs w:val="22"/>
        </w:rPr>
        <w:t xml:space="preserve">Open Banking sottosviluppato: le API bancarie hanno spesso offerto standard tecnici minimi, limitando l’innovazione Fintech prevista dalla direttiva. Il gap tra ambizione normativa e realtà operativa è significativo: molte banche hanno implementato API volutamente lente o poco documentate per scoraggiare i competitor.</w:t>
      </w:r>
    </w:p>
    <w:p>
      <w:pPr>
        <w:pStyle w:val="ListParagraph"/>
        <w:numPr>
          <w:ilvl w:val="0"/>
          <w:numId w:val="3"/>
        </w:numPr>
        <w:spacing w:after="60" w:before="60"/>
        <w:jc w:val="left"/>
      </w:pPr>
      <w:r>
        <w:rPr>
          <w:rFonts w:ascii="Arial" w:cs="Arial" w:eastAsia="Arial" w:hAnsi="Arial"/>
          <w:b/>
          <w:bCs/>
          <w:color w:val="2C2C2C"/>
          <w:sz w:val="22"/>
          <w:szCs w:val="22"/>
        </w:rPr>
        <w:t xml:space="preserve">Big Tech: </w:t>
      </w:r>
      <w:r>
        <w:rPr>
          <w:rFonts w:ascii="Arial" w:cs="Arial" w:eastAsia="Arial" w:hAnsi="Arial"/>
          <w:color w:val="2C2C2C"/>
          <w:sz w:val="22"/>
          <w:szCs w:val="22"/>
        </w:rPr>
        <w:t xml:space="preserve">Asimmetria con le Big Tech: Apple Pay e Google Pay, operando su piattaforme proprietarie, sfuggono parzialmente al framework PSD2. L’indagine antitrust della Commissione Europea su Apple (2022–2024) ha confermato che il controllo esclusivo dell’NFC crea un vantaggio competitivo non regolamentato. La PSD3 prevede l’obbligo di accesso aperto all’NFC per tutti i provider autorizzati.</w:t>
      </w:r>
    </w:p>
    <w:p>
      <w:pPr>
        <w:pStyle w:val="ListParagraph"/>
        <w:numPr>
          <w:ilvl w:val="0"/>
          <w:numId w:val="3"/>
        </w:numPr>
        <w:spacing w:after="60" w:before="60"/>
        <w:jc w:val="left"/>
      </w:pPr>
      <w:r>
        <w:rPr>
          <w:rFonts w:ascii="Arial" w:cs="Arial" w:eastAsia="Arial" w:hAnsi="Arial"/>
          <w:b/>
          <w:bCs/>
          <w:color w:val="2C2C2C"/>
          <w:sz w:val="22"/>
          <w:szCs w:val="22"/>
        </w:rPr>
        <w:t xml:space="preserve">GDPR: </w:t>
      </w:r>
      <w:r>
        <w:rPr>
          <w:rFonts w:ascii="Arial" w:cs="Arial" w:eastAsia="Arial" w:hAnsi="Arial"/>
          <w:color w:val="2C2C2C"/>
          <w:sz w:val="22"/>
          <w:szCs w:val="22"/>
        </w:rPr>
        <w:t xml:space="preserve">Coordinamento con GDPR: la PSD3 introduce standard armonizzati per il consenso PSD2-GDPR, riducendo la zona grigia dei dark patterns e imponendo alle Fintech la separazione esplicita del consenso per finalità diverse.</w:t>
      </w:r>
    </w:p>
    <w:p>
      <w:pPr>
        <w:spacing w:after="80" w:before="80"/>
      </w:pPr>
    </w:p>
    <w:p>
      <w:pPr>
        <w:pStyle w:val="Heading2"/>
        <w:spacing w:after="100" w:before="240"/>
      </w:pPr>
      <w:r>
        <w:rPr>
          <w:rFonts w:ascii="Arial" w:cs="Arial" w:eastAsia="Arial" w:hAnsi="Arial"/>
          <w:b/>
          <w:bCs/>
          <w:color w:val="2E75B6"/>
          <w:sz w:val="24"/>
          <w:szCs w:val="24"/>
        </w:rPr>
        <w:t xml:space="preserve">6.2 Verso un Nuovo Equilibrio</w:t>
      </w:r>
    </w:p>
    <w:p>
      <w:pPr>
        <w:spacing w:after="100" w:before="100" w:line="276"/>
        <w:jc w:val="both"/>
      </w:pPr>
      <w:r>
        <w:rPr>
          <w:rFonts w:ascii="Arial" w:cs="Arial" w:eastAsia="Arial" w:hAnsi="Arial"/>
          <w:color w:val="2C2C2C"/>
          <w:sz w:val="22"/>
          <w:szCs w:val="22"/>
        </w:rPr>
        <w:t xml:space="preserve">La PSD3 mira a colmare queste lacune attraverso: standard API armonizzati e obbligatori su scala europea, estensione dell’ambito ai wallet digitali e alle criptovalute (in coordinamento con il Regolamento MiCA), un rafforzamento delle tutele anti-frode con responsabilità estesa alle piattaforme tecnologiche e l’obbligo per i produttori di smartphone di aprire l’accesso NFC. L’obiettivo è consolidare i progressi realizzati senza permettere che la concentrazione tecnologica nelle mani di pochi grandi operatori riproduca, in forma digitale, gli stessi oligopoli che la direttiva voleva superare.</w:t>
      </w:r>
    </w:p>
    <w:p>
      <w:pPr>
        <w:spacing w:after="100" w:before="100"/>
      </w:pPr>
    </w:p>
    <w:p>
      <w:pPr>
        <w:pStyle w:val="Heading1"/>
        <w:pBdr>
          <w:bottom w:val="single" w:color="2E75B6" w:sz="8" w:space="4"/>
        </w:pBdr>
        <w:spacing w:after="140" w:before="320"/>
      </w:pPr>
      <w:r>
        <w:rPr>
          <w:rFonts w:ascii="Arial" w:cs="Arial" w:eastAsia="Arial" w:hAnsi="Arial"/>
          <w:b/>
          <w:bCs/>
          <w:color w:val="1F497D"/>
          <w:sz w:val="30"/>
          <w:szCs w:val="30"/>
        </w:rPr>
        <w:t xml:space="preserve">7. Sintesi Interdisciplinare</w:t>
      </w:r>
    </w:p>
    <w:p>
      <w:pPr>
        <w:spacing w:after="100" w:before="100" w:line="276"/>
        <w:jc w:val="both"/>
      </w:pPr>
      <w:r>
        <w:rPr>
          <w:rFonts w:ascii="Arial" w:cs="Arial" w:eastAsia="Arial" w:hAnsi="Arial"/>
          <w:color w:val="2C2C2C"/>
          <w:sz w:val="22"/>
          <w:szCs w:val="22"/>
        </w:rPr>
        <w:t xml:space="preserve">La PSD2 rappresenta un caso esemplare di convergenza tra dimensioni normative, tecnologiche ed economiche.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626"/>
        <w:gridCol w:w="2700"/>
      </w:tblGrid>
      <w:tr>
        <w:tc>
          <w:tcPr>
            <w:tcW w:type="dxa" w:w="16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Disciplina</w:t>
            </w:r>
          </w:p>
        </w:tc>
        <w:tc>
          <w:tcPr>
            <w:tcW w:type="dxa" w:w="21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Concetto chiave</w:t>
            </w:r>
          </w:p>
        </w:tc>
        <w:tc>
          <w:tcPr>
            <w:tcW w:type="dxa" w:w="2626"/>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Connessione con la PSD2</w:t>
            </w:r>
          </w:p>
        </w:tc>
        <w:tc>
          <w:tcPr>
            <w:tcW w:type="dxa" w:w="27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spacing w:after="40" w:before="40"/>
              <w:jc w:val="left"/>
            </w:pPr>
            <w:r>
              <w:rPr>
                <w:rFonts w:ascii="Arial" w:cs="Arial" w:eastAsia="Arial" w:hAnsi="Arial"/>
                <w:b/>
                <w:bCs/>
                <w:color w:val="FFFFFF"/>
                <w:sz w:val="19"/>
                <w:szCs w:val="19"/>
              </w:rPr>
              <w:t xml:space="preserve">Link ai temi del documento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Diritto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Direttiva UE, recepimento, tutela del consumatore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Quadro normativo che abilita Open Banking e nuovi soggetti (TPP)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Tensione GDPR-PSD2, PSD3</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Economia aziendale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Business model innovativi, concorrenza, disruption</w:t>
            </w:r>
          </w:p>
        </w:tc>
        <w:tc>
          <w:tcPr>
            <w:tcW w:type="dxa" w:w="26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Fintech vs banche vs Big Tech; teoria di Thiel applicata</w:t>
            </w:r>
          </w:p>
        </w:tc>
        <w:tc>
          <w:tcPr>
            <w:tcW w:type="dxa" w:w="2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Sezioni 2, 3,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Informatica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API, SCA, crittografia, machine learning</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Infrastruttura tecnica che rende possibile l’Open Banking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Frodi deepfake, NFC</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Educazione civica</w:t>
            </w:r>
          </w:p>
        </w:tc>
        <w:tc>
          <w:tcPr>
            <w:tcW w:type="dxa" w:w="21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Privacy, evasione fiscale, cittadinanza digitale</w:t>
            </w:r>
          </w:p>
        </w:tc>
        <w:tc>
          <w:tcPr>
            <w:tcW w:type="dxa" w:w="26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Impatto sociale dei pagamenti digitali</w:t>
            </w:r>
          </w:p>
        </w:tc>
        <w:tc>
          <w:tcPr>
            <w:tcW w:type="dxa" w:w="2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GDPR, dark patterns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Storia d’impresa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PayPal, PayPal Mafia, Silicon Valley, Big Tech</w:t>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DNA culturale delle Fintech e dinamiche monopolistiche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jc w:val="left"/>
            </w:pPr>
            <w:r>
              <w:rPr>
                <w:rFonts w:ascii="Arial" w:cs="Arial" w:eastAsia="Arial" w:hAnsi="Arial"/>
                <w:b w:val="false"/>
                <w:bCs w:val="false"/>
                <w:color w:val="2C2C2C"/>
                <w:sz w:val="19"/>
                <w:szCs w:val="19"/>
              </w:rPr>
              <w:t xml:space="preserve">Sezioni 2.1, 2.3</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97D" w:val="clear"/>
            <w:tcMar>
              <w:top w:type="dxa" w:w="280"/>
              <w:left w:type="dxa" w:w="360"/>
              <w:bottom w:type="dxa" w:w="280"/>
              <w:right w:type="dxa" w:w="360"/>
            </w:tcMar>
          </w:tcPr>
          <w:p>
            <w:pPr>
              <w:spacing w:after="160" w:before="0"/>
              <w:jc w:val="center"/>
            </w:pPr>
            <w:r>
              <w:rPr>
                <w:rFonts w:ascii="Arial" w:cs="Arial" w:eastAsia="Arial" w:hAnsi="Arial"/>
                <w:b/>
                <w:bCs/>
                <w:color w:val="FFFFFF"/>
                <w:sz w:val="26"/>
                <w:szCs w:val="26"/>
              </w:rPr>
              <w:t xml:space="preserve">Conclusione</w:t>
            </w:r>
          </w:p>
          <w:p>
            <w:pPr>
              <w:spacing w:after="120" w:before="0" w:line="280"/>
              <w:jc w:val="both"/>
            </w:pPr>
            <w:r>
              <w:rPr>
                <w:rFonts w:ascii="Arial" w:cs="Arial" w:eastAsia="Arial" w:hAnsi="Arial"/>
                <w:color w:val="D6E4F0"/>
                <w:sz w:val="21"/>
                <w:szCs w:val="21"/>
              </w:rPr>
              <w:t xml:space="preserve">La PSD2 è molto più di una direttiva sui pagamenti: è la codificazione giuridica di una visione dell’economia digitale aperta e competitiva. L’analogia con la filosofia imprenditoriale di Thiel non è casuale — è strutturale. Come PayPal non voleva migliorare il trasferimento di denaro ma reinventarlo, le Fintech nate nell’ecosistema PSD2 non ottimizzano la banca tradizionale: la ridefiniscono.</w:t>
            </w:r>
          </w:p>
          <w:p>
            <w:pPr>
              <w:spacing w:after="0" w:before="0" w:line="280"/>
              <w:jc w:val="both"/>
            </w:pPr>
            <w:r>
              <w:rPr>
                <w:rFonts w:ascii="Arial" w:cs="Arial" w:eastAsia="Arial" w:hAnsi="Arial"/>
                <w:color w:val="D6E4F0"/>
                <w:sz w:val="21"/>
                <w:szCs w:val="21"/>
              </w:rPr>
              <w:t xml:space="preserve">La sfida reale per i prossimi anni non è però tra banche e Fintech — ma tra l’ecosistema europeo regolamentato e le Big Tech globali che applicano la logica del monopolio thieliano su scala planetaria. La PSD3, con l’apertura dell’NFC e il coordinamento GDPR, è il tentativo dell’Europa di garantire che questa apertura produca benefici reali per i consumatori, senza che la concentrazione tecnologica riproduca, in forma digitale, gli stessi oligopoli che la direttiva voleva superare.</w:t>
            </w:r>
          </w:p>
        </w:tc>
      </w:tr>
    </w:tbl>
    <w:p>
      <w:pPr>
        <w:spacing w:after="60" w:before="6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2026-04-09T10:08:19.256Z</dcterms:created>
  <dcterms:modified xsi:type="dcterms:W3CDTF">2026-04-09T10:08:19.257Z</dcterms:modified>
</cp:coreProperties>
</file>

<file path=docProps/custom.xml><?xml version="1.0" encoding="utf-8"?>
<Properties xmlns="http://schemas.openxmlformats.org/officeDocument/2006/custom-properties" xmlns:vt="http://schemas.openxmlformats.org/officeDocument/2006/docPropsVTypes"/>
</file>