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E890BEC" wp14:paraId="2C8AC4A5" wp14:textId="15CA35E4">
      <w:pPr>
        <w:pStyle w:val="Heading1"/>
        <w:suppressLineNumbers w:val="0"/>
        <w:bidi w:val="0"/>
        <w:spacing w:before="0" w:beforeAutospacing="off" w:after="120" w:afterAutospacing="off" w:line="279" w:lineRule="auto"/>
        <w:ind w:left="0" w:right="0"/>
        <w:jc w:val="both"/>
      </w:pPr>
      <w:r w:rsidRPr="5E890BEC" w:rsidR="10FF92F9">
        <w:rPr>
          <w:rFonts w:ascii="Aptos" w:hAnsi="Aptos" w:eastAsia="Aptos" w:cs="Aptos"/>
          <w:b w:val="1"/>
          <w:bCs w:val="1"/>
          <w:noProof w:val="0"/>
          <w:color w:val="1F1F1F"/>
          <w:sz w:val="48"/>
          <w:szCs w:val="48"/>
          <w:lang w:val="it-IT"/>
        </w:rPr>
        <w:t>PSD2</w:t>
      </w:r>
    </w:p>
    <w:p xmlns:wp14="http://schemas.microsoft.com/office/word/2010/wordml" w:rsidP="5E890BEC" wp14:paraId="0E654BF0" wp14:textId="13DC6295">
      <w:pPr>
        <w:pStyle w:val="Heading3"/>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Contesto Storico e Frammentazione Normativa</w:t>
      </w:r>
    </w:p>
    <w:p xmlns:wp14="http://schemas.microsoft.com/office/word/2010/wordml" w:rsidP="5E890BEC" wp14:paraId="1BC31C6E" wp14:textId="4B3A2A0A">
      <w:pPr>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Prima dell'avvento della prima Direttiva sui Servizi di Pagamento (PSD1) nel 2007, il panorama europeo era caratterizzato da una profonda frammentazione. Ogni Stato membro gestiva i propri sistemi di pagamento nazionali con regole divergenti, rendendo le transazioni transfrontaliere costose, lente e incerte dal punto di vista legale. Questa situazione costituiva un ostacolo significativo per il completamento dell'Area Unica dei Pagamenti in </w:t>
      </w:r>
      <w:r w:rsidRPr="5E890BEC" w:rsidR="10FF92F9">
        <w:rPr>
          <w:rFonts w:ascii="Aptos" w:hAnsi="Aptos" w:eastAsia="Aptos" w:cs="Aptos"/>
          <w:noProof w:val="0"/>
          <w:color w:val="1F1F1F"/>
          <w:sz w:val="24"/>
          <w:szCs w:val="24"/>
          <w:lang w:val="it-IT"/>
        </w:rPr>
        <w:t>Euro</w:t>
      </w:r>
      <w:r w:rsidRPr="5E890BEC" w:rsidR="10FF92F9">
        <w:rPr>
          <w:rFonts w:ascii="Aptos" w:hAnsi="Aptos" w:eastAsia="Aptos" w:cs="Aptos"/>
          <w:noProof w:val="0"/>
          <w:color w:val="1F1F1F"/>
          <w:sz w:val="24"/>
          <w:szCs w:val="24"/>
          <w:lang w:val="it-IT"/>
        </w:rPr>
        <w:t xml:space="preserve"> (SEPA). La PSD1 ha gettato le basi per l'armonizzazione, introducendo la definizione di prestatore di servizi di pagamento (PSP) e stabilendo obblighi di trasparenza informativa. Tuttavia, la rapidità dell'innovazione digitale, trainata dalla diffusione massiva degli smartphone e dell'e-commerce, ha presto reso il quadro del 2007 insufficiente.</w:t>
      </w:r>
    </w:p>
    <w:p xmlns:wp14="http://schemas.microsoft.com/office/word/2010/wordml" w:rsidP="5E890BEC" wp14:paraId="0ADD381D" wp14:textId="085DA9C3">
      <w:pPr>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La nascita delle prime realtà Fintech, che operavano tramite tecniche di "screen </w:t>
      </w:r>
      <w:r w:rsidRPr="5E890BEC" w:rsidR="10FF92F9">
        <w:rPr>
          <w:rFonts w:ascii="Aptos" w:hAnsi="Aptos" w:eastAsia="Aptos" w:cs="Aptos"/>
          <w:noProof w:val="0"/>
          <w:color w:val="1F1F1F"/>
          <w:sz w:val="24"/>
          <w:szCs w:val="24"/>
          <w:lang w:val="it-IT"/>
        </w:rPr>
        <w:t>scraping</w:t>
      </w:r>
      <w:r w:rsidRPr="5E890BEC" w:rsidR="10FF92F9">
        <w:rPr>
          <w:rFonts w:ascii="Aptos" w:hAnsi="Aptos" w:eastAsia="Aptos" w:cs="Aptos"/>
          <w:noProof w:val="0"/>
          <w:color w:val="1F1F1F"/>
          <w:sz w:val="24"/>
          <w:szCs w:val="24"/>
          <w:lang w:val="it-IT"/>
        </w:rPr>
        <w:t>" (raccolta di dati tramite l'emulazione dell'accesso dell'utente al proprio home banking), ha generato un'area grigia normativa. Questi nuovi attori offrivano servizi innovativi di aggregazione dei conti o di disposizione di ordini di pagamento senza essere soggetti alla vigilanza bancaria, creando potenziali rischi per la sicurezza dei dati e la protezione dei consumatori. La necessità di integrare questi nuovi servizi in un quadro regolamentato, garantendo al contempo un "</w:t>
      </w:r>
      <w:r w:rsidRPr="5E890BEC" w:rsidR="10FF92F9">
        <w:rPr>
          <w:rFonts w:ascii="Aptos" w:hAnsi="Aptos" w:eastAsia="Aptos" w:cs="Aptos"/>
          <w:noProof w:val="0"/>
          <w:color w:val="1F1F1F"/>
          <w:sz w:val="24"/>
          <w:szCs w:val="24"/>
          <w:lang w:val="it-IT"/>
        </w:rPr>
        <w:t>level</w:t>
      </w:r>
      <w:r w:rsidRPr="5E890BEC" w:rsidR="10FF92F9">
        <w:rPr>
          <w:rFonts w:ascii="Aptos" w:hAnsi="Aptos" w:eastAsia="Aptos" w:cs="Aptos"/>
          <w:noProof w:val="0"/>
          <w:color w:val="1F1F1F"/>
          <w:sz w:val="24"/>
          <w:szCs w:val="24"/>
          <w:lang w:val="it-IT"/>
        </w:rPr>
        <w:t xml:space="preserve"> playing field" (condizioni di parità) tra banche tradizionali e nuovi entranti, ha portato alla formulazione della Direttiva (UE) 2015/2366, comunemente nota come PSD2.</w:t>
      </w:r>
    </w:p>
    <w:p xmlns:wp14="http://schemas.microsoft.com/office/word/2010/wordml" w:rsidP="5E890BEC" wp14:paraId="57445E9D" wp14:textId="24EAA29E">
      <w:pPr>
        <w:pStyle w:val="Heading3"/>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1.2 Definizione e Portata della PSD2</w:t>
      </w:r>
    </w:p>
    <w:p xmlns:wp14="http://schemas.microsoft.com/office/word/2010/wordml" w:rsidP="5E890BEC" wp14:paraId="68CB714D" wp14:textId="7347B5F7">
      <w:pPr>
        <w:spacing w:before="0" w:beforeAutospacing="off" w:after="240" w:afterAutospacing="off"/>
        <w:jc w:val="both"/>
      </w:pPr>
      <w:r w:rsidRPr="5E890BEC" w:rsidR="10FF92F9">
        <w:rPr>
          <w:rFonts w:ascii="Aptos" w:hAnsi="Aptos" w:eastAsia="Aptos" w:cs="Aptos"/>
          <w:noProof w:val="0"/>
          <w:color w:val="1F1F1F"/>
          <w:sz w:val="24"/>
          <w:szCs w:val="24"/>
          <w:lang w:val="it-IT"/>
        </w:rPr>
        <w:t>La Payment Services Directive 2 (PSD2) è la direttiva dell'Unione Europea che disciplina i servizi di pagamento e i prestatori di tali servizi nel mercato interno. Essa non è una semplice revisione tecnica, ma un atto di portata rivoluzionaria che introduce il paradigma dell'Open Banking. Il principio cardine è che i dati finanziari appartengono al cliente e non alla banca; di conseguenza, se il cliente lo desidera, la banca di radicamento del conto (ASPSP) ha l'obbligo di permettere a terze parti autorizzate di accedere a tali dati per fornire servizi a valore aggiunto. La PSD2 copre tutti i servizi di pagamento al dettaglio, dalle rimesse di denaro all'emissione di strumenti di pagamento, includendo le transazioni eseguite in qualsiasi valuta dell'UE e del SEE, nonché le operazioni "one-</w:t>
      </w:r>
      <w:r w:rsidRPr="5E890BEC" w:rsidR="10FF92F9">
        <w:rPr>
          <w:rFonts w:ascii="Aptos" w:hAnsi="Aptos" w:eastAsia="Aptos" w:cs="Aptos"/>
          <w:noProof w:val="0"/>
          <w:color w:val="1F1F1F"/>
          <w:sz w:val="24"/>
          <w:szCs w:val="24"/>
          <w:lang w:val="it-IT"/>
        </w:rPr>
        <w:t>leg</w:t>
      </w:r>
      <w:r w:rsidRPr="5E890BEC" w:rsidR="10FF92F9">
        <w:rPr>
          <w:rFonts w:ascii="Aptos" w:hAnsi="Aptos" w:eastAsia="Aptos" w:cs="Aptos"/>
          <w:noProof w:val="0"/>
          <w:color w:val="1F1F1F"/>
          <w:sz w:val="24"/>
          <w:szCs w:val="24"/>
          <w:lang w:val="it-IT"/>
        </w:rPr>
        <w:t>".</w:t>
      </w:r>
    </w:p>
    <w:p xmlns:wp14="http://schemas.microsoft.com/office/word/2010/wordml" w:rsidP="5E890BEC" wp14:paraId="57E6A44D" wp14:textId="695EC4A3">
      <w:pPr>
        <w:pStyle w:val="Heading3"/>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1.3 Importanza Strategica e Sfide Contemporanee</w:t>
      </w:r>
    </w:p>
    <w:p xmlns:wp14="http://schemas.microsoft.com/office/word/2010/wordml" w:rsidP="5E890BEC" wp14:paraId="0995766D" wp14:textId="65B540D8">
      <w:pPr>
        <w:spacing w:before="0" w:beforeAutospacing="off" w:after="240" w:afterAutospacing="off"/>
        <w:jc w:val="both"/>
      </w:pPr>
      <w:r w:rsidRPr="5E890BEC" w:rsidR="10FF92F9">
        <w:rPr>
          <w:rFonts w:ascii="Aptos" w:hAnsi="Aptos" w:eastAsia="Aptos" w:cs="Aptos"/>
          <w:noProof w:val="0"/>
          <w:color w:val="1F1F1F"/>
          <w:sz w:val="24"/>
          <w:szCs w:val="24"/>
          <w:lang w:val="it-IT"/>
        </w:rPr>
        <w:t>L'impatto della PSD2 si estende ben oltre la sfera bancaria, influenzando la cybersecurity, la gestione del rischio e la protezione della privacy. L'introduzione di requisiti di sicurezza più stringenti, come l'autenticazione forte del cliente (SCA), mira a ridurre drasticamente le frodi online, che rappresentano una delle principali minacce alla fiducia dei consumatori nel mercato digitale. Allo stesso tempo, la direttiva stimola la concorrenza, riducendo le barriere all'ingresso per le Fintech e promuovendo lo sviluppo di soluzioni di pagamento più veloci, economiche e accessibili. La sfida attuale risiede nel coordinamento tra questa apertura del mercato e il rigoroso regime di protezione dei dati personali imposto dal GDPR, una sinergia che richiede un'analisi tecnica e giuridica approfondita.</w:t>
      </w:r>
    </w:p>
    <w:p xmlns:wp14="http://schemas.microsoft.com/office/word/2010/wordml" w:rsidP="5E890BEC" wp14:paraId="5AF93144" wp14:textId="2AECFFC0">
      <w:pPr>
        <w:pStyle w:val="Heading2"/>
        <w:spacing w:before="0" w:beforeAutospacing="off" w:after="120" w:afterAutospacing="off"/>
        <w:jc w:val="both"/>
      </w:pPr>
      <w:r w:rsidRPr="5E890BEC" w:rsidR="10FF92F9">
        <w:rPr>
          <w:rFonts w:ascii="Aptos" w:hAnsi="Aptos" w:eastAsia="Aptos" w:cs="Aptos"/>
          <w:b w:val="1"/>
          <w:bCs w:val="1"/>
          <w:noProof w:val="0"/>
          <w:color w:val="1F1F1F"/>
          <w:sz w:val="36"/>
          <w:szCs w:val="36"/>
          <w:lang w:val="it-IT"/>
        </w:rPr>
        <w:t>2. L'Architettura Normativa della PSD2</w:t>
      </w:r>
    </w:p>
    <w:p xmlns:wp14="http://schemas.microsoft.com/office/word/2010/wordml" w:rsidP="5E890BEC" wp14:paraId="2D1F6356" wp14:textId="5788EBF9">
      <w:pPr>
        <w:spacing w:before="0" w:beforeAutospacing="off" w:after="240" w:afterAutospacing="off"/>
        <w:jc w:val="both"/>
      </w:pPr>
      <w:r w:rsidRPr="5E890BEC" w:rsidR="10FF92F9">
        <w:rPr>
          <w:rFonts w:ascii="Aptos" w:hAnsi="Aptos" w:eastAsia="Aptos" w:cs="Aptos"/>
          <w:noProof w:val="0"/>
          <w:color w:val="1F1F1F"/>
          <w:sz w:val="24"/>
          <w:szCs w:val="24"/>
          <w:lang w:val="it-IT"/>
        </w:rPr>
        <w:t>La PSD2 si presenta come una normativa orizzontale che regola la prestazione dei servizi di pagamento nell'Unione Europea, armonizzando i diritti e i doveri di tutti gli attori coinvolti. Adottata il 25 novembre 2015, essa ha richiesto un complesso processo di recepimento nazionale per diventare pienamente operativa in tutti gli Stati membri.</w:t>
      </w:r>
    </w:p>
    <w:p xmlns:wp14="http://schemas.microsoft.com/office/word/2010/wordml" w:rsidP="5E890BEC" wp14:paraId="4287D7B4" wp14:textId="465B84C5">
      <w:pPr>
        <w:pStyle w:val="Heading3"/>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2.1 Definizione Formale e Ambito di Applicazione</w:t>
      </w:r>
    </w:p>
    <w:p xmlns:wp14="http://schemas.microsoft.com/office/word/2010/wordml" w:rsidP="5E890BEC" wp14:paraId="0C695D12" wp14:textId="5D6264FF">
      <w:pPr>
        <w:spacing w:before="0" w:beforeAutospacing="off" w:after="240" w:afterAutospacing="off"/>
        <w:jc w:val="both"/>
      </w:pPr>
      <w:r w:rsidRPr="5E890BEC" w:rsidR="10FF92F9">
        <w:rPr>
          <w:rFonts w:ascii="Aptos" w:hAnsi="Aptos" w:eastAsia="Aptos" w:cs="Aptos"/>
          <w:noProof w:val="0"/>
          <w:color w:val="1F1F1F"/>
          <w:sz w:val="24"/>
          <w:szCs w:val="24"/>
          <w:lang w:val="it-IT"/>
        </w:rPr>
        <w:t>La Direttiva (UE) 2015/2366 stabilisce le norme in base alle quali gli Stati membri distinguono diverse categorie di prestatori di servizi di pagamento, tra cui enti creditizi, istituti di moneta elettronica (IMEL) e istituti di pagamento (IP). L'ambito applicativo è definito sia dal punto di vista oggettivo (quali servizi sono regolati) sia dal punto di vista territoriale. In particolare, la PSD2 si applica alle operazioni di pagamento effettuate all'interno dell'Unione, dove entrambi i prestatori di servizi di pagamento (del pagatore e del beneficiario) sono situati nell'UE, o dove solo uno dei prestatori sia situato nell'Unione (operazioni one-</w:t>
      </w:r>
      <w:r w:rsidRPr="5E890BEC" w:rsidR="10FF92F9">
        <w:rPr>
          <w:rFonts w:ascii="Aptos" w:hAnsi="Aptos" w:eastAsia="Aptos" w:cs="Aptos"/>
          <w:noProof w:val="0"/>
          <w:color w:val="1F1F1F"/>
          <w:sz w:val="24"/>
          <w:szCs w:val="24"/>
          <w:lang w:val="it-IT"/>
        </w:rPr>
        <w:t>leg</w:t>
      </w:r>
      <w:r w:rsidRPr="5E890BEC" w:rsidR="10FF92F9">
        <w:rPr>
          <w:rFonts w:ascii="Aptos" w:hAnsi="Aptos" w:eastAsia="Aptos" w:cs="Aptos"/>
          <w:noProof w:val="0"/>
          <w:color w:val="1F1F1F"/>
          <w:sz w:val="24"/>
          <w:szCs w:val="24"/>
          <w:lang w:val="it-IT"/>
        </w:rPr>
        <w:t>).</w:t>
      </w:r>
    </w:p>
    <w:tbl>
      <w:tblPr>
        <w:tblStyle w:val="TableNormal"/>
        <w:bidiVisual w:val="0"/>
        <w:tblW w:w="0" w:type="auto"/>
        <w:tblLook w:val="06A0" w:firstRow="1" w:lastRow="0" w:firstColumn="1" w:lastColumn="0" w:noHBand="1" w:noVBand="1"/>
      </w:tblPr>
      <w:tblGrid>
        <w:gridCol w:w="2580"/>
        <w:gridCol w:w="4993"/>
      </w:tblGrid>
      <w:tr w:rsidR="5E890BEC" w:rsidTr="5E890BEC" w14:paraId="5C010503">
        <w:trPr>
          <w:trHeight w:val="300"/>
        </w:trPr>
        <w:tc>
          <w:tcPr>
            <w:tcW w:w="258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10BFB2B2" w14:textId="65A91D54">
            <w:pPr>
              <w:spacing w:before="0" w:beforeAutospacing="off" w:after="0" w:afterAutospacing="off"/>
              <w:jc w:val="both"/>
            </w:pPr>
            <w:r w:rsidRPr="5E890BEC" w:rsidR="5E890BEC">
              <w:rPr>
                <w:b w:val="1"/>
                <w:bCs w:val="1"/>
                <w:color w:val="1F1F1F"/>
              </w:rPr>
              <w:t>Caratteristica</w:t>
            </w:r>
          </w:p>
        </w:tc>
        <w:tc>
          <w:tcPr>
            <w:tcW w:w="4993" w:type="dxa"/>
            <w:tcBorders>
              <w:top w:val="single" w:sz="6"/>
              <w:left w:val="single" w:sz="6"/>
              <w:bottom w:val="single" w:sz="6"/>
              <w:right w:val="single" w:sz="6"/>
            </w:tcBorders>
            <w:tcMar>
              <w:top w:w="240" w:type="dxa"/>
              <w:bottom w:w="240" w:type="dxa"/>
            </w:tcMar>
            <w:vAlign w:val="center"/>
          </w:tcPr>
          <w:p w:rsidR="5E890BEC" w:rsidP="5E890BEC" w:rsidRDefault="5E890BEC" w14:paraId="2DD961DA" w14:textId="28019FE3">
            <w:pPr>
              <w:spacing w:before="0" w:beforeAutospacing="off" w:after="0" w:afterAutospacing="off"/>
              <w:jc w:val="both"/>
            </w:pPr>
            <w:r w:rsidRPr="5E890BEC" w:rsidR="5E890BEC">
              <w:rPr>
                <w:b w:val="1"/>
                <w:bCs w:val="1"/>
                <w:color w:val="1F1F1F"/>
              </w:rPr>
              <w:t>Dettaglio Normativo</w:t>
            </w:r>
          </w:p>
        </w:tc>
      </w:tr>
      <w:tr w:rsidR="5E890BEC" w:rsidTr="5E890BEC" w14:paraId="0DD5DFE2">
        <w:trPr>
          <w:trHeight w:val="300"/>
        </w:trPr>
        <w:tc>
          <w:tcPr>
            <w:tcW w:w="258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74E8318" w14:textId="62B78C9F">
            <w:pPr>
              <w:spacing w:before="0" w:beforeAutospacing="off" w:after="0" w:afterAutospacing="off"/>
              <w:jc w:val="both"/>
            </w:pPr>
            <w:r w:rsidRPr="5E890BEC" w:rsidR="5E890BEC">
              <w:rPr>
                <w:b w:val="1"/>
                <w:bCs w:val="1"/>
                <w:color w:val="1F1F1F"/>
              </w:rPr>
              <w:t>Atto Giuridico</w:t>
            </w:r>
          </w:p>
        </w:tc>
        <w:tc>
          <w:tcPr>
            <w:tcW w:w="4993" w:type="dxa"/>
            <w:tcBorders>
              <w:top w:val="single" w:sz="6"/>
              <w:left w:val="single" w:sz="6"/>
              <w:bottom w:val="single" w:sz="6"/>
              <w:right w:val="single" w:sz="6"/>
            </w:tcBorders>
            <w:tcMar>
              <w:top w:w="240" w:type="dxa"/>
              <w:bottom w:w="240" w:type="dxa"/>
            </w:tcMar>
            <w:vAlign w:val="center"/>
          </w:tcPr>
          <w:p w:rsidR="5E890BEC" w:rsidP="5E890BEC" w:rsidRDefault="5E890BEC" w14:paraId="2005EF7D" w14:textId="07C450AC">
            <w:pPr>
              <w:spacing w:before="0" w:beforeAutospacing="off" w:after="0" w:afterAutospacing="off"/>
              <w:jc w:val="both"/>
            </w:pPr>
            <w:r w:rsidRPr="5E890BEC" w:rsidR="5E890BEC">
              <w:rPr>
                <w:color w:val="1F1F1F"/>
              </w:rPr>
              <w:t>Direttiva (UE) 2015/2366</w:t>
            </w:r>
          </w:p>
        </w:tc>
      </w:tr>
      <w:tr w:rsidR="5E890BEC" w:rsidTr="5E890BEC" w14:paraId="5A19CCB0">
        <w:trPr>
          <w:trHeight w:val="300"/>
        </w:trPr>
        <w:tc>
          <w:tcPr>
            <w:tcW w:w="258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4BDC6898" w14:textId="42CE22C6">
            <w:pPr>
              <w:spacing w:before="0" w:beforeAutospacing="off" w:after="0" w:afterAutospacing="off"/>
              <w:jc w:val="both"/>
            </w:pPr>
            <w:r w:rsidRPr="5E890BEC" w:rsidR="5E890BEC">
              <w:rPr>
                <w:b w:val="1"/>
                <w:bCs w:val="1"/>
                <w:color w:val="1F1F1F"/>
              </w:rPr>
              <w:t>Data di Adozione</w:t>
            </w:r>
          </w:p>
        </w:tc>
        <w:tc>
          <w:tcPr>
            <w:tcW w:w="4993" w:type="dxa"/>
            <w:tcBorders>
              <w:top w:val="single" w:sz="6"/>
              <w:left w:val="single" w:sz="6"/>
              <w:bottom w:val="single" w:sz="6"/>
              <w:right w:val="single" w:sz="6"/>
            </w:tcBorders>
            <w:tcMar>
              <w:top w:w="240" w:type="dxa"/>
              <w:bottom w:w="240" w:type="dxa"/>
            </w:tcMar>
            <w:vAlign w:val="center"/>
          </w:tcPr>
          <w:p w:rsidR="5E890BEC" w:rsidP="5E890BEC" w:rsidRDefault="5E890BEC" w14:paraId="1A040F92" w14:textId="1A709C4F">
            <w:pPr>
              <w:spacing w:before="0" w:beforeAutospacing="off" w:after="0" w:afterAutospacing="off"/>
              <w:jc w:val="both"/>
            </w:pPr>
            <w:r w:rsidRPr="5E890BEC" w:rsidR="5E890BEC">
              <w:rPr>
                <w:color w:val="1F1F1F"/>
              </w:rPr>
              <w:t>25 novembre 2015</w:t>
            </w:r>
          </w:p>
        </w:tc>
      </w:tr>
      <w:tr w:rsidR="5E890BEC" w:rsidTr="5E890BEC" w14:paraId="5AD96923">
        <w:trPr>
          <w:trHeight w:val="300"/>
        </w:trPr>
        <w:tc>
          <w:tcPr>
            <w:tcW w:w="258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2E0B5121" w14:textId="73BD52EC">
            <w:pPr>
              <w:spacing w:before="0" w:beforeAutospacing="off" w:after="0" w:afterAutospacing="off"/>
              <w:jc w:val="both"/>
            </w:pPr>
            <w:r w:rsidRPr="5E890BEC" w:rsidR="5E890BEC">
              <w:rPr>
                <w:b w:val="1"/>
                <w:bCs w:val="1"/>
                <w:color w:val="1F1F1F"/>
              </w:rPr>
              <w:t>Pubblicazione GURI</w:t>
            </w:r>
          </w:p>
        </w:tc>
        <w:tc>
          <w:tcPr>
            <w:tcW w:w="4993" w:type="dxa"/>
            <w:tcBorders>
              <w:top w:val="single" w:sz="6"/>
              <w:left w:val="single" w:sz="6"/>
              <w:bottom w:val="single" w:sz="6"/>
              <w:right w:val="single" w:sz="6"/>
            </w:tcBorders>
            <w:tcMar>
              <w:top w:w="240" w:type="dxa"/>
              <w:bottom w:w="240" w:type="dxa"/>
            </w:tcMar>
            <w:vAlign w:val="center"/>
          </w:tcPr>
          <w:p w:rsidR="5E890BEC" w:rsidP="5E890BEC" w:rsidRDefault="5E890BEC" w14:paraId="75AEB71A" w14:textId="015DE6F4">
            <w:pPr>
              <w:spacing w:before="0" w:beforeAutospacing="off" w:after="0" w:afterAutospacing="off"/>
              <w:jc w:val="both"/>
            </w:pPr>
            <w:r w:rsidRPr="5E890BEC" w:rsidR="5E890BEC">
              <w:rPr>
                <w:color w:val="1F1F1F"/>
              </w:rPr>
              <w:t>23 gennaio 2016</w:t>
            </w:r>
          </w:p>
        </w:tc>
      </w:tr>
      <w:tr w:rsidR="5E890BEC" w:rsidTr="5E890BEC" w14:paraId="6D1D1958">
        <w:trPr>
          <w:trHeight w:val="300"/>
        </w:trPr>
        <w:tc>
          <w:tcPr>
            <w:tcW w:w="258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4A670EBB" w14:textId="6C10892E">
            <w:pPr>
              <w:spacing w:before="0" w:beforeAutospacing="off" w:after="0" w:afterAutospacing="off"/>
              <w:jc w:val="both"/>
            </w:pPr>
            <w:r w:rsidRPr="5E890BEC" w:rsidR="5E890BEC">
              <w:rPr>
                <w:b w:val="1"/>
                <w:bCs w:val="1"/>
                <w:color w:val="1F1F1F"/>
              </w:rPr>
              <w:t>Ambito Territoriale</w:t>
            </w:r>
          </w:p>
        </w:tc>
        <w:tc>
          <w:tcPr>
            <w:tcW w:w="4993" w:type="dxa"/>
            <w:tcBorders>
              <w:top w:val="single" w:sz="6"/>
              <w:left w:val="single" w:sz="6"/>
              <w:bottom w:val="single" w:sz="6"/>
              <w:right w:val="single" w:sz="6"/>
            </w:tcBorders>
            <w:tcMar>
              <w:top w:w="240" w:type="dxa"/>
              <w:bottom w:w="240" w:type="dxa"/>
            </w:tcMar>
            <w:vAlign w:val="center"/>
          </w:tcPr>
          <w:p w:rsidR="5E890BEC" w:rsidP="5E890BEC" w:rsidRDefault="5E890BEC" w14:paraId="79679CDB" w14:textId="4F09293B">
            <w:pPr>
              <w:spacing w:before="0" w:beforeAutospacing="off" w:after="0" w:afterAutospacing="off"/>
              <w:jc w:val="both"/>
            </w:pPr>
            <w:r w:rsidRPr="5E890BEC" w:rsidR="5E890BEC">
              <w:rPr>
                <w:color w:val="1F1F1F"/>
              </w:rPr>
              <w:t>UE e Spazio Economico Europeo (SEE)</w:t>
            </w:r>
          </w:p>
        </w:tc>
      </w:tr>
      <w:tr w:rsidR="5E890BEC" w:rsidTr="5E890BEC" w14:paraId="00D34FA0">
        <w:trPr>
          <w:trHeight w:val="300"/>
        </w:trPr>
        <w:tc>
          <w:tcPr>
            <w:tcW w:w="258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484799D2" w14:textId="681086EE">
            <w:pPr>
              <w:spacing w:before="0" w:beforeAutospacing="off" w:after="0" w:afterAutospacing="off"/>
              <w:jc w:val="both"/>
            </w:pPr>
            <w:r w:rsidRPr="5E890BEC" w:rsidR="5E890BEC">
              <w:rPr>
                <w:b w:val="1"/>
                <w:bCs w:val="1"/>
                <w:color w:val="1F1F1F"/>
              </w:rPr>
              <w:t>Valute Coperte</w:t>
            </w:r>
          </w:p>
        </w:tc>
        <w:tc>
          <w:tcPr>
            <w:tcW w:w="4993" w:type="dxa"/>
            <w:tcBorders>
              <w:top w:val="single" w:sz="6"/>
              <w:left w:val="single" w:sz="6"/>
              <w:bottom w:val="single" w:sz="6"/>
              <w:right w:val="single" w:sz="6"/>
            </w:tcBorders>
            <w:tcMar>
              <w:top w:w="240" w:type="dxa"/>
              <w:bottom w:w="240" w:type="dxa"/>
            </w:tcMar>
            <w:vAlign w:val="center"/>
          </w:tcPr>
          <w:p w:rsidR="5E890BEC" w:rsidP="5E890BEC" w:rsidRDefault="5E890BEC" w14:paraId="48BF5FBD" w14:textId="29C41F41">
            <w:pPr>
              <w:spacing w:before="0" w:beforeAutospacing="off" w:after="0" w:afterAutospacing="off"/>
              <w:jc w:val="both"/>
              <w:rPr>
                <w:color w:val="1F1F1F"/>
              </w:rPr>
            </w:pPr>
            <w:r w:rsidRPr="5E890BEC" w:rsidR="5E890BEC">
              <w:rPr>
                <w:color w:val="1F1F1F"/>
              </w:rPr>
              <w:t>Tutte le valute dell'UE e operazioni One-</w:t>
            </w:r>
            <w:r w:rsidRPr="5E890BEC" w:rsidR="5E890BEC">
              <w:rPr>
                <w:color w:val="1F1F1F"/>
              </w:rPr>
              <w:t>Leg</w:t>
            </w:r>
          </w:p>
        </w:tc>
      </w:tr>
    </w:tbl>
    <w:p xmlns:wp14="http://schemas.microsoft.com/office/word/2010/wordml" w:rsidP="5E890BEC" wp14:paraId="3493CA84" wp14:textId="62E88D16">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2.2 Il Salto Qualitativo rispetto alla PSD1</w:t>
      </w:r>
    </w:p>
    <w:p xmlns:wp14="http://schemas.microsoft.com/office/word/2010/wordml" w:rsidP="5E890BEC" wp14:paraId="250359BB" wp14:textId="730FEA0D">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Il confronto tra il regime della PSD1 e quello della PSD2 evidenzia il passaggio da un approccio focalizzato sulla standardizzazione operativa a uno focalizzato sull'apertura del mercato e sulla sicurezza rafforzata. La PSD1 era stata concepita in un'epoca in cui i pagamenti via internet erano ancora in fase di consolidamento e i servizi di aggregazione informativa erano pressoché inesistenti.</w:t>
      </w:r>
    </w:p>
    <w:tbl>
      <w:tblPr>
        <w:tblStyle w:val="TableNormal"/>
        <w:bidiVisual w:val="0"/>
        <w:tblW w:w="0" w:type="auto"/>
        <w:tblInd w:w="-1200" w:type="dxa"/>
        <w:tblLook w:val="06A0" w:firstRow="1" w:lastRow="0" w:firstColumn="1" w:lastColumn="0" w:noHBand="1" w:noVBand="1"/>
      </w:tblPr>
      <w:tblGrid>
        <w:gridCol w:w="3134"/>
        <w:gridCol w:w="4215"/>
        <w:gridCol w:w="4309"/>
      </w:tblGrid>
      <w:tr w:rsidR="5E890BEC" w:rsidTr="5E890BEC" w14:paraId="4E79B5B7">
        <w:trPr>
          <w:trHeight w:val="300"/>
        </w:trPr>
        <w:tc>
          <w:tcPr>
            <w:tcW w:w="31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0A8C47CC" w14:textId="08B778F3">
            <w:pPr>
              <w:bidi w:val="0"/>
              <w:spacing w:before="0" w:beforeAutospacing="off" w:after="0" w:afterAutospacing="off"/>
              <w:jc w:val="both"/>
            </w:pPr>
            <w:r w:rsidRPr="5E890BEC" w:rsidR="5E890BEC">
              <w:rPr>
                <w:b w:val="1"/>
                <w:bCs w:val="1"/>
                <w:color w:val="1F1F1F"/>
              </w:rPr>
              <w:t>Aspetto Tecnico-Giuridico</w:t>
            </w:r>
          </w:p>
        </w:tc>
        <w:tc>
          <w:tcPr>
            <w:tcW w:w="421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03030D52" w14:textId="065FC03C">
            <w:pPr>
              <w:bidi w:val="0"/>
              <w:spacing w:before="0" w:beforeAutospacing="off" w:after="0" w:afterAutospacing="off"/>
              <w:jc w:val="both"/>
            </w:pPr>
            <w:r w:rsidRPr="5E890BEC" w:rsidR="5E890BEC">
              <w:rPr>
                <w:b w:val="1"/>
                <w:bCs w:val="1"/>
                <w:color w:val="1F1F1F"/>
              </w:rPr>
              <w:t>Regime PSD1</w:t>
            </w:r>
          </w:p>
        </w:tc>
        <w:tc>
          <w:tcPr>
            <w:tcW w:w="4309" w:type="dxa"/>
            <w:tcBorders>
              <w:top w:val="single" w:sz="6"/>
              <w:left w:val="single" w:sz="6"/>
              <w:bottom w:val="single" w:sz="6"/>
              <w:right w:val="single" w:sz="6"/>
            </w:tcBorders>
            <w:tcMar>
              <w:top w:w="240" w:type="dxa"/>
              <w:bottom w:w="240" w:type="dxa"/>
            </w:tcMar>
            <w:vAlign w:val="center"/>
          </w:tcPr>
          <w:p w:rsidR="5E890BEC" w:rsidP="5E890BEC" w:rsidRDefault="5E890BEC" w14:paraId="5C7E21DC" w14:textId="1DE74AF4">
            <w:pPr>
              <w:bidi w:val="0"/>
              <w:spacing w:before="0" w:beforeAutospacing="off" w:after="0" w:afterAutospacing="off"/>
              <w:jc w:val="both"/>
            </w:pPr>
            <w:r w:rsidRPr="5E890BEC" w:rsidR="5E890BEC">
              <w:rPr>
                <w:b w:val="1"/>
                <w:bCs w:val="1"/>
                <w:color w:val="1F1F1F"/>
              </w:rPr>
              <w:t>Evoluzione PSD2</w:t>
            </w:r>
          </w:p>
        </w:tc>
      </w:tr>
      <w:tr w:rsidR="5E890BEC" w:rsidTr="5E890BEC" w14:paraId="55E6230D">
        <w:trPr>
          <w:trHeight w:val="300"/>
        </w:trPr>
        <w:tc>
          <w:tcPr>
            <w:tcW w:w="31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7247D670" w14:textId="17088F3C">
            <w:pPr>
              <w:bidi w:val="0"/>
              <w:spacing w:before="0" w:beforeAutospacing="off" w:after="0" w:afterAutospacing="off"/>
              <w:jc w:val="both"/>
            </w:pPr>
            <w:r w:rsidRPr="5E890BEC" w:rsidR="5E890BEC">
              <w:rPr>
                <w:b w:val="1"/>
                <w:bCs w:val="1"/>
                <w:color w:val="1F1F1F"/>
              </w:rPr>
              <w:t>Open Banking</w:t>
            </w:r>
          </w:p>
        </w:tc>
        <w:tc>
          <w:tcPr>
            <w:tcW w:w="421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29899CA" w14:textId="5F6A35F2">
            <w:pPr>
              <w:bidi w:val="0"/>
              <w:spacing w:before="0" w:beforeAutospacing="off" w:after="0" w:afterAutospacing="off"/>
              <w:jc w:val="both"/>
            </w:pPr>
            <w:r w:rsidRPr="5E890BEC" w:rsidR="5E890BEC">
              <w:rPr>
                <w:color w:val="1F1F1F"/>
              </w:rPr>
              <w:t>Non previsto</w:t>
            </w:r>
          </w:p>
        </w:tc>
        <w:tc>
          <w:tcPr>
            <w:tcW w:w="4309" w:type="dxa"/>
            <w:tcBorders>
              <w:top w:val="single" w:sz="6"/>
              <w:left w:val="single" w:sz="6"/>
              <w:bottom w:val="single" w:sz="6"/>
              <w:right w:val="single" w:sz="6"/>
            </w:tcBorders>
            <w:tcMar>
              <w:top w:w="240" w:type="dxa"/>
              <w:bottom w:w="240" w:type="dxa"/>
            </w:tcMar>
            <w:vAlign w:val="center"/>
          </w:tcPr>
          <w:p w:rsidR="5E890BEC" w:rsidP="5E890BEC" w:rsidRDefault="5E890BEC" w14:paraId="23D434FF" w14:textId="4E825121">
            <w:pPr>
              <w:bidi w:val="0"/>
              <w:spacing w:before="0" w:beforeAutospacing="off" w:after="0" w:afterAutospacing="off"/>
              <w:jc w:val="both"/>
            </w:pPr>
            <w:r w:rsidRPr="5E890BEC" w:rsidR="5E890BEC">
              <w:rPr>
                <w:color w:val="1F1F1F"/>
              </w:rPr>
              <w:t>Obbligatorio (Access to Account - XS2A)</w:t>
            </w:r>
          </w:p>
        </w:tc>
      </w:tr>
      <w:tr w:rsidR="5E890BEC" w:rsidTr="5E890BEC" w14:paraId="4C5080AE">
        <w:trPr>
          <w:trHeight w:val="300"/>
        </w:trPr>
        <w:tc>
          <w:tcPr>
            <w:tcW w:w="31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52A964A9" w14:textId="0A1CDD7E">
            <w:pPr>
              <w:bidi w:val="0"/>
              <w:spacing w:before="0" w:beforeAutospacing="off" w:after="0" w:afterAutospacing="off"/>
              <w:jc w:val="both"/>
            </w:pPr>
            <w:r w:rsidRPr="5E890BEC" w:rsidR="5E890BEC">
              <w:rPr>
                <w:b w:val="1"/>
                <w:bCs w:val="1"/>
                <w:color w:val="1F1F1F"/>
              </w:rPr>
              <w:t>Soggetti Terzi (TPP)</w:t>
            </w:r>
          </w:p>
        </w:tc>
        <w:tc>
          <w:tcPr>
            <w:tcW w:w="421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56ADA4C" w14:textId="0EEE90BA">
            <w:pPr>
              <w:bidi w:val="0"/>
              <w:spacing w:before="0" w:beforeAutospacing="off" w:after="0" w:afterAutospacing="off"/>
              <w:jc w:val="both"/>
            </w:pPr>
            <w:r w:rsidRPr="5E890BEC" w:rsidR="5E890BEC">
              <w:rPr>
                <w:color w:val="1F1F1F"/>
              </w:rPr>
              <w:t>Non regolamentati</w:t>
            </w:r>
          </w:p>
        </w:tc>
        <w:tc>
          <w:tcPr>
            <w:tcW w:w="4309" w:type="dxa"/>
            <w:tcBorders>
              <w:top w:val="single" w:sz="6"/>
              <w:left w:val="single" w:sz="6"/>
              <w:bottom w:val="single" w:sz="6"/>
              <w:right w:val="single" w:sz="6"/>
            </w:tcBorders>
            <w:tcMar>
              <w:top w:w="240" w:type="dxa"/>
              <w:bottom w:w="240" w:type="dxa"/>
            </w:tcMar>
            <w:vAlign w:val="center"/>
          </w:tcPr>
          <w:p w:rsidR="5E890BEC" w:rsidP="5E890BEC" w:rsidRDefault="5E890BEC" w14:paraId="09F25F22" w14:textId="54112700">
            <w:pPr>
              <w:bidi w:val="0"/>
              <w:spacing w:before="0" w:beforeAutospacing="off" w:after="0" w:afterAutospacing="off"/>
              <w:jc w:val="both"/>
            </w:pPr>
            <w:r w:rsidRPr="5E890BEC" w:rsidR="5E890BEC">
              <w:rPr>
                <w:color w:val="1F1F1F"/>
              </w:rPr>
              <w:t>Formalmente autorizzati e vigilati</w:t>
            </w:r>
          </w:p>
        </w:tc>
      </w:tr>
      <w:tr w:rsidR="5E890BEC" w:rsidTr="5E890BEC" w14:paraId="499DB5A6">
        <w:trPr>
          <w:trHeight w:val="300"/>
        </w:trPr>
        <w:tc>
          <w:tcPr>
            <w:tcW w:w="31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5CDEFD13" w14:textId="6190DC6A">
            <w:pPr>
              <w:bidi w:val="0"/>
              <w:spacing w:before="0" w:beforeAutospacing="off" w:after="0" w:afterAutospacing="off"/>
              <w:jc w:val="both"/>
            </w:pPr>
            <w:r w:rsidRPr="5E890BEC" w:rsidR="5E890BEC">
              <w:rPr>
                <w:b w:val="1"/>
                <w:bCs w:val="1"/>
                <w:color w:val="1F1F1F"/>
              </w:rPr>
              <w:t>Sicurezza delle Transazioni</w:t>
            </w:r>
          </w:p>
        </w:tc>
        <w:tc>
          <w:tcPr>
            <w:tcW w:w="421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5B52F237" w14:textId="3AE95817">
            <w:pPr>
              <w:bidi w:val="0"/>
              <w:spacing w:before="0" w:beforeAutospacing="off" w:after="0" w:afterAutospacing="off"/>
              <w:jc w:val="both"/>
            </w:pPr>
            <w:r w:rsidRPr="5E890BEC" w:rsidR="5E890BEC">
              <w:rPr>
                <w:color w:val="1F1F1F"/>
              </w:rPr>
              <w:t>Standard base (es. password semplice)</w:t>
            </w:r>
          </w:p>
        </w:tc>
        <w:tc>
          <w:tcPr>
            <w:tcW w:w="4309" w:type="dxa"/>
            <w:tcBorders>
              <w:top w:val="single" w:sz="6"/>
              <w:left w:val="single" w:sz="6"/>
              <w:bottom w:val="single" w:sz="6"/>
              <w:right w:val="single" w:sz="6"/>
            </w:tcBorders>
            <w:tcMar>
              <w:top w:w="240" w:type="dxa"/>
              <w:bottom w:w="240" w:type="dxa"/>
            </w:tcMar>
            <w:vAlign w:val="center"/>
          </w:tcPr>
          <w:p w:rsidR="5E890BEC" w:rsidP="5E890BEC" w:rsidRDefault="5E890BEC" w14:paraId="2DCFD0A9" w14:textId="54D00322">
            <w:pPr>
              <w:bidi w:val="0"/>
              <w:spacing w:before="0" w:beforeAutospacing="off" w:after="0" w:afterAutospacing="off"/>
              <w:jc w:val="both"/>
            </w:pPr>
            <w:r w:rsidRPr="5E890BEC" w:rsidR="5E890BEC">
              <w:rPr>
                <w:color w:val="1F1F1F"/>
              </w:rPr>
              <w:t>Autenticazione Forte (SCA) a due fattori</w:t>
            </w:r>
          </w:p>
        </w:tc>
      </w:tr>
      <w:tr w:rsidR="5E890BEC" w:rsidTr="5E890BEC" w14:paraId="465F328E">
        <w:trPr>
          <w:trHeight w:val="300"/>
        </w:trPr>
        <w:tc>
          <w:tcPr>
            <w:tcW w:w="31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8426AFF" w14:textId="0D72F274">
            <w:pPr>
              <w:bidi w:val="0"/>
              <w:spacing w:before="0" w:beforeAutospacing="off" w:after="0" w:afterAutospacing="off"/>
              <w:jc w:val="both"/>
            </w:pPr>
            <w:r w:rsidRPr="5E890BEC" w:rsidR="5E890BEC">
              <w:rPr>
                <w:b w:val="1"/>
                <w:bCs w:val="1"/>
                <w:color w:val="1F1F1F"/>
              </w:rPr>
              <w:t>Responsabilità dell'Utente</w:t>
            </w:r>
          </w:p>
        </w:tc>
        <w:tc>
          <w:tcPr>
            <w:tcW w:w="421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0EB07CE5" w14:textId="1464B297">
            <w:pPr>
              <w:bidi w:val="0"/>
              <w:spacing w:before="0" w:beforeAutospacing="off" w:after="0" w:afterAutospacing="off"/>
              <w:jc w:val="both"/>
            </w:pPr>
            <w:r w:rsidRPr="5E890BEC" w:rsidR="5E890BEC">
              <w:rPr>
                <w:color w:val="1F1F1F"/>
              </w:rPr>
              <w:t>Franchigia fino a 150 euro</w:t>
            </w:r>
          </w:p>
        </w:tc>
        <w:tc>
          <w:tcPr>
            <w:tcW w:w="4309" w:type="dxa"/>
            <w:tcBorders>
              <w:top w:val="single" w:sz="6"/>
              <w:left w:val="single" w:sz="6"/>
              <w:bottom w:val="single" w:sz="6"/>
              <w:right w:val="single" w:sz="6"/>
            </w:tcBorders>
            <w:tcMar>
              <w:top w:w="240" w:type="dxa"/>
              <w:bottom w:w="240" w:type="dxa"/>
            </w:tcMar>
            <w:vAlign w:val="center"/>
          </w:tcPr>
          <w:p w:rsidR="5E890BEC" w:rsidP="5E890BEC" w:rsidRDefault="5E890BEC" w14:paraId="685B56A5" w14:textId="569F595A">
            <w:pPr>
              <w:bidi w:val="0"/>
              <w:spacing w:before="0" w:beforeAutospacing="off" w:after="0" w:afterAutospacing="off"/>
              <w:jc w:val="both"/>
            </w:pPr>
            <w:r w:rsidRPr="5E890BEC" w:rsidR="5E890BEC">
              <w:rPr>
                <w:color w:val="1F1F1F"/>
              </w:rPr>
              <w:t>Franchigia ridotta a 50 euro</w:t>
            </w:r>
          </w:p>
        </w:tc>
      </w:tr>
      <w:tr w:rsidR="5E890BEC" w:rsidTr="5E890BEC" w14:paraId="41C1D28A">
        <w:trPr>
          <w:trHeight w:val="300"/>
        </w:trPr>
        <w:tc>
          <w:tcPr>
            <w:tcW w:w="31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1CEC9896" w14:textId="7F951B06">
            <w:pPr>
              <w:bidi w:val="0"/>
              <w:spacing w:before="0" w:beforeAutospacing="off" w:after="0" w:afterAutospacing="off"/>
              <w:jc w:val="both"/>
            </w:pPr>
            <w:r w:rsidRPr="5E890BEC" w:rsidR="5E890BEC">
              <w:rPr>
                <w:b w:val="1"/>
                <w:bCs w:val="1"/>
                <w:color w:val="1F1F1F"/>
              </w:rPr>
              <w:t>Esenzioni (Negative Scope)</w:t>
            </w:r>
          </w:p>
        </w:tc>
        <w:tc>
          <w:tcPr>
            <w:tcW w:w="421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4F6CAF61" w14:textId="7088D98C">
            <w:pPr>
              <w:bidi w:val="0"/>
              <w:spacing w:before="0" w:beforeAutospacing="off" w:after="0" w:afterAutospacing="off"/>
              <w:jc w:val="both"/>
            </w:pPr>
            <w:r w:rsidRPr="5E890BEC" w:rsidR="5E890BEC">
              <w:rPr>
                <w:color w:val="1F1F1F"/>
              </w:rPr>
              <w:t>Ampie e diversamente interpretate</w:t>
            </w:r>
          </w:p>
        </w:tc>
        <w:tc>
          <w:tcPr>
            <w:tcW w:w="4309" w:type="dxa"/>
            <w:tcBorders>
              <w:top w:val="single" w:sz="6"/>
              <w:left w:val="single" w:sz="6"/>
              <w:bottom w:val="single" w:sz="6"/>
              <w:right w:val="single" w:sz="6"/>
            </w:tcBorders>
            <w:tcMar>
              <w:top w:w="240" w:type="dxa"/>
              <w:bottom w:w="240" w:type="dxa"/>
            </w:tcMar>
            <w:vAlign w:val="center"/>
          </w:tcPr>
          <w:p w:rsidR="5E890BEC" w:rsidP="5E890BEC" w:rsidRDefault="5E890BEC" w14:paraId="2258BF17" w14:textId="4E1DC048">
            <w:pPr>
              <w:bidi w:val="0"/>
              <w:spacing w:before="0" w:beforeAutospacing="off" w:after="0" w:afterAutospacing="off"/>
              <w:jc w:val="both"/>
            </w:pPr>
            <w:r w:rsidRPr="5E890BEC" w:rsidR="5E890BEC">
              <w:rPr>
                <w:color w:val="1F1F1F"/>
              </w:rPr>
              <w:t>Rimodulate e più restrittive</w:t>
            </w:r>
          </w:p>
        </w:tc>
      </w:tr>
      <w:tr w:rsidR="5E890BEC" w:rsidTr="5E890BEC" w14:paraId="5503D7B4">
        <w:trPr>
          <w:trHeight w:val="300"/>
        </w:trPr>
        <w:tc>
          <w:tcPr>
            <w:tcW w:w="31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20EA9140" w14:textId="2F178927">
            <w:pPr>
              <w:bidi w:val="0"/>
              <w:spacing w:before="0" w:beforeAutospacing="off" w:after="0" w:afterAutospacing="off"/>
              <w:jc w:val="both"/>
            </w:pPr>
            <w:r w:rsidRPr="5E890BEC" w:rsidR="5E890BEC">
              <w:rPr>
                <w:b w:val="1"/>
                <w:bCs w:val="1"/>
                <w:color w:val="1F1F1F"/>
              </w:rPr>
              <w:t>Trasparenza Costi</w:t>
            </w:r>
          </w:p>
        </w:tc>
        <w:tc>
          <w:tcPr>
            <w:tcW w:w="421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0D3AEAC8" w14:textId="68E13F5B">
            <w:pPr>
              <w:bidi w:val="0"/>
              <w:spacing w:before="0" w:beforeAutospacing="off" w:after="0" w:afterAutospacing="off"/>
              <w:jc w:val="both"/>
            </w:pPr>
            <w:r w:rsidRPr="5E890BEC" w:rsidR="5E890BEC">
              <w:rPr>
                <w:color w:val="1F1F1F"/>
              </w:rPr>
              <w:t>Livello informativo generale</w:t>
            </w:r>
          </w:p>
        </w:tc>
        <w:tc>
          <w:tcPr>
            <w:tcW w:w="4309" w:type="dxa"/>
            <w:tcBorders>
              <w:top w:val="single" w:sz="6"/>
              <w:left w:val="single" w:sz="6"/>
              <w:bottom w:val="single" w:sz="6"/>
              <w:right w:val="single" w:sz="6"/>
            </w:tcBorders>
            <w:tcMar>
              <w:top w:w="240" w:type="dxa"/>
              <w:bottom w:w="240" w:type="dxa"/>
            </w:tcMar>
            <w:vAlign w:val="center"/>
          </w:tcPr>
          <w:p w:rsidR="5E890BEC" w:rsidP="5E890BEC" w:rsidRDefault="5E890BEC" w14:paraId="19908966" w14:textId="7F95AA81">
            <w:pPr>
              <w:bidi w:val="0"/>
              <w:spacing w:before="0" w:beforeAutospacing="off" w:after="0" w:afterAutospacing="off"/>
              <w:jc w:val="both"/>
            </w:pPr>
            <w:r w:rsidRPr="5E890BEC" w:rsidR="5E890BEC">
              <w:rPr>
                <w:color w:val="1F1F1F"/>
              </w:rPr>
              <w:t xml:space="preserve">Divieto di </w:t>
            </w:r>
            <w:r w:rsidRPr="5E890BEC" w:rsidR="5E890BEC">
              <w:rPr>
                <w:color w:val="1F1F1F"/>
              </w:rPr>
              <w:t>surcharge</w:t>
            </w:r>
            <w:r w:rsidRPr="5E890BEC" w:rsidR="5E890BEC">
              <w:rPr>
                <w:color w:val="1F1F1F"/>
              </w:rPr>
              <w:t xml:space="preserve"> su carte consumer</w:t>
            </w:r>
          </w:p>
        </w:tc>
      </w:tr>
    </w:tbl>
    <w:p xmlns:wp14="http://schemas.microsoft.com/office/word/2010/wordml" w:rsidP="5E890BEC" wp14:paraId="17B613EB" wp14:textId="2B0835A5">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2.3 Le Nuove Figure dei Third Party Providers (TPP)</w:t>
      </w:r>
    </w:p>
    <w:p xmlns:wp14="http://schemas.microsoft.com/office/word/2010/wordml" w:rsidP="5E890BEC" wp14:paraId="6815B936" wp14:textId="10DA2D21">
      <w:pPr>
        <w:bidi w:val="0"/>
        <w:spacing w:before="0" w:beforeAutospacing="off" w:after="120" w:afterAutospacing="off"/>
        <w:jc w:val="both"/>
      </w:pPr>
      <w:r w:rsidRPr="5E890BEC" w:rsidR="10FF92F9">
        <w:rPr>
          <w:rFonts w:ascii="Aptos" w:hAnsi="Aptos" w:eastAsia="Aptos" w:cs="Aptos"/>
          <w:noProof w:val="0"/>
          <w:color w:val="1F1F1F"/>
          <w:sz w:val="24"/>
          <w:szCs w:val="24"/>
          <w:lang w:val="it-IT"/>
        </w:rPr>
        <w:t>La PSD2 istituzionalizza la figura dei Third Party Providers, soggetti che, pur non detenendo il conto di pagamento del cliente, possono operare su di esso con il suo consenso esplicito. Questa apertura è il motore della concorrenza Fintech.</w:t>
      </w:r>
    </w:p>
    <w:p xmlns:wp14="http://schemas.microsoft.com/office/word/2010/wordml" w:rsidP="5E890BEC" wp14:paraId="1AD39DB3" wp14:textId="67618D09">
      <w:pPr>
        <w:pStyle w:val="ListParagraph"/>
        <w:numPr>
          <w:ilvl w:val="0"/>
          <w:numId w:val="50"/>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Account Information Service Providers (AISP):</w:t>
      </w:r>
      <w:r w:rsidRPr="5E890BEC" w:rsidR="10FF92F9">
        <w:rPr>
          <w:rFonts w:ascii="Aptos" w:hAnsi="Aptos" w:eastAsia="Aptos" w:cs="Aptos"/>
          <w:noProof w:val="0"/>
          <w:color w:val="1F1F1F"/>
          <w:sz w:val="24"/>
          <w:szCs w:val="24"/>
          <w:lang w:val="it-IT"/>
        </w:rPr>
        <w:t xml:space="preserve"> Questi soggetti offrono un servizio di aggregazione di informazioni. Un utente che detiene conti presso tre diverse banche può visualizzare il saldo e i movimenti consolidati all'interno di un'unica applicazione gestita da un AISP. L'accesso avviene in modalità "sola lettura", garantendo che l'AISP non possa disporre somme di denaro.</w:t>
      </w:r>
    </w:p>
    <w:p xmlns:wp14="http://schemas.microsoft.com/office/word/2010/wordml" w:rsidP="5E890BEC" wp14:paraId="790B7256" wp14:textId="72AE2225">
      <w:pPr>
        <w:pStyle w:val="ListParagraph"/>
        <w:numPr>
          <w:ilvl w:val="0"/>
          <w:numId w:val="50"/>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 xml:space="preserve">Payment </w:t>
      </w:r>
      <w:r w:rsidRPr="5E890BEC" w:rsidR="10FF92F9">
        <w:rPr>
          <w:rFonts w:ascii="Aptos" w:hAnsi="Aptos" w:eastAsia="Aptos" w:cs="Aptos"/>
          <w:b w:val="1"/>
          <w:bCs w:val="1"/>
          <w:noProof w:val="0"/>
          <w:color w:val="1F1F1F"/>
          <w:sz w:val="24"/>
          <w:szCs w:val="24"/>
          <w:lang w:val="it-IT"/>
        </w:rPr>
        <w:t>Initiation</w:t>
      </w:r>
      <w:r w:rsidRPr="5E890BEC" w:rsidR="10FF92F9">
        <w:rPr>
          <w:rFonts w:ascii="Aptos" w:hAnsi="Aptos" w:eastAsia="Aptos" w:cs="Aptos"/>
          <w:b w:val="1"/>
          <w:bCs w:val="1"/>
          <w:noProof w:val="0"/>
          <w:color w:val="1F1F1F"/>
          <w:sz w:val="24"/>
          <w:szCs w:val="24"/>
          <w:lang w:val="it-IT"/>
        </w:rPr>
        <w:t xml:space="preserve"> Service Providers (PISP):</w:t>
      </w:r>
      <w:r w:rsidRPr="5E890BEC" w:rsidR="10FF92F9">
        <w:rPr>
          <w:rFonts w:ascii="Aptos" w:hAnsi="Aptos" w:eastAsia="Aptos" w:cs="Aptos"/>
          <w:noProof w:val="0"/>
          <w:color w:val="1F1F1F"/>
          <w:sz w:val="24"/>
          <w:szCs w:val="24"/>
          <w:lang w:val="it-IT"/>
        </w:rPr>
        <w:t xml:space="preserve"> I PISP permettono di avviare un ordine di pagamento direttamente dal conto dell'utente verso il beneficiario. Questo modello è particolarmente efficace nell'e-commerce, poiché permette di bypassare l'uso delle carte di credito, riducendo le commissioni per l'esercente e offrendo al cliente un'esperienza fluida e sicura, poiché non richiede l'inserimento di dati sensibili della carta sul sito del venditore.</w:t>
      </w:r>
    </w:p>
    <w:p xmlns:wp14="http://schemas.microsoft.com/office/word/2010/wordml" w:rsidP="5E890BEC" wp14:paraId="39FBBCD1" wp14:textId="56F6F648">
      <w:pPr>
        <w:pStyle w:val="ListParagraph"/>
        <w:numPr>
          <w:ilvl w:val="0"/>
          <w:numId w:val="50"/>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Card-</w:t>
      </w:r>
      <w:r w:rsidRPr="5E890BEC" w:rsidR="10FF92F9">
        <w:rPr>
          <w:rFonts w:ascii="Aptos" w:hAnsi="Aptos" w:eastAsia="Aptos" w:cs="Aptos"/>
          <w:b w:val="1"/>
          <w:bCs w:val="1"/>
          <w:noProof w:val="0"/>
          <w:color w:val="1F1F1F"/>
          <w:sz w:val="24"/>
          <w:szCs w:val="24"/>
          <w:lang w:val="it-IT"/>
        </w:rPr>
        <w:t>Based</w:t>
      </w:r>
      <w:r w:rsidRPr="5E890BEC" w:rsidR="10FF92F9">
        <w:rPr>
          <w:rFonts w:ascii="Aptos" w:hAnsi="Aptos" w:eastAsia="Aptos" w:cs="Aptos"/>
          <w:b w:val="1"/>
          <w:bCs w:val="1"/>
          <w:noProof w:val="0"/>
          <w:color w:val="1F1F1F"/>
          <w:sz w:val="24"/>
          <w:szCs w:val="24"/>
          <w:lang w:val="it-IT"/>
        </w:rPr>
        <w:t xml:space="preserve"> Payment </w:t>
      </w:r>
      <w:r w:rsidRPr="5E890BEC" w:rsidR="10FF92F9">
        <w:rPr>
          <w:rFonts w:ascii="Aptos" w:hAnsi="Aptos" w:eastAsia="Aptos" w:cs="Aptos"/>
          <w:b w:val="1"/>
          <w:bCs w:val="1"/>
          <w:noProof w:val="0"/>
          <w:color w:val="1F1F1F"/>
          <w:sz w:val="24"/>
          <w:szCs w:val="24"/>
          <w:lang w:val="it-IT"/>
        </w:rPr>
        <w:t>Instrument</w:t>
      </w:r>
      <w:r w:rsidRPr="5E890BEC" w:rsidR="10FF92F9">
        <w:rPr>
          <w:rFonts w:ascii="Aptos" w:hAnsi="Aptos" w:eastAsia="Aptos" w:cs="Aptos"/>
          <w:b w:val="1"/>
          <w:bCs w:val="1"/>
          <w:noProof w:val="0"/>
          <w:color w:val="1F1F1F"/>
          <w:sz w:val="24"/>
          <w:szCs w:val="24"/>
          <w:lang w:val="it-IT"/>
        </w:rPr>
        <w:t xml:space="preserve"> Issuers (CBPII):</w:t>
      </w:r>
      <w:r w:rsidRPr="5E890BEC" w:rsidR="10FF92F9">
        <w:rPr>
          <w:rFonts w:ascii="Aptos" w:hAnsi="Aptos" w:eastAsia="Aptos" w:cs="Aptos"/>
          <w:noProof w:val="0"/>
          <w:color w:val="1F1F1F"/>
          <w:sz w:val="24"/>
          <w:szCs w:val="24"/>
          <w:lang w:val="it-IT"/>
        </w:rPr>
        <w:t xml:space="preserve"> Questi operatori emettono strumenti di pagamento basati su carta collegati a un conto presso un altro istituto. Prima di autorizzare una transazione, il CBPII può inviare una richiesta alla banca del cliente per verificare la disponibilità dei fondi (FCS - Funds Checking Service).</w:t>
      </w:r>
    </w:p>
    <w:p xmlns:wp14="http://schemas.microsoft.com/office/word/2010/wordml" w:rsidP="5E890BEC" wp14:paraId="1D778820" wp14:textId="5D7CAA45">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Le banche tradizionali assumono la veste di </w:t>
      </w:r>
      <w:r w:rsidRPr="5E890BEC" w:rsidR="10FF92F9">
        <w:rPr>
          <w:rFonts w:ascii="Aptos" w:hAnsi="Aptos" w:eastAsia="Aptos" w:cs="Aptos"/>
          <w:b w:val="1"/>
          <w:bCs w:val="1"/>
          <w:noProof w:val="0"/>
          <w:color w:val="1F1F1F"/>
          <w:sz w:val="24"/>
          <w:szCs w:val="24"/>
          <w:lang w:val="it-IT"/>
        </w:rPr>
        <w:t xml:space="preserve">Account </w:t>
      </w:r>
      <w:r w:rsidRPr="5E890BEC" w:rsidR="10FF92F9">
        <w:rPr>
          <w:rFonts w:ascii="Aptos" w:hAnsi="Aptos" w:eastAsia="Aptos" w:cs="Aptos"/>
          <w:b w:val="1"/>
          <w:bCs w:val="1"/>
          <w:noProof w:val="0"/>
          <w:color w:val="1F1F1F"/>
          <w:sz w:val="24"/>
          <w:szCs w:val="24"/>
          <w:lang w:val="it-IT"/>
        </w:rPr>
        <w:t>Servicing</w:t>
      </w:r>
      <w:r w:rsidRPr="5E890BEC" w:rsidR="10FF92F9">
        <w:rPr>
          <w:rFonts w:ascii="Aptos" w:hAnsi="Aptos" w:eastAsia="Aptos" w:cs="Aptos"/>
          <w:b w:val="1"/>
          <w:bCs w:val="1"/>
          <w:noProof w:val="0"/>
          <w:color w:val="1F1F1F"/>
          <w:sz w:val="24"/>
          <w:szCs w:val="24"/>
          <w:lang w:val="it-IT"/>
        </w:rPr>
        <w:t xml:space="preserve"> Payment Service Providers (ASPSP)</w:t>
      </w:r>
      <w:r w:rsidRPr="5E890BEC" w:rsidR="10FF92F9">
        <w:rPr>
          <w:rFonts w:ascii="Aptos" w:hAnsi="Aptos" w:eastAsia="Aptos" w:cs="Aptos"/>
          <w:noProof w:val="0"/>
          <w:color w:val="1F1F1F"/>
          <w:sz w:val="24"/>
          <w:szCs w:val="24"/>
          <w:lang w:val="it-IT"/>
        </w:rPr>
        <w:t xml:space="preserve"> e sono tenute a implementare interfacce dedicate (API) che consentano ai TPP di dialogare con i propri sistemi in modo sicuro e senza discriminazioni rispetto alle interfacce fornite ai propri clienti diretti.</w:t>
      </w:r>
    </w:p>
    <w:p xmlns:wp14="http://schemas.microsoft.com/office/word/2010/wordml" w:rsidP="5E890BEC" wp14:paraId="76746C01" wp14:textId="7547DEDC">
      <w:pPr>
        <w:pStyle w:val="Heading2"/>
        <w:bidi w:val="0"/>
        <w:spacing w:before="0" w:beforeAutospacing="off" w:after="120" w:afterAutospacing="off"/>
        <w:jc w:val="both"/>
      </w:pPr>
      <w:r w:rsidRPr="5E890BEC" w:rsidR="10FF92F9">
        <w:rPr>
          <w:rFonts w:ascii="Aptos" w:hAnsi="Aptos" w:eastAsia="Aptos" w:cs="Aptos"/>
          <w:b w:val="1"/>
          <w:bCs w:val="1"/>
          <w:noProof w:val="0"/>
          <w:color w:val="1F1F1F"/>
          <w:sz w:val="36"/>
          <w:szCs w:val="36"/>
          <w:lang w:val="it-IT"/>
        </w:rPr>
        <w:t>3. Obiettivi e Finalità della Riforma Europea</w:t>
      </w:r>
    </w:p>
    <w:p xmlns:wp14="http://schemas.microsoft.com/office/word/2010/wordml" w:rsidP="5E890BEC" wp14:paraId="65CF0887" wp14:textId="7FD4C415">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Gli obiettivi della PSD2 si articolano su più livelli, mirando a conciliare l'efficienza economica del mercato unico con la tutela dei diritti fondamentali dei cittadini europei.</w:t>
      </w:r>
    </w:p>
    <w:p xmlns:wp14="http://schemas.microsoft.com/office/word/2010/wordml" w:rsidP="5E890BEC" wp14:paraId="06759123" wp14:textId="799C82A0">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3.1 Promozione di un Mercato Unico Integrato e Competitivo</w:t>
      </w:r>
    </w:p>
    <w:p xmlns:wp14="http://schemas.microsoft.com/office/word/2010/wordml" w:rsidP="5E890BEC" wp14:paraId="5010DFDC" wp14:textId="5DF82112">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L'obiettivo primario della direttiva è l'eliminazione delle barriere che ostacolano l'integrazione del mercato europeo dei pagamenti. Attraverso la standardizzazione dei processi e delle interfacce tecniche, la PSD2 mira a ridurre i costi di transazione per imprese e consumatori. Un elemento chiave in tal senso è stato il Regolamento (UE) 2015/751 sulle commissioni interscambio, che ha fissato tetti massimi per i pagamenti basati su carta, portando a una riduzione globale dei costi per l'accettazione dei pagamenti digitali. L'apertura del mercato a nuovi attori riduce la concentrazione bancaria, stimolando gli istituti tradizionali a migliorare la qualità dei propri servizi e a ridurre i prezzi per rimanere competitivi.</w:t>
      </w:r>
    </w:p>
    <w:p xmlns:wp14="http://schemas.microsoft.com/office/word/2010/wordml" w:rsidP="5E890BEC" wp14:paraId="450A3E97" wp14:textId="3636C8CA">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3.2 Innovazione Tecnologica e Open Banking</w:t>
      </w:r>
    </w:p>
    <w:p xmlns:wp14="http://schemas.microsoft.com/office/word/2010/wordml" w:rsidP="5E890BEC" wp14:paraId="16959DA3" wp14:textId="6522370F">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La PSD2 trasforma il settore finanziario in un ambiente basato sui dati. L'accesso ai dati dei conti (previa autorizzazione) permette lo sviluppo di servizi innovativi, come sistemi di gestione delle finanze personali (PFM) automatizzati, valutazioni istantanee del merito creditizio per prestiti veloci e integrazioni dirette tra i sistemi di fatturazione aziendale e l'home banking. L'Open Banking non è solo una questione tecnica, ma un'opportunità di business che consente alle Fintech di costruire servizi "sopra" le infrastrutture bancarie esistenti, massimizzando l'efficienza sistemica.</w:t>
      </w:r>
    </w:p>
    <w:p xmlns:wp14="http://schemas.microsoft.com/office/word/2010/wordml" w:rsidP="5E890BEC" wp14:paraId="45434612" wp14:textId="594411FF">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3.3 Rafforzamento della Protezione e della Fiducia dei Consumatori</w:t>
      </w:r>
    </w:p>
    <w:p xmlns:wp14="http://schemas.microsoft.com/office/word/2010/wordml" w:rsidP="5E890BEC" wp14:paraId="308D7168" wp14:textId="51EB40A6">
      <w:pPr>
        <w:bidi w:val="0"/>
        <w:spacing w:before="0" w:beforeAutospacing="off" w:after="120" w:afterAutospacing="off"/>
        <w:jc w:val="both"/>
      </w:pPr>
      <w:r w:rsidRPr="5E890BEC" w:rsidR="10FF92F9">
        <w:rPr>
          <w:rFonts w:ascii="Aptos" w:hAnsi="Aptos" w:eastAsia="Aptos" w:cs="Aptos"/>
          <w:noProof w:val="0"/>
          <w:color w:val="1F1F1F"/>
          <w:sz w:val="24"/>
          <w:szCs w:val="24"/>
          <w:lang w:val="it-IT"/>
        </w:rPr>
        <w:t>La fiducia è il presupposto di ogni sistema di pagamento. La PSD2 ha introdotto norme rigorose sulla trasparenza tariffaria e sulla responsabilità in caso di frode.</w:t>
      </w:r>
    </w:p>
    <w:p xmlns:wp14="http://schemas.microsoft.com/office/word/2010/wordml" w:rsidP="5E890BEC" wp14:paraId="394694E9" wp14:textId="559A45AD">
      <w:pPr>
        <w:pStyle w:val="ListParagraph"/>
        <w:numPr>
          <w:ilvl w:val="0"/>
          <w:numId w:val="51"/>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Trasparenza informativa:</w:t>
      </w:r>
      <w:r w:rsidRPr="5E890BEC" w:rsidR="10FF92F9">
        <w:rPr>
          <w:rFonts w:ascii="Aptos" w:hAnsi="Aptos" w:eastAsia="Aptos" w:cs="Aptos"/>
          <w:noProof w:val="0"/>
          <w:color w:val="1F1F1F"/>
          <w:sz w:val="24"/>
          <w:szCs w:val="24"/>
          <w:lang w:val="it-IT"/>
        </w:rPr>
        <w:t xml:space="preserve"> I PSP devono fornire informazioni chiare e </w:t>
      </w:r>
      <w:r w:rsidRPr="5E890BEC" w:rsidR="10FF92F9">
        <w:rPr>
          <w:rFonts w:ascii="Aptos" w:hAnsi="Aptos" w:eastAsia="Aptos" w:cs="Aptos"/>
          <w:noProof w:val="0"/>
          <w:color w:val="1F1F1F"/>
          <w:sz w:val="24"/>
          <w:szCs w:val="24"/>
          <w:lang w:val="it-IT"/>
        </w:rPr>
        <w:t>pre</w:t>
      </w:r>
      <w:r w:rsidRPr="5E890BEC" w:rsidR="10FF92F9">
        <w:rPr>
          <w:rFonts w:ascii="Aptos" w:hAnsi="Aptos" w:eastAsia="Aptos" w:cs="Aptos"/>
          <w:noProof w:val="0"/>
          <w:color w:val="1F1F1F"/>
          <w:sz w:val="24"/>
          <w:szCs w:val="24"/>
          <w:lang w:val="it-IT"/>
        </w:rPr>
        <w:t>-contrattuali su tutte le commissioni, i tempi di esecuzione e i tassi di cambio applicati.</w:t>
      </w:r>
    </w:p>
    <w:p xmlns:wp14="http://schemas.microsoft.com/office/word/2010/wordml" w:rsidP="5E890BEC" wp14:paraId="508FABAD" wp14:textId="40841705">
      <w:pPr>
        <w:pStyle w:val="ListParagraph"/>
        <w:numPr>
          <w:ilvl w:val="0"/>
          <w:numId w:val="51"/>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Responsabilità limitata:</w:t>
      </w:r>
      <w:r w:rsidRPr="5E890BEC" w:rsidR="10FF92F9">
        <w:rPr>
          <w:rFonts w:ascii="Aptos" w:hAnsi="Aptos" w:eastAsia="Aptos" w:cs="Aptos"/>
          <w:noProof w:val="0"/>
          <w:color w:val="1F1F1F"/>
          <w:sz w:val="24"/>
          <w:szCs w:val="24"/>
          <w:lang w:val="it-IT"/>
        </w:rPr>
        <w:t xml:space="preserve"> In caso di operazioni non autorizzate, la franchigia massima a carico del consumatore è stata drasticamente ridotta, salvo i casi di dolo o colpa grave. Inoltre, se il prestatore di servizi non richiede l'autenticazione forte del cliente (SCA), esso perde il diritto di addebitare qualsiasi perdita al consumatore, anche in caso di colpa grave di quest'ultimo.</w:t>
      </w:r>
    </w:p>
    <w:p xmlns:wp14="http://schemas.microsoft.com/office/word/2010/wordml" w:rsidP="5E890BEC" wp14:paraId="20A77E6A" wp14:textId="7CDBD3BD">
      <w:pPr>
        <w:pStyle w:val="ListParagraph"/>
        <w:numPr>
          <w:ilvl w:val="0"/>
          <w:numId w:val="51"/>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Diritti di rimborso:</w:t>
      </w:r>
      <w:r w:rsidRPr="5E890BEC" w:rsidR="10FF92F9">
        <w:rPr>
          <w:rFonts w:ascii="Aptos" w:hAnsi="Aptos" w:eastAsia="Aptos" w:cs="Aptos"/>
          <w:noProof w:val="0"/>
          <w:color w:val="1F1F1F"/>
          <w:sz w:val="24"/>
          <w:szCs w:val="24"/>
          <w:lang w:val="it-IT"/>
        </w:rPr>
        <w:t xml:space="preserve"> È stato istituito un diritto di rimborso incondizionato per gli addebiti diretti in euro per un periodo di otto settimane, fornendo una rete di sicurezza psicologica fondamentale per gli utenti.</w:t>
      </w:r>
    </w:p>
    <w:p xmlns:wp14="http://schemas.microsoft.com/office/word/2010/wordml" w:rsidP="5E890BEC" wp14:paraId="410E949B" wp14:textId="43FDE8A1">
      <w:pPr>
        <w:pStyle w:val="Heading3"/>
        <w:bidi w:val="0"/>
        <w:spacing w:before="0" w:beforeAutospacing="off" w:after="120" w:afterAutospacing="off"/>
        <w:jc w:val="both"/>
        <w:rPr>
          <w:rFonts w:ascii="Aptos" w:hAnsi="Aptos" w:eastAsia="Aptos" w:cs="Aptos"/>
          <w:b w:val="1"/>
          <w:bCs w:val="1"/>
          <w:noProof w:val="0"/>
          <w:color w:val="1F1F1F"/>
          <w:sz w:val="28"/>
          <w:szCs w:val="28"/>
          <w:lang w:val="it-IT"/>
        </w:rPr>
      </w:pPr>
      <w:r w:rsidRPr="5E890BEC" w:rsidR="10FF92F9">
        <w:rPr>
          <w:rFonts w:ascii="Aptos" w:hAnsi="Aptos" w:eastAsia="Aptos" w:cs="Aptos"/>
          <w:b w:val="1"/>
          <w:bCs w:val="1"/>
          <w:noProof w:val="0"/>
          <w:color w:val="1F1F1F"/>
          <w:sz w:val="28"/>
          <w:szCs w:val="28"/>
          <w:lang w:val="it-IT"/>
        </w:rPr>
        <w:t>3.4 Sicurezza, Antiriciclaggio e Cyber-</w:t>
      </w:r>
      <w:r w:rsidRPr="5E890BEC" w:rsidR="10FF92F9">
        <w:rPr>
          <w:rFonts w:ascii="Aptos" w:hAnsi="Aptos" w:eastAsia="Aptos" w:cs="Aptos"/>
          <w:b w:val="1"/>
          <w:bCs w:val="1"/>
          <w:noProof w:val="0"/>
          <w:color w:val="1F1F1F"/>
          <w:sz w:val="28"/>
          <w:szCs w:val="28"/>
          <w:lang w:val="it-IT"/>
        </w:rPr>
        <w:t>Resilience</w:t>
      </w:r>
    </w:p>
    <w:p xmlns:wp14="http://schemas.microsoft.com/office/word/2010/wordml" w:rsidP="5E890BEC" wp14:paraId="07EF75AF" wp14:textId="6E7940E9">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La sicurezza informatica è elevata a rango di obbligo normativo prioritario. La Strong Customer Authentication (SCA) è lo strumento tecnico principale per prevenire l'accesso non autorizzato ai fondi. Parallelamente, la PSD2 si integra con le normative antiriciclaggio (AML) e di contrasto al finanziamento del terrorismo. L'identificazione certa del pagatore tramite l'applicazione del principio "Know Your Customer" (KYC) e il monitoraggio costante delle transazioni sospette tramite sistemi di analisi del rischio sono requisiti fondamentali per tutti i PSP, inclusi i nuovi TPP. La tracciabilità totale delle operazioni digitali contribuisce a ridurre l'area dell'economia sommersa e a facilitare le indagini finanziarie da parte delle autorità competenti.</w:t>
      </w:r>
    </w:p>
    <w:p xmlns:wp14="http://schemas.microsoft.com/office/word/2010/wordml" w:rsidP="5E890BEC" wp14:paraId="3B622592" wp14:textId="38616EA7">
      <w:pPr>
        <w:pStyle w:val="Heading2"/>
        <w:bidi w:val="0"/>
        <w:spacing w:before="0" w:beforeAutospacing="off" w:after="120" w:afterAutospacing="off"/>
        <w:jc w:val="both"/>
      </w:pPr>
      <w:r w:rsidRPr="5E890BEC" w:rsidR="10FF92F9">
        <w:rPr>
          <w:rFonts w:ascii="Aptos" w:hAnsi="Aptos" w:eastAsia="Aptos" w:cs="Aptos"/>
          <w:b w:val="1"/>
          <w:bCs w:val="1"/>
          <w:noProof w:val="0"/>
          <w:color w:val="1F1F1F"/>
          <w:sz w:val="36"/>
          <w:szCs w:val="36"/>
          <w:lang w:val="it-IT"/>
        </w:rPr>
        <w:t>4. Il Recepimento della PSD2 nell'Ordinamento Italiano</w:t>
      </w:r>
    </w:p>
    <w:p xmlns:wp14="http://schemas.microsoft.com/office/word/2010/wordml" w:rsidP="5E890BEC" wp14:paraId="1353D2CC" wp14:textId="4E0055F6">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L'Italia ha adottato un approccio strutturato al recepimento della PSD2, integrando le disposizioni comunitarie nel quadro normativo nazionale già esistente, con particolare riferimento al Testo Unico Bancario (TUB).</w:t>
      </w:r>
    </w:p>
    <w:p xmlns:wp14="http://schemas.microsoft.com/office/word/2010/wordml" w:rsidP="5E890BEC" wp14:paraId="5A336BA8" wp14:textId="3C811E08">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4.1 Il Decreto Legislativo n. 218 del 15 novembre 2017</w:t>
      </w:r>
    </w:p>
    <w:p xmlns:wp14="http://schemas.microsoft.com/office/word/2010/wordml" w:rsidP="5E890BEC" wp14:paraId="5C176951" wp14:textId="15D62A71">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L'atto di recepimento primario è il </w:t>
      </w:r>
      <w:r w:rsidRPr="5E890BEC" w:rsidR="10FF92F9">
        <w:rPr>
          <w:rFonts w:ascii="Aptos" w:hAnsi="Aptos" w:eastAsia="Aptos" w:cs="Aptos"/>
          <w:b w:val="1"/>
          <w:bCs w:val="1"/>
          <w:noProof w:val="0"/>
          <w:color w:val="1F1F1F"/>
          <w:sz w:val="24"/>
          <w:szCs w:val="24"/>
          <w:lang w:val="it-IT"/>
        </w:rPr>
        <w:t>Decreto Legislativo 218/2017</w:t>
      </w:r>
      <w:r w:rsidRPr="5E890BEC" w:rsidR="10FF92F9">
        <w:rPr>
          <w:rFonts w:ascii="Aptos" w:hAnsi="Aptos" w:eastAsia="Aptos" w:cs="Aptos"/>
          <w:noProof w:val="0"/>
          <w:color w:val="1F1F1F"/>
          <w:sz w:val="24"/>
          <w:szCs w:val="24"/>
          <w:lang w:val="it-IT"/>
        </w:rPr>
        <w:t xml:space="preserve">, che ha dato attuazione alla Direttiva 2015/2366, entrando in vigore il 13 gennaio 2018. Questo decreto ha introdotto modifiche radicali al </w:t>
      </w:r>
      <w:r w:rsidRPr="5E890BEC" w:rsidR="10FF92F9">
        <w:rPr>
          <w:rFonts w:ascii="Aptos" w:hAnsi="Aptos" w:eastAsia="Aptos" w:cs="Aptos"/>
          <w:noProof w:val="0"/>
          <w:color w:val="1F1F1F"/>
          <w:sz w:val="24"/>
          <w:szCs w:val="24"/>
          <w:lang w:val="it-IT"/>
        </w:rPr>
        <w:t>D.Lgs.</w:t>
      </w:r>
      <w:r w:rsidRPr="5E890BEC" w:rsidR="10FF92F9">
        <w:rPr>
          <w:rFonts w:ascii="Aptos" w:hAnsi="Aptos" w:eastAsia="Aptos" w:cs="Aptos"/>
          <w:noProof w:val="0"/>
          <w:color w:val="1F1F1F"/>
          <w:sz w:val="24"/>
          <w:szCs w:val="24"/>
          <w:lang w:val="it-IT"/>
        </w:rPr>
        <w:t xml:space="preserve"> 11/2010 (il precedente decreto di recepimento della PSD1) e al TUB, formalizzando l'ingresso delle nuove figure Fintech nel mercato italiano.</w:t>
      </w:r>
    </w:p>
    <w:tbl>
      <w:tblPr>
        <w:tblStyle w:val="TableNormal"/>
        <w:bidiVisual w:val="0"/>
        <w:tblW w:w="0" w:type="auto"/>
        <w:tblLook w:val="06A0" w:firstRow="1" w:lastRow="0" w:firstColumn="1" w:lastColumn="0" w:noHBand="1" w:noVBand="1"/>
      </w:tblPr>
      <w:tblGrid>
        <w:gridCol w:w="3061"/>
        <w:gridCol w:w="1506"/>
        <w:gridCol w:w="4448"/>
      </w:tblGrid>
      <w:tr w:rsidR="5E890BEC" w:rsidTr="5E890BEC" w14:paraId="434A67D7">
        <w:trPr>
          <w:trHeight w:val="300"/>
        </w:trPr>
        <w:tc>
          <w:tcPr>
            <w:tcW w:w="3061"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56BE83AC" w14:textId="39E5EBE9">
            <w:pPr>
              <w:bidi w:val="0"/>
              <w:spacing w:before="0" w:beforeAutospacing="off" w:after="0" w:afterAutospacing="off"/>
              <w:jc w:val="both"/>
            </w:pPr>
            <w:r w:rsidRPr="5E890BEC" w:rsidR="5E890BEC">
              <w:rPr>
                <w:b w:val="1"/>
                <w:bCs w:val="1"/>
                <w:color w:val="1F1F1F"/>
              </w:rPr>
              <w:t>Tappe dell'Implementazione in Italia</w:t>
            </w:r>
          </w:p>
        </w:tc>
        <w:tc>
          <w:tcPr>
            <w:tcW w:w="1506"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00F5BDC2" w14:textId="01B5A478">
            <w:pPr>
              <w:bidi w:val="0"/>
              <w:spacing w:before="0" w:beforeAutospacing="off" w:after="0" w:afterAutospacing="off"/>
              <w:jc w:val="both"/>
            </w:pPr>
            <w:r w:rsidRPr="5E890BEC" w:rsidR="5E890BEC">
              <w:rPr>
                <w:b w:val="1"/>
                <w:bCs w:val="1"/>
                <w:color w:val="1F1F1F"/>
              </w:rPr>
              <w:t>Data Chiave</w:t>
            </w:r>
          </w:p>
        </w:tc>
        <w:tc>
          <w:tcPr>
            <w:tcW w:w="4448" w:type="dxa"/>
            <w:tcBorders>
              <w:top w:val="single" w:sz="6"/>
              <w:left w:val="single" w:sz="6"/>
              <w:bottom w:val="single" w:sz="6"/>
              <w:right w:val="single" w:sz="6"/>
            </w:tcBorders>
            <w:tcMar>
              <w:top w:w="240" w:type="dxa"/>
              <w:bottom w:w="240" w:type="dxa"/>
            </w:tcMar>
            <w:vAlign w:val="center"/>
          </w:tcPr>
          <w:p w:rsidR="5E890BEC" w:rsidP="5E890BEC" w:rsidRDefault="5E890BEC" w14:paraId="2F6F393C" w14:textId="0738C5DB">
            <w:pPr>
              <w:bidi w:val="0"/>
              <w:spacing w:before="0" w:beforeAutospacing="off" w:after="0" w:afterAutospacing="off"/>
              <w:jc w:val="both"/>
            </w:pPr>
            <w:r w:rsidRPr="5E890BEC" w:rsidR="5E890BEC">
              <w:rPr>
                <w:b w:val="1"/>
                <w:bCs w:val="1"/>
                <w:color w:val="1F1F1F"/>
              </w:rPr>
              <w:t>Descrizione</w:t>
            </w:r>
          </w:p>
        </w:tc>
      </w:tr>
      <w:tr w:rsidR="5E890BEC" w:rsidTr="5E890BEC" w14:paraId="0430C526">
        <w:trPr>
          <w:trHeight w:val="300"/>
        </w:trPr>
        <w:tc>
          <w:tcPr>
            <w:tcW w:w="3061"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587DEEF0" w14:textId="0936D950">
            <w:pPr>
              <w:bidi w:val="0"/>
              <w:spacing w:before="0" w:beforeAutospacing="off" w:after="0" w:afterAutospacing="off"/>
              <w:jc w:val="both"/>
            </w:pPr>
            <w:r w:rsidRPr="5E890BEC" w:rsidR="5E890BEC">
              <w:rPr>
                <w:b w:val="1"/>
                <w:bCs w:val="1"/>
                <w:color w:val="1F1F1F"/>
              </w:rPr>
              <w:t xml:space="preserve">Entrata in vigore </w:t>
            </w:r>
            <w:r w:rsidRPr="5E890BEC" w:rsidR="5E890BEC">
              <w:rPr>
                <w:b w:val="1"/>
                <w:bCs w:val="1"/>
                <w:color w:val="1F1F1F"/>
              </w:rPr>
              <w:t>D.Lgs.</w:t>
            </w:r>
            <w:r w:rsidRPr="5E890BEC" w:rsidR="5E890BEC">
              <w:rPr>
                <w:b w:val="1"/>
                <w:bCs w:val="1"/>
                <w:color w:val="1F1F1F"/>
              </w:rPr>
              <w:t xml:space="preserve"> 218/2017</w:t>
            </w:r>
          </w:p>
        </w:tc>
        <w:tc>
          <w:tcPr>
            <w:tcW w:w="1506"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D3E3E9A" w14:textId="1D5C67CC">
            <w:pPr>
              <w:bidi w:val="0"/>
              <w:spacing w:before="0" w:beforeAutospacing="off" w:after="0" w:afterAutospacing="off"/>
              <w:jc w:val="both"/>
            </w:pPr>
            <w:r w:rsidRPr="5E890BEC" w:rsidR="5E890BEC">
              <w:rPr>
                <w:color w:val="1F1F1F"/>
              </w:rPr>
              <w:t>13 gennaio 2018</w:t>
            </w:r>
          </w:p>
        </w:tc>
        <w:tc>
          <w:tcPr>
            <w:tcW w:w="4448" w:type="dxa"/>
            <w:tcBorders>
              <w:top w:val="single" w:sz="6"/>
              <w:left w:val="single" w:sz="6"/>
              <w:bottom w:val="single" w:sz="6"/>
              <w:right w:val="single" w:sz="6"/>
            </w:tcBorders>
            <w:tcMar>
              <w:top w:w="240" w:type="dxa"/>
              <w:bottom w:w="240" w:type="dxa"/>
            </w:tcMar>
            <w:vAlign w:val="center"/>
          </w:tcPr>
          <w:p w:rsidR="5E890BEC" w:rsidP="5E890BEC" w:rsidRDefault="5E890BEC" w14:paraId="1DE44E32" w14:textId="102BDFA6">
            <w:pPr>
              <w:bidi w:val="0"/>
              <w:spacing w:before="0" w:beforeAutospacing="off" w:after="0" w:afterAutospacing="off"/>
              <w:jc w:val="both"/>
            </w:pPr>
            <w:r w:rsidRPr="5E890BEC" w:rsidR="5E890BEC">
              <w:rPr>
                <w:color w:val="1F1F1F"/>
              </w:rPr>
              <w:t>Recepimento della maggior parte delle norme operative</w:t>
            </w:r>
          </w:p>
        </w:tc>
      </w:tr>
      <w:tr w:rsidR="5E890BEC" w:rsidTr="5E890BEC" w14:paraId="77BE5A71">
        <w:trPr>
          <w:trHeight w:val="300"/>
        </w:trPr>
        <w:tc>
          <w:tcPr>
            <w:tcW w:w="3061"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2E32CCC4" w14:textId="01349AB4">
            <w:pPr>
              <w:bidi w:val="0"/>
              <w:spacing w:before="0" w:beforeAutospacing="off" w:after="0" w:afterAutospacing="off"/>
              <w:jc w:val="both"/>
            </w:pPr>
            <w:r w:rsidRPr="5E890BEC" w:rsidR="5E890BEC">
              <w:rPr>
                <w:b w:val="1"/>
                <w:bCs w:val="1"/>
                <w:color w:val="1F1F1F"/>
              </w:rPr>
              <w:t>Istituzione Registro EBA</w:t>
            </w:r>
          </w:p>
        </w:tc>
        <w:tc>
          <w:tcPr>
            <w:tcW w:w="1506"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18789B28" w14:textId="579A114A">
            <w:pPr>
              <w:bidi w:val="0"/>
              <w:spacing w:before="0" w:beforeAutospacing="off" w:after="0" w:afterAutospacing="off"/>
              <w:jc w:val="both"/>
            </w:pPr>
            <w:r w:rsidRPr="5E890BEC" w:rsidR="5E890BEC">
              <w:rPr>
                <w:color w:val="1F1F1F"/>
              </w:rPr>
              <w:t>6 aprile 2019</w:t>
            </w:r>
          </w:p>
        </w:tc>
        <w:tc>
          <w:tcPr>
            <w:tcW w:w="4448" w:type="dxa"/>
            <w:tcBorders>
              <w:top w:val="single" w:sz="6"/>
              <w:left w:val="single" w:sz="6"/>
              <w:bottom w:val="single" w:sz="6"/>
              <w:right w:val="single" w:sz="6"/>
            </w:tcBorders>
            <w:tcMar>
              <w:top w:w="240" w:type="dxa"/>
              <w:bottom w:w="240" w:type="dxa"/>
            </w:tcMar>
            <w:vAlign w:val="center"/>
          </w:tcPr>
          <w:p w:rsidR="5E890BEC" w:rsidP="5E890BEC" w:rsidRDefault="5E890BEC" w14:paraId="50D97E9F" w14:textId="0F0B847B">
            <w:pPr>
              <w:bidi w:val="0"/>
              <w:spacing w:before="0" w:beforeAutospacing="off" w:after="0" w:afterAutospacing="off"/>
              <w:jc w:val="both"/>
            </w:pPr>
            <w:r w:rsidRPr="5E890BEC" w:rsidR="5E890BEC">
              <w:rPr>
                <w:color w:val="1F1F1F"/>
              </w:rPr>
              <w:t>Operatività del registro centralizzato dei PSP</w:t>
            </w:r>
          </w:p>
        </w:tc>
      </w:tr>
      <w:tr w:rsidR="5E890BEC" w:rsidTr="5E890BEC" w14:paraId="7C115CD1">
        <w:trPr>
          <w:trHeight w:val="300"/>
        </w:trPr>
        <w:tc>
          <w:tcPr>
            <w:tcW w:w="3061"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5C965E1E" w14:textId="75375883">
            <w:pPr>
              <w:bidi w:val="0"/>
              <w:spacing w:before="0" w:beforeAutospacing="off" w:after="0" w:afterAutospacing="off"/>
              <w:jc w:val="both"/>
            </w:pPr>
            <w:r w:rsidRPr="5E890BEC" w:rsidR="5E890BEC">
              <w:rPr>
                <w:b w:val="1"/>
                <w:bCs w:val="1"/>
                <w:color w:val="1F1F1F"/>
              </w:rPr>
              <w:t>Entrata in vigore della SCA</w:t>
            </w:r>
          </w:p>
        </w:tc>
        <w:tc>
          <w:tcPr>
            <w:tcW w:w="1506"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0BE7A1FD" w14:textId="11F49D57">
            <w:pPr>
              <w:bidi w:val="0"/>
              <w:spacing w:before="0" w:beforeAutospacing="off" w:after="0" w:afterAutospacing="off"/>
              <w:jc w:val="both"/>
            </w:pPr>
            <w:r w:rsidRPr="5E890BEC" w:rsidR="5E890BEC">
              <w:rPr>
                <w:color w:val="1F1F1F"/>
              </w:rPr>
              <w:t>14 settembre 2019</w:t>
            </w:r>
          </w:p>
        </w:tc>
        <w:tc>
          <w:tcPr>
            <w:tcW w:w="4448" w:type="dxa"/>
            <w:tcBorders>
              <w:top w:val="single" w:sz="6"/>
              <w:left w:val="single" w:sz="6"/>
              <w:bottom w:val="single" w:sz="6"/>
              <w:right w:val="single" w:sz="6"/>
            </w:tcBorders>
            <w:tcMar>
              <w:top w:w="240" w:type="dxa"/>
              <w:bottom w:w="240" w:type="dxa"/>
            </w:tcMar>
            <w:vAlign w:val="center"/>
          </w:tcPr>
          <w:p w:rsidR="5E890BEC" w:rsidP="5E890BEC" w:rsidRDefault="5E890BEC" w14:paraId="4E41DEB9" w14:textId="4ACE9AB7">
            <w:pPr>
              <w:bidi w:val="0"/>
              <w:spacing w:before="0" w:beforeAutospacing="off" w:after="0" w:afterAutospacing="off"/>
              <w:jc w:val="both"/>
            </w:pPr>
            <w:r w:rsidRPr="5E890BEC" w:rsidR="5E890BEC">
              <w:rPr>
                <w:color w:val="1F1F1F"/>
              </w:rPr>
              <w:t>Obbligo di autenticazione forte per l'e-commerce</w:t>
            </w:r>
          </w:p>
        </w:tc>
      </w:tr>
      <w:tr w:rsidR="5E890BEC" w:rsidTr="5E890BEC" w14:paraId="252D5DC0">
        <w:trPr>
          <w:trHeight w:val="300"/>
        </w:trPr>
        <w:tc>
          <w:tcPr>
            <w:tcW w:w="3061"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1554D9F8" w14:textId="4E26FA69">
            <w:pPr>
              <w:bidi w:val="0"/>
              <w:spacing w:before="0" w:beforeAutospacing="off" w:after="0" w:afterAutospacing="off"/>
              <w:jc w:val="both"/>
            </w:pPr>
            <w:r w:rsidRPr="5E890BEC" w:rsidR="5E890BEC">
              <w:rPr>
                <w:b w:val="1"/>
                <w:bCs w:val="1"/>
                <w:color w:val="1F1F1F"/>
              </w:rPr>
              <w:t>Termine proroghe SCA</w:t>
            </w:r>
          </w:p>
        </w:tc>
        <w:tc>
          <w:tcPr>
            <w:tcW w:w="1506"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097271A" w14:textId="458CAA9C">
            <w:pPr>
              <w:bidi w:val="0"/>
              <w:spacing w:before="0" w:beforeAutospacing="off" w:after="0" w:afterAutospacing="off"/>
              <w:jc w:val="both"/>
            </w:pPr>
            <w:r w:rsidRPr="5E890BEC" w:rsidR="5E890BEC">
              <w:rPr>
                <w:color w:val="1F1F1F"/>
              </w:rPr>
              <w:t>31 dicembre 2020</w:t>
            </w:r>
          </w:p>
        </w:tc>
        <w:tc>
          <w:tcPr>
            <w:tcW w:w="4448" w:type="dxa"/>
            <w:tcBorders>
              <w:top w:val="single" w:sz="6"/>
              <w:left w:val="single" w:sz="6"/>
              <w:bottom w:val="single" w:sz="6"/>
              <w:right w:val="single" w:sz="6"/>
            </w:tcBorders>
            <w:tcMar>
              <w:top w:w="240" w:type="dxa"/>
              <w:bottom w:w="240" w:type="dxa"/>
            </w:tcMar>
            <w:vAlign w:val="center"/>
          </w:tcPr>
          <w:p w:rsidR="5E890BEC" w:rsidP="5E890BEC" w:rsidRDefault="5E890BEC" w14:paraId="29D5BFC2" w14:textId="54E4808D">
            <w:pPr>
              <w:bidi w:val="0"/>
              <w:spacing w:before="0" w:beforeAutospacing="off" w:after="0" w:afterAutospacing="off"/>
              <w:jc w:val="both"/>
            </w:pPr>
            <w:r w:rsidRPr="5E890BEC" w:rsidR="5E890BEC">
              <w:rPr>
                <w:color w:val="1F1F1F"/>
              </w:rPr>
              <w:t>Conclusione della migrazione guidata da Banca d'Italia</w:t>
            </w:r>
          </w:p>
        </w:tc>
      </w:tr>
    </w:tbl>
    <w:p xmlns:wp14="http://schemas.microsoft.com/office/word/2010/wordml" w:rsidP="5E890BEC" wp14:paraId="38496EFA" wp14:textId="273A11AC">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4.2 Autorità di Vigilanza e Poteri di Controllo</w:t>
      </w:r>
    </w:p>
    <w:p xmlns:wp14="http://schemas.microsoft.com/office/word/2010/wordml" w:rsidP="5E890BEC" wp14:paraId="41281DC3" wp14:textId="7540BBC3">
      <w:pPr>
        <w:bidi w:val="0"/>
        <w:spacing w:before="0" w:beforeAutospacing="off" w:after="120" w:afterAutospacing="off"/>
        <w:jc w:val="both"/>
      </w:pPr>
      <w:r w:rsidRPr="5E890BEC" w:rsidR="10FF92F9">
        <w:rPr>
          <w:rFonts w:ascii="Aptos" w:hAnsi="Aptos" w:eastAsia="Aptos" w:cs="Aptos"/>
          <w:noProof w:val="0"/>
          <w:color w:val="1F1F1F"/>
          <w:sz w:val="24"/>
          <w:szCs w:val="24"/>
          <w:lang w:val="it-IT"/>
        </w:rPr>
        <w:t>Il sistema di vigilanza italiano si fonda sul coordinamento tra diverse autorità nazionali, ciascuna con competenze specifiche per garantire la stabilità e la correttezza del mercato dei pagamenti.</w:t>
      </w:r>
    </w:p>
    <w:p xmlns:wp14="http://schemas.microsoft.com/office/word/2010/wordml" w:rsidP="5E890BEC" wp14:paraId="188496BE" wp14:textId="54A93EBB">
      <w:pPr>
        <w:pStyle w:val="ListParagraph"/>
        <w:numPr>
          <w:ilvl w:val="0"/>
          <w:numId w:val="52"/>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Banca d'Italia:</w:t>
      </w:r>
      <w:r w:rsidRPr="5E890BEC" w:rsidR="10FF92F9">
        <w:rPr>
          <w:rFonts w:ascii="Aptos" w:hAnsi="Aptos" w:eastAsia="Aptos" w:cs="Aptos"/>
          <w:noProof w:val="0"/>
          <w:color w:val="1F1F1F"/>
          <w:sz w:val="24"/>
          <w:szCs w:val="24"/>
          <w:lang w:val="it-IT"/>
        </w:rPr>
        <w:t xml:space="preserve"> È l'autorità di vigilanza principale. Ha il compito di autorizzare gli istituti di pagamento e gli IMEL, gestire gli albi nazionali e comunicare i dati all'EBA. Emana circolari attuative (es. Circolare 285) per declinare i requisiti tecnici di sicurezza e di gestione del rischio informatico. Ha inoltre poteri ispettivi diretti presso i PSP e i loro agenti.</w:t>
      </w:r>
    </w:p>
    <w:p xmlns:wp14="http://schemas.microsoft.com/office/word/2010/wordml" w:rsidP="5E890BEC" wp14:paraId="7FA23046" wp14:textId="1F9EFD01">
      <w:pPr>
        <w:pStyle w:val="ListParagraph"/>
        <w:numPr>
          <w:ilvl w:val="0"/>
          <w:numId w:val="52"/>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AGCM (Antitrust):</w:t>
      </w:r>
      <w:r w:rsidRPr="5E890BEC" w:rsidR="10FF92F9">
        <w:rPr>
          <w:rFonts w:ascii="Aptos" w:hAnsi="Aptos" w:eastAsia="Aptos" w:cs="Aptos"/>
          <w:noProof w:val="0"/>
          <w:color w:val="1F1F1F"/>
          <w:sz w:val="24"/>
          <w:szCs w:val="24"/>
          <w:lang w:val="it-IT"/>
        </w:rPr>
        <w:t xml:space="preserve"> Vigilanza sulle clausole vessatorie, sulla trasparenza dei costi e sul rispetto del divieto di </w:t>
      </w:r>
      <w:r w:rsidRPr="5E890BEC" w:rsidR="10FF92F9">
        <w:rPr>
          <w:rFonts w:ascii="Aptos" w:hAnsi="Aptos" w:eastAsia="Aptos" w:cs="Aptos"/>
          <w:noProof w:val="0"/>
          <w:color w:val="1F1F1F"/>
          <w:sz w:val="24"/>
          <w:szCs w:val="24"/>
          <w:lang w:val="it-IT"/>
        </w:rPr>
        <w:t>surcharge</w:t>
      </w:r>
      <w:r w:rsidRPr="5E890BEC" w:rsidR="10FF92F9">
        <w:rPr>
          <w:rFonts w:ascii="Aptos" w:hAnsi="Aptos" w:eastAsia="Aptos" w:cs="Aptos"/>
          <w:noProof w:val="0"/>
          <w:color w:val="1F1F1F"/>
          <w:sz w:val="24"/>
          <w:szCs w:val="24"/>
          <w:lang w:val="it-IT"/>
        </w:rPr>
        <w:t>.</w:t>
      </w:r>
    </w:p>
    <w:p xmlns:wp14="http://schemas.microsoft.com/office/word/2010/wordml" w:rsidP="5E890BEC" wp14:paraId="43D4DD46" wp14:textId="1F2C01AF">
      <w:pPr>
        <w:pStyle w:val="ListParagraph"/>
        <w:numPr>
          <w:ilvl w:val="0"/>
          <w:numId w:val="52"/>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UIF (Unità di Informazione Finanziaria):</w:t>
      </w:r>
      <w:r w:rsidRPr="5E890BEC" w:rsidR="10FF92F9">
        <w:rPr>
          <w:rFonts w:ascii="Aptos" w:hAnsi="Aptos" w:eastAsia="Aptos" w:cs="Aptos"/>
          <w:noProof w:val="0"/>
          <w:color w:val="1F1F1F"/>
          <w:sz w:val="24"/>
          <w:szCs w:val="24"/>
          <w:lang w:val="it-IT"/>
        </w:rPr>
        <w:t xml:space="preserve"> Coordina le attività di prevenzione del riciclaggio, ricevendo le segnalazioni di operazioni sospette (SOS) inviate dai PSP in ottemperanza alla normativa AML che si intreccia con la PSD2.</w:t>
      </w:r>
    </w:p>
    <w:p xmlns:wp14="http://schemas.microsoft.com/office/word/2010/wordml" w:rsidP="5E890BEC" wp14:paraId="5C613544" wp14:textId="0A001F27">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4.3 Modifiche Integrative e Adeguamenti Recenti (</w:t>
      </w:r>
      <w:r w:rsidRPr="5E890BEC" w:rsidR="10FF92F9">
        <w:rPr>
          <w:rFonts w:ascii="Aptos" w:hAnsi="Aptos" w:eastAsia="Aptos" w:cs="Aptos"/>
          <w:b w:val="1"/>
          <w:bCs w:val="1"/>
          <w:noProof w:val="0"/>
          <w:color w:val="1F1F1F"/>
          <w:sz w:val="28"/>
          <w:szCs w:val="28"/>
          <w:lang w:val="it-IT"/>
        </w:rPr>
        <w:t>D.Lgs.</w:t>
      </w:r>
      <w:r w:rsidRPr="5E890BEC" w:rsidR="10FF92F9">
        <w:rPr>
          <w:rFonts w:ascii="Aptos" w:hAnsi="Aptos" w:eastAsia="Aptos" w:cs="Aptos"/>
          <w:b w:val="1"/>
          <w:bCs w:val="1"/>
          <w:noProof w:val="0"/>
          <w:color w:val="1F1F1F"/>
          <w:sz w:val="28"/>
          <w:szCs w:val="28"/>
          <w:lang w:val="it-IT"/>
        </w:rPr>
        <w:t xml:space="preserve"> 55/2023)</w:t>
      </w:r>
    </w:p>
    <w:p xmlns:wp14="http://schemas.microsoft.com/office/word/2010/wordml" w:rsidP="5E890BEC" wp14:paraId="3AED2BF3" wp14:textId="7DF4B18E">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L'ordinamento italiano ha continuato a evolvere per rispondere alle sfide poste dalla digitalizzazione e dall'evasione fiscale. Il </w:t>
      </w:r>
      <w:r w:rsidRPr="5E890BEC" w:rsidR="10FF92F9">
        <w:rPr>
          <w:rFonts w:ascii="Aptos" w:hAnsi="Aptos" w:eastAsia="Aptos" w:cs="Aptos"/>
          <w:b w:val="1"/>
          <w:bCs w:val="1"/>
          <w:noProof w:val="0"/>
          <w:color w:val="1F1F1F"/>
          <w:sz w:val="24"/>
          <w:szCs w:val="24"/>
          <w:lang w:val="it-IT"/>
        </w:rPr>
        <w:t>D.Lgs.</w:t>
      </w:r>
      <w:r w:rsidRPr="5E890BEC" w:rsidR="10FF92F9">
        <w:rPr>
          <w:rFonts w:ascii="Aptos" w:hAnsi="Aptos" w:eastAsia="Aptos" w:cs="Aptos"/>
          <w:b w:val="1"/>
          <w:bCs w:val="1"/>
          <w:noProof w:val="0"/>
          <w:color w:val="1F1F1F"/>
          <w:sz w:val="24"/>
          <w:szCs w:val="24"/>
          <w:lang w:val="it-IT"/>
        </w:rPr>
        <w:t xml:space="preserve"> 34/2019</w:t>
      </w:r>
      <w:r w:rsidRPr="5E890BEC" w:rsidR="10FF92F9">
        <w:rPr>
          <w:rFonts w:ascii="Aptos" w:hAnsi="Aptos" w:eastAsia="Aptos" w:cs="Aptos"/>
          <w:noProof w:val="0"/>
          <w:color w:val="1F1F1F"/>
          <w:sz w:val="24"/>
          <w:szCs w:val="24"/>
          <w:lang w:val="it-IT"/>
        </w:rPr>
        <w:t xml:space="preserve"> ha introdotto modifiche integrative per affinare la disciplina sanzionatoria. Più recentemente, il </w:t>
      </w:r>
      <w:r w:rsidRPr="5E890BEC" w:rsidR="10FF92F9">
        <w:rPr>
          <w:rFonts w:ascii="Aptos" w:hAnsi="Aptos" w:eastAsia="Aptos" w:cs="Aptos"/>
          <w:b w:val="1"/>
          <w:bCs w:val="1"/>
          <w:noProof w:val="0"/>
          <w:color w:val="1F1F1F"/>
          <w:sz w:val="24"/>
          <w:szCs w:val="24"/>
          <w:lang w:val="it-IT"/>
        </w:rPr>
        <w:t>D.Lgs.</w:t>
      </w:r>
      <w:r w:rsidRPr="5E890BEC" w:rsidR="10FF92F9">
        <w:rPr>
          <w:rFonts w:ascii="Aptos" w:hAnsi="Aptos" w:eastAsia="Aptos" w:cs="Aptos"/>
          <w:b w:val="1"/>
          <w:bCs w:val="1"/>
          <w:noProof w:val="0"/>
          <w:color w:val="1F1F1F"/>
          <w:sz w:val="24"/>
          <w:szCs w:val="24"/>
          <w:lang w:val="it-IT"/>
        </w:rPr>
        <w:t xml:space="preserve"> 55/2023</w:t>
      </w:r>
      <w:r w:rsidRPr="5E890BEC" w:rsidR="10FF92F9">
        <w:rPr>
          <w:rFonts w:ascii="Aptos" w:hAnsi="Aptos" w:eastAsia="Aptos" w:cs="Aptos"/>
          <w:noProof w:val="0"/>
          <w:color w:val="1F1F1F"/>
          <w:sz w:val="24"/>
          <w:szCs w:val="24"/>
          <w:lang w:val="it-IT"/>
        </w:rPr>
        <w:t xml:space="preserve"> ha introdotto adeguamenti tecnici per rafforzare l'obbligo di accettazione dei pagamenti elettronici (obbligo POS).</w:t>
      </w:r>
    </w:p>
    <w:p xmlns:wp14="http://schemas.microsoft.com/office/word/2010/wordml" w:rsidP="5E890BEC" wp14:paraId="456BE3BF" wp14:textId="12ED7BA1">
      <w:pPr>
        <w:bidi w:val="0"/>
        <w:spacing w:before="0" w:beforeAutospacing="off" w:after="120" w:afterAutospacing="off"/>
        <w:jc w:val="both"/>
      </w:pPr>
      <w:r w:rsidRPr="5E890BEC" w:rsidR="10FF92F9">
        <w:rPr>
          <w:rFonts w:ascii="Aptos" w:hAnsi="Aptos" w:eastAsia="Aptos" w:cs="Aptos"/>
          <w:noProof w:val="0"/>
          <w:color w:val="1F1F1F"/>
          <w:sz w:val="24"/>
          <w:szCs w:val="24"/>
          <w:lang w:val="it-IT"/>
        </w:rPr>
        <w:t>In Italia, l'obbligo per gli esercenti di accettare pagamenti digitali è sanzionato dal 30 giugno 2022. La normativa attuale prevede:</w:t>
      </w:r>
    </w:p>
    <w:p xmlns:wp14="http://schemas.microsoft.com/office/word/2010/wordml" w:rsidP="5E890BEC" wp14:paraId="134454D1" wp14:textId="47012A4D">
      <w:pPr>
        <w:pStyle w:val="ListParagraph"/>
        <w:numPr>
          <w:ilvl w:val="0"/>
          <w:numId w:val="53"/>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Sanzione:</w:t>
      </w:r>
      <w:r w:rsidRPr="5E890BEC" w:rsidR="10FF92F9">
        <w:rPr>
          <w:rFonts w:ascii="Aptos" w:hAnsi="Aptos" w:eastAsia="Aptos" w:cs="Aptos"/>
          <w:noProof w:val="0"/>
          <w:color w:val="1F1F1F"/>
          <w:sz w:val="24"/>
          <w:szCs w:val="24"/>
          <w:lang w:val="it-IT"/>
        </w:rPr>
        <w:t xml:space="preserve"> 30 euro fissi + il 4% del valore della transazione negata.</w:t>
      </w:r>
    </w:p>
    <w:p xmlns:wp14="http://schemas.microsoft.com/office/word/2010/wordml" w:rsidP="5E890BEC" wp14:paraId="5A2B4E9E" wp14:textId="623A492F">
      <w:pPr>
        <w:pStyle w:val="ListParagraph"/>
        <w:numPr>
          <w:ilvl w:val="0"/>
          <w:numId w:val="53"/>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Obbligo Fiscale:</w:t>
      </w:r>
      <w:r w:rsidRPr="5E890BEC" w:rsidR="10FF92F9">
        <w:rPr>
          <w:rFonts w:ascii="Aptos" w:hAnsi="Aptos" w:eastAsia="Aptos" w:cs="Aptos"/>
          <w:noProof w:val="0"/>
          <w:color w:val="1F1F1F"/>
          <w:sz w:val="24"/>
          <w:szCs w:val="24"/>
          <w:lang w:val="it-IT"/>
        </w:rPr>
        <w:t xml:space="preserve"> Collegamento dei terminali POS ai registratori telematici per la trasmissione automatica dei corrispettivi giornalieri.</w:t>
      </w:r>
    </w:p>
    <w:p xmlns:wp14="http://schemas.microsoft.com/office/word/2010/wordml" w:rsidP="5E890BEC" wp14:paraId="6A8D90BB" wp14:textId="63979B76">
      <w:pPr>
        <w:pStyle w:val="ListParagraph"/>
        <w:numPr>
          <w:ilvl w:val="0"/>
          <w:numId w:val="53"/>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Incentivi:</w:t>
      </w:r>
      <w:r w:rsidRPr="5E890BEC" w:rsidR="10FF92F9">
        <w:rPr>
          <w:rFonts w:ascii="Aptos" w:hAnsi="Aptos" w:eastAsia="Aptos" w:cs="Aptos"/>
          <w:noProof w:val="0"/>
          <w:color w:val="1F1F1F"/>
          <w:sz w:val="24"/>
          <w:szCs w:val="24"/>
          <w:lang w:val="it-IT"/>
        </w:rPr>
        <w:t xml:space="preserve"> Credito d'imposta del 30% sulle commissioni maturate per i pagamenti elettronici per gli esercenti con ricavi inferiori a 400.000 euro.</w:t>
      </w:r>
    </w:p>
    <w:p xmlns:wp14="http://schemas.microsoft.com/office/word/2010/wordml" w:rsidP="5E890BEC" wp14:paraId="60EC9A9C" wp14:textId="3983C3DE">
      <w:pPr>
        <w:pStyle w:val="Heading2"/>
        <w:bidi w:val="0"/>
        <w:spacing w:before="0" w:beforeAutospacing="off" w:after="120" w:afterAutospacing="off"/>
        <w:jc w:val="both"/>
      </w:pPr>
      <w:r w:rsidRPr="5E890BEC" w:rsidR="10FF92F9">
        <w:rPr>
          <w:rFonts w:ascii="Aptos" w:hAnsi="Aptos" w:eastAsia="Aptos" w:cs="Aptos"/>
          <w:b w:val="1"/>
          <w:bCs w:val="1"/>
          <w:noProof w:val="0"/>
          <w:color w:val="1F1F1F"/>
          <w:sz w:val="36"/>
          <w:szCs w:val="36"/>
          <w:lang w:val="it-IT"/>
        </w:rPr>
        <w:t>5. La Sinergia Normativa tra PSD2 e GDPR</w:t>
      </w:r>
    </w:p>
    <w:p xmlns:wp14="http://schemas.microsoft.com/office/word/2010/wordml" w:rsidP="5E890BEC" wp14:paraId="3B43D817" wp14:textId="1CAEADD8">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Il rapporto tra la PSD2 e il Regolamento Generale sulla Protezione dei Dati (GDPR - Regolamento UE 2016/679) costituisce il cuore pulsante della regolamentazione dei dati finanziari. Poiché i pagamenti digitali coinvolgono necessariamente dati personali sensibili, le due normative devono essere applicate in modo cumulativo e sinergico.</w:t>
      </w:r>
    </w:p>
    <w:p xmlns:wp14="http://schemas.microsoft.com/office/word/2010/wordml" w:rsidP="5E890BEC" wp14:paraId="3B1594D5" wp14:textId="48146D2C">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5.1 Relazione Temporale e Complementarità</w:t>
      </w:r>
    </w:p>
    <w:p xmlns:wp14="http://schemas.microsoft.com/office/word/2010/wordml" w:rsidP="5E890BEC" wp14:paraId="38DF48CD" wp14:textId="477F7CED">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Sebbene la PSD2 sia stata adottata nel 2015 e il GDPR nel 2016, i loro periodi di implementazione e piena applicazione si sono sovrapposti (2017-2018). Il GDPR funge da normativa "quadro" (</w:t>
      </w:r>
      <w:r w:rsidRPr="5E890BEC" w:rsidR="10FF92F9">
        <w:rPr>
          <w:rFonts w:ascii="Aptos" w:hAnsi="Aptos" w:eastAsia="Aptos" w:cs="Aptos"/>
          <w:noProof w:val="0"/>
          <w:color w:val="1F1F1F"/>
          <w:sz w:val="24"/>
          <w:szCs w:val="24"/>
          <w:lang w:val="it-IT"/>
        </w:rPr>
        <w:t>lex</w:t>
      </w:r>
      <w:r w:rsidRPr="5E890BEC" w:rsidR="10FF92F9">
        <w:rPr>
          <w:rFonts w:ascii="Aptos" w:hAnsi="Aptos" w:eastAsia="Aptos" w:cs="Aptos"/>
          <w:noProof w:val="0"/>
          <w:color w:val="1F1F1F"/>
          <w:sz w:val="24"/>
          <w:szCs w:val="24"/>
          <w:lang w:val="it-IT"/>
        </w:rPr>
        <w:t xml:space="preserve"> </w:t>
      </w:r>
      <w:r w:rsidRPr="5E890BEC" w:rsidR="10FF92F9">
        <w:rPr>
          <w:rFonts w:ascii="Aptos" w:hAnsi="Aptos" w:eastAsia="Aptos" w:cs="Aptos"/>
          <w:noProof w:val="0"/>
          <w:color w:val="1F1F1F"/>
          <w:sz w:val="24"/>
          <w:szCs w:val="24"/>
          <w:lang w:val="it-IT"/>
        </w:rPr>
        <w:t>generalis</w:t>
      </w:r>
      <w:r w:rsidRPr="5E890BEC" w:rsidR="10FF92F9">
        <w:rPr>
          <w:rFonts w:ascii="Aptos" w:hAnsi="Aptos" w:eastAsia="Aptos" w:cs="Aptos"/>
          <w:noProof w:val="0"/>
          <w:color w:val="1F1F1F"/>
          <w:sz w:val="24"/>
          <w:szCs w:val="24"/>
          <w:lang w:val="it-IT"/>
        </w:rPr>
        <w:t>) per la protezione dei dati in ogni settore, mentre la PSD2 contiene disposizioni specifiche (</w:t>
      </w:r>
      <w:r w:rsidRPr="5E890BEC" w:rsidR="10FF92F9">
        <w:rPr>
          <w:rFonts w:ascii="Aptos" w:hAnsi="Aptos" w:eastAsia="Aptos" w:cs="Aptos"/>
          <w:noProof w:val="0"/>
          <w:color w:val="1F1F1F"/>
          <w:sz w:val="24"/>
          <w:szCs w:val="24"/>
          <w:lang w:val="it-IT"/>
        </w:rPr>
        <w:t>lex</w:t>
      </w:r>
      <w:r w:rsidRPr="5E890BEC" w:rsidR="10FF92F9">
        <w:rPr>
          <w:rFonts w:ascii="Aptos" w:hAnsi="Aptos" w:eastAsia="Aptos" w:cs="Aptos"/>
          <w:noProof w:val="0"/>
          <w:color w:val="1F1F1F"/>
          <w:sz w:val="24"/>
          <w:szCs w:val="24"/>
          <w:lang w:val="it-IT"/>
        </w:rPr>
        <w:t xml:space="preserve"> </w:t>
      </w:r>
      <w:r w:rsidRPr="5E890BEC" w:rsidR="10FF92F9">
        <w:rPr>
          <w:rFonts w:ascii="Aptos" w:hAnsi="Aptos" w:eastAsia="Aptos" w:cs="Aptos"/>
          <w:noProof w:val="0"/>
          <w:color w:val="1F1F1F"/>
          <w:sz w:val="24"/>
          <w:szCs w:val="24"/>
          <w:lang w:val="it-IT"/>
        </w:rPr>
        <w:t>specialis</w:t>
      </w:r>
      <w:r w:rsidRPr="5E890BEC" w:rsidR="10FF92F9">
        <w:rPr>
          <w:rFonts w:ascii="Aptos" w:hAnsi="Aptos" w:eastAsia="Aptos" w:cs="Aptos"/>
          <w:noProof w:val="0"/>
          <w:color w:val="1F1F1F"/>
          <w:sz w:val="24"/>
          <w:szCs w:val="24"/>
          <w:lang w:val="it-IT"/>
        </w:rPr>
        <w:t>) relative ai dati dei servizi di pagamento. In caso di divergenza, i principi del GDPR prevalgono per quanto riguarda la tutela dei diritti dell'individuo, ma la PSD2 fornisce la base legale per l'accesso ai dati richiesto dall'Open Banking.</w:t>
      </w:r>
    </w:p>
    <w:p xmlns:wp14="http://schemas.microsoft.com/office/word/2010/wordml" w:rsidP="5E890BEC" wp14:paraId="212F0CF5" wp14:textId="20EA2F00">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5.2 Il Consenso: Una Nozione Diversificata</w:t>
      </w:r>
    </w:p>
    <w:p xmlns:wp14="http://schemas.microsoft.com/office/word/2010/wordml" w:rsidP="5E890BEC" wp14:paraId="06838C1C" wp14:textId="27AF04B7">
      <w:pPr>
        <w:bidi w:val="0"/>
        <w:spacing w:before="0" w:beforeAutospacing="off" w:after="120" w:afterAutospacing="off"/>
        <w:jc w:val="both"/>
      </w:pPr>
      <w:r w:rsidRPr="5E890BEC" w:rsidR="10FF92F9">
        <w:rPr>
          <w:rFonts w:ascii="Aptos" w:hAnsi="Aptos" w:eastAsia="Aptos" w:cs="Aptos"/>
          <w:noProof w:val="0"/>
          <w:color w:val="1F1F1F"/>
          <w:sz w:val="24"/>
          <w:szCs w:val="24"/>
          <w:lang w:val="it-IT"/>
        </w:rPr>
        <w:t xml:space="preserve">Uno degli aspetti più complessi riguarda la natura del consenso. L'EDPB (Comitato Europeo per la Protezione dei Dati) ha chiarito nelle </w:t>
      </w:r>
      <w:r w:rsidRPr="5E890BEC" w:rsidR="10FF92F9">
        <w:rPr>
          <w:rFonts w:ascii="Aptos" w:hAnsi="Aptos" w:eastAsia="Aptos" w:cs="Aptos"/>
          <w:b w:val="1"/>
          <w:bCs w:val="1"/>
          <w:noProof w:val="0"/>
          <w:color w:val="1F1F1F"/>
          <w:sz w:val="24"/>
          <w:szCs w:val="24"/>
          <w:lang w:val="it-IT"/>
        </w:rPr>
        <w:t>Linee Guida 06/2020</w:t>
      </w:r>
      <w:r w:rsidRPr="5E890BEC" w:rsidR="10FF92F9">
        <w:rPr>
          <w:rFonts w:ascii="Aptos" w:hAnsi="Aptos" w:eastAsia="Aptos" w:cs="Aptos"/>
          <w:noProof w:val="0"/>
          <w:color w:val="1F1F1F"/>
          <w:sz w:val="24"/>
          <w:szCs w:val="24"/>
          <w:lang w:val="it-IT"/>
        </w:rPr>
        <w:t xml:space="preserve"> che il "consenso esplicito" richiesto dalla PSD2 (Art. 94) non coincide necessariamente con il consenso come base giuridica ai sensi del GDPR (Art. 6).</w:t>
      </w:r>
    </w:p>
    <w:p xmlns:wp14="http://schemas.microsoft.com/office/word/2010/wordml" w:rsidP="5E890BEC" wp14:paraId="75B651E3" wp14:textId="0590D4C3">
      <w:pPr>
        <w:pStyle w:val="ListParagraph"/>
        <w:numPr>
          <w:ilvl w:val="0"/>
          <w:numId w:val="54"/>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Consenso PSD2:</w:t>
      </w:r>
      <w:r w:rsidRPr="5E890BEC" w:rsidR="10FF92F9">
        <w:rPr>
          <w:rFonts w:ascii="Aptos" w:hAnsi="Aptos" w:eastAsia="Aptos" w:cs="Aptos"/>
          <w:noProof w:val="0"/>
          <w:color w:val="1F1F1F"/>
          <w:sz w:val="24"/>
          <w:szCs w:val="24"/>
          <w:lang w:val="it-IT"/>
        </w:rPr>
        <w:t xml:space="preserve"> È un consenso di natura </w:t>
      </w:r>
      <w:r w:rsidRPr="5E890BEC" w:rsidR="10FF92F9">
        <w:rPr>
          <w:rFonts w:ascii="Aptos" w:hAnsi="Aptos" w:eastAsia="Aptos" w:cs="Aptos"/>
          <w:b w:val="1"/>
          <w:bCs w:val="1"/>
          <w:noProof w:val="0"/>
          <w:color w:val="1F1F1F"/>
          <w:sz w:val="24"/>
          <w:szCs w:val="24"/>
          <w:lang w:val="it-IT"/>
        </w:rPr>
        <w:t>contrattuale</w:t>
      </w:r>
      <w:r w:rsidRPr="5E890BEC" w:rsidR="10FF92F9">
        <w:rPr>
          <w:rFonts w:ascii="Aptos" w:hAnsi="Aptos" w:eastAsia="Aptos" w:cs="Aptos"/>
          <w:noProof w:val="0"/>
          <w:color w:val="1F1F1F"/>
          <w:sz w:val="24"/>
          <w:szCs w:val="24"/>
          <w:lang w:val="it-IT"/>
        </w:rPr>
        <w:t>. Quando l'utente autorizza un AISP ad accedere al proprio conto, sta fornendo il permesso negoziale per l'esecuzione del servizio.</w:t>
      </w:r>
    </w:p>
    <w:p xmlns:wp14="http://schemas.microsoft.com/office/word/2010/wordml" w:rsidP="5E890BEC" wp14:paraId="20152145" wp14:textId="5E0ED229">
      <w:pPr>
        <w:pStyle w:val="ListParagraph"/>
        <w:numPr>
          <w:ilvl w:val="0"/>
          <w:numId w:val="54"/>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Base Giuridica GDPR:</w:t>
      </w:r>
      <w:r w:rsidRPr="5E890BEC" w:rsidR="10FF92F9">
        <w:rPr>
          <w:rFonts w:ascii="Aptos" w:hAnsi="Aptos" w:eastAsia="Aptos" w:cs="Aptos"/>
          <w:noProof w:val="0"/>
          <w:color w:val="1F1F1F"/>
          <w:sz w:val="24"/>
          <w:szCs w:val="24"/>
          <w:lang w:val="it-IT"/>
        </w:rPr>
        <w:t xml:space="preserve"> Per la prestazione dei servizi di pagamento, la base legale più appropriata è spesso l'</w:t>
      </w:r>
      <w:r w:rsidRPr="5E890BEC" w:rsidR="10FF92F9">
        <w:rPr>
          <w:rFonts w:ascii="Aptos" w:hAnsi="Aptos" w:eastAsia="Aptos" w:cs="Aptos"/>
          <w:b w:val="1"/>
          <w:bCs w:val="1"/>
          <w:noProof w:val="0"/>
          <w:color w:val="1F1F1F"/>
          <w:sz w:val="24"/>
          <w:szCs w:val="24"/>
          <w:lang w:val="it-IT"/>
        </w:rPr>
        <w:t>Articolo 6, paragrafo 1, lettera b)</w:t>
      </w:r>
      <w:r w:rsidRPr="5E890BEC" w:rsidR="10FF92F9">
        <w:rPr>
          <w:rFonts w:ascii="Aptos" w:hAnsi="Aptos" w:eastAsia="Aptos" w:cs="Aptos"/>
          <w:noProof w:val="0"/>
          <w:color w:val="1F1F1F"/>
          <w:sz w:val="24"/>
          <w:szCs w:val="24"/>
          <w:lang w:val="it-IT"/>
        </w:rPr>
        <w:t>, ovvero il trattamento necessario all'</w:t>
      </w:r>
      <w:r w:rsidRPr="5E890BEC" w:rsidR="10FF92F9">
        <w:rPr>
          <w:rFonts w:ascii="Aptos" w:hAnsi="Aptos" w:eastAsia="Aptos" w:cs="Aptos"/>
          <w:b w:val="1"/>
          <w:bCs w:val="1"/>
          <w:noProof w:val="0"/>
          <w:color w:val="1F1F1F"/>
          <w:sz w:val="24"/>
          <w:szCs w:val="24"/>
          <w:lang w:val="it-IT"/>
        </w:rPr>
        <w:t>esecuzione di un contratto</w:t>
      </w:r>
      <w:r w:rsidRPr="5E890BEC" w:rsidR="10FF92F9">
        <w:rPr>
          <w:rFonts w:ascii="Aptos" w:hAnsi="Aptos" w:eastAsia="Aptos" w:cs="Aptos"/>
          <w:noProof w:val="0"/>
          <w:color w:val="1F1F1F"/>
          <w:sz w:val="24"/>
          <w:szCs w:val="24"/>
          <w:lang w:val="it-IT"/>
        </w:rPr>
        <w:t xml:space="preserve"> di cui l'interessato è parte. Ciò significa che una volta che il cliente firma il contratto con il PSP, il trattamento dei dati strettamente necessari per eseguire il pagamento è lecito senza dover richiedere un ulteriore consenso GDPR, purché le finalità non eccedano l'erogazione del servizio.</w:t>
      </w:r>
    </w:p>
    <w:p xmlns:wp14="http://schemas.microsoft.com/office/word/2010/wordml" w:rsidP="5E890BEC" wp14:paraId="7DEE069C" wp14:textId="12F6321F">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Tuttavia, se il trattamento riguarda </w:t>
      </w:r>
      <w:r w:rsidRPr="5E890BEC" w:rsidR="10FF92F9">
        <w:rPr>
          <w:rFonts w:ascii="Aptos" w:hAnsi="Aptos" w:eastAsia="Aptos" w:cs="Aptos"/>
          <w:b w:val="1"/>
          <w:bCs w:val="1"/>
          <w:noProof w:val="0"/>
          <w:color w:val="1F1F1F"/>
          <w:sz w:val="24"/>
          <w:szCs w:val="24"/>
          <w:lang w:val="it-IT"/>
        </w:rPr>
        <w:t>categorie particolari di dati</w:t>
      </w:r>
      <w:r w:rsidRPr="5E890BEC" w:rsidR="10FF92F9">
        <w:rPr>
          <w:rFonts w:ascii="Aptos" w:hAnsi="Aptos" w:eastAsia="Aptos" w:cs="Aptos"/>
          <w:noProof w:val="0"/>
          <w:color w:val="1F1F1F"/>
          <w:sz w:val="24"/>
          <w:szCs w:val="24"/>
          <w:lang w:val="it-IT"/>
        </w:rPr>
        <w:t xml:space="preserve"> (es. dati che rivelano opinioni politiche o stato di salute desumibili dalle transazioni), è necessario il consenso esplicito ai sensi dell'Art. 9.2.a del GDPR, a meno che non sussistano motivi di interesse pubblico rilevante.</w:t>
      </w:r>
    </w:p>
    <w:p xmlns:wp14="http://schemas.microsoft.com/office/word/2010/wordml" w:rsidP="5E890BEC" wp14:paraId="63D4A767" wp14:textId="5E43B206">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5.3 Il Trattamento dei Dati delle "</w:t>
      </w:r>
      <w:r w:rsidRPr="5E890BEC" w:rsidR="10FF92F9">
        <w:rPr>
          <w:rFonts w:ascii="Aptos" w:hAnsi="Aptos" w:eastAsia="Aptos" w:cs="Aptos"/>
          <w:b w:val="1"/>
          <w:bCs w:val="1"/>
          <w:noProof w:val="0"/>
          <w:color w:val="1F1F1F"/>
          <w:sz w:val="28"/>
          <w:szCs w:val="28"/>
          <w:lang w:val="it-IT"/>
        </w:rPr>
        <w:t>Silent</w:t>
      </w:r>
      <w:r w:rsidRPr="5E890BEC" w:rsidR="10FF92F9">
        <w:rPr>
          <w:rFonts w:ascii="Aptos" w:hAnsi="Aptos" w:eastAsia="Aptos" w:cs="Aptos"/>
          <w:b w:val="1"/>
          <w:bCs w:val="1"/>
          <w:noProof w:val="0"/>
          <w:color w:val="1F1F1F"/>
          <w:sz w:val="28"/>
          <w:szCs w:val="28"/>
          <w:lang w:val="it-IT"/>
        </w:rPr>
        <w:t xml:space="preserve"> Parties" (Taciti Interessati)</w:t>
      </w:r>
    </w:p>
    <w:p xmlns:wp14="http://schemas.microsoft.com/office/word/2010/wordml" w:rsidP="5E890BEC" wp14:paraId="1B92B0C1" wp14:textId="7B88AD1B">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Un tema di grande rilievo è quello dei dati dei soggetti terzi (</w:t>
      </w:r>
      <w:r w:rsidRPr="5E890BEC" w:rsidR="10FF92F9">
        <w:rPr>
          <w:rFonts w:ascii="Aptos" w:hAnsi="Aptos" w:eastAsia="Aptos" w:cs="Aptos"/>
          <w:noProof w:val="0"/>
          <w:color w:val="1F1F1F"/>
          <w:sz w:val="24"/>
          <w:szCs w:val="24"/>
          <w:lang w:val="it-IT"/>
        </w:rPr>
        <w:t>silent</w:t>
      </w:r>
      <w:r w:rsidRPr="5E890BEC" w:rsidR="10FF92F9">
        <w:rPr>
          <w:rFonts w:ascii="Aptos" w:hAnsi="Aptos" w:eastAsia="Aptos" w:cs="Aptos"/>
          <w:noProof w:val="0"/>
          <w:color w:val="1F1F1F"/>
          <w:sz w:val="24"/>
          <w:szCs w:val="24"/>
          <w:lang w:val="it-IT"/>
        </w:rPr>
        <w:t xml:space="preserve"> parties) che appaiono negli estratti conto di un utente AISP/PISP (es. il beneficiario di un bonifico). Questi soggetti non hanno prestato alcun consenso al TPP, poiché non hanno una relazione contrattuale con esso.</w:t>
      </w:r>
    </w:p>
    <w:p xmlns:wp14="http://schemas.microsoft.com/office/word/2010/wordml" w:rsidP="5E890BEC" wp14:paraId="0E454B0B" wp14:textId="5099227C">
      <w:pPr>
        <w:bidi w:val="0"/>
        <w:spacing w:before="0" w:beforeAutospacing="off" w:after="120" w:afterAutospacing="off"/>
        <w:jc w:val="both"/>
      </w:pPr>
      <w:r w:rsidRPr="5E890BEC" w:rsidR="10FF92F9">
        <w:rPr>
          <w:rFonts w:ascii="Aptos" w:hAnsi="Aptos" w:eastAsia="Aptos" w:cs="Aptos"/>
          <w:noProof w:val="0"/>
          <w:color w:val="1F1F1F"/>
          <w:sz w:val="24"/>
          <w:szCs w:val="24"/>
          <w:lang w:val="it-IT"/>
        </w:rPr>
        <w:t>Secondo l'orientamento dell'EDPB:</w:t>
      </w:r>
    </w:p>
    <w:p xmlns:wp14="http://schemas.microsoft.com/office/word/2010/wordml" w:rsidP="5E890BEC" wp14:paraId="50F276AD" wp14:textId="1C3FC5F2">
      <w:pPr>
        <w:pStyle w:val="ListParagraph"/>
        <w:numPr>
          <w:ilvl w:val="0"/>
          <w:numId w:val="55"/>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noProof w:val="0"/>
          <w:color w:val="1F1F1F"/>
          <w:sz w:val="24"/>
          <w:szCs w:val="24"/>
          <w:lang w:val="it-IT"/>
        </w:rPr>
        <w:t xml:space="preserve">Il trattamento dei dati delle </w:t>
      </w:r>
      <w:r w:rsidRPr="5E890BEC" w:rsidR="10FF92F9">
        <w:rPr>
          <w:rFonts w:ascii="Aptos" w:hAnsi="Aptos" w:eastAsia="Aptos" w:cs="Aptos"/>
          <w:noProof w:val="0"/>
          <w:color w:val="1F1F1F"/>
          <w:sz w:val="24"/>
          <w:szCs w:val="24"/>
          <w:lang w:val="it-IT"/>
        </w:rPr>
        <w:t>silent</w:t>
      </w:r>
      <w:r w:rsidRPr="5E890BEC" w:rsidR="10FF92F9">
        <w:rPr>
          <w:rFonts w:ascii="Aptos" w:hAnsi="Aptos" w:eastAsia="Aptos" w:cs="Aptos"/>
          <w:noProof w:val="0"/>
          <w:color w:val="1F1F1F"/>
          <w:sz w:val="24"/>
          <w:szCs w:val="24"/>
          <w:lang w:val="it-IT"/>
        </w:rPr>
        <w:t xml:space="preserve"> parties è lecito sulla base del </w:t>
      </w:r>
      <w:r w:rsidRPr="5E890BEC" w:rsidR="10FF92F9">
        <w:rPr>
          <w:rFonts w:ascii="Aptos" w:hAnsi="Aptos" w:eastAsia="Aptos" w:cs="Aptos"/>
          <w:b w:val="1"/>
          <w:bCs w:val="1"/>
          <w:noProof w:val="0"/>
          <w:color w:val="1F1F1F"/>
          <w:sz w:val="24"/>
          <w:szCs w:val="24"/>
          <w:lang w:val="it-IT"/>
        </w:rPr>
        <w:t>legittimo interesse</w:t>
      </w:r>
      <w:r w:rsidRPr="5E890BEC" w:rsidR="10FF92F9">
        <w:rPr>
          <w:rFonts w:ascii="Aptos" w:hAnsi="Aptos" w:eastAsia="Aptos" w:cs="Aptos"/>
          <w:noProof w:val="0"/>
          <w:color w:val="1F1F1F"/>
          <w:sz w:val="24"/>
          <w:szCs w:val="24"/>
          <w:lang w:val="it-IT"/>
        </w:rPr>
        <w:t xml:space="preserve"> (Art. 6.1.f GDPR) del PSP e dell'utente di eseguire il contratto di pagamento.</w:t>
      </w:r>
    </w:p>
    <w:p xmlns:wp14="http://schemas.microsoft.com/office/word/2010/wordml" w:rsidP="5E890BEC" wp14:paraId="17EDA832" wp14:textId="1C797ECE">
      <w:pPr>
        <w:pStyle w:val="ListParagraph"/>
        <w:numPr>
          <w:ilvl w:val="0"/>
          <w:numId w:val="55"/>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noProof w:val="0"/>
          <w:color w:val="1F1F1F"/>
          <w:sz w:val="24"/>
          <w:szCs w:val="24"/>
          <w:lang w:val="it-IT"/>
        </w:rPr>
        <w:t xml:space="preserve">Limitazioni rigorose: i dati delle </w:t>
      </w:r>
      <w:r w:rsidRPr="5E890BEC" w:rsidR="10FF92F9">
        <w:rPr>
          <w:rFonts w:ascii="Aptos" w:hAnsi="Aptos" w:eastAsia="Aptos" w:cs="Aptos"/>
          <w:noProof w:val="0"/>
          <w:color w:val="1F1F1F"/>
          <w:sz w:val="24"/>
          <w:szCs w:val="24"/>
          <w:lang w:val="it-IT"/>
        </w:rPr>
        <w:t>silent</w:t>
      </w:r>
      <w:r w:rsidRPr="5E890BEC" w:rsidR="10FF92F9">
        <w:rPr>
          <w:rFonts w:ascii="Aptos" w:hAnsi="Aptos" w:eastAsia="Aptos" w:cs="Aptos"/>
          <w:noProof w:val="0"/>
          <w:color w:val="1F1F1F"/>
          <w:sz w:val="24"/>
          <w:szCs w:val="24"/>
          <w:lang w:val="it-IT"/>
        </w:rPr>
        <w:t xml:space="preserve"> parties non possono essere utilizzati per profilazione, marketing o qualsiasi finalità diversa dall'esecuzione tecnica della transazione. I PSP devono applicare misure di minimizzazione e, ove possibile, tecniche di crittografia per proteggere questi dati.</w:t>
      </w:r>
    </w:p>
    <w:p xmlns:wp14="http://schemas.microsoft.com/office/word/2010/wordml" w:rsidP="5E890BEC" wp14:paraId="2793D095" wp14:textId="1AB80B03">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5.4 Privacy by Design e DPIA nel Settore dei Pagamenti</w:t>
      </w:r>
    </w:p>
    <w:p xmlns:wp14="http://schemas.microsoft.com/office/word/2010/wordml" w:rsidP="5E890BEC" wp14:paraId="27357C80" wp14:textId="38BCD282">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Le istituzioni finanziarie devono integrare la protezione dei dati fin dalla fase di progettazione dei propri sistemi (Privacy by Design). L'implementazione di nuovi servizi di Open Banking o di sistemi di autenticazione biometrica richiede quasi sempre una </w:t>
      </w:r>
      <w:r w:rsidRPr="5E890BEC" w:rsidR="10FF92F9">
        <w:rPr>
          <w:rFonts w:ascii="Aptos" w:hAnsi="Aptos" w:eastAsia="Aptos" w:cs="Aptos"/>
          <w:b w:val="1"/>
          <w:bCs w:val="1"/>
          <w:noProof w:val="0"/>
          <w:color w:val="1F1F1F"/>
          <w:sz w:val="24"/>
          <w:szCs w:val="24"/>
          <w:lang w:val="it-IT"/>
        </w:rPr>
        <w:t>Valutazione di Impatto sulla Protezione dei Dati (DPIA)</w:t>
      </w:r>
      <w:r w:rsidRPr="5E890BEC" w:rsidR="10FF92F9">
        <w:rPr>
          <w:rFonts w:ascii="Aptos" w:hAnsi="Aptos" w:eastAsia="Aptos" w:cs="Aptos"/>
          <w:noProof w:val="0"/>
          <w:color w:val="1F1F1F"/>
          <w:sz w:val="24"/>
          <w:szCs w:val="24"/>
          <w:lang w:val="it-IT"/>
        </w:rPr>
        <w:t xml:space="preserve"> ai sensi dell'Art. 35 del GDPR, data l'alta rischiosità e la natura sensibile dei dati finanziari.</w:t>
      </w:r>
    </w:p>
    <w:tbl>
      <w:tblPr>
        <w:tblStyle w:val="TableNormal"/>
        <w:bidiVisual w:val="0"/>
        <w:tblW w:w="0" w:type="auto"/>
        <w:tblLook w:val="06A0" w:firstRow="1" w:lastRow="0" w:firstColumn="1" w:lastColumn="0" w:noHBand="1" w:noVBand="1"/>
      </w:tblPr>
      <w:tblGrid>
        <w:gridCol w:w="1962"/>
        <w:gridCol w:w="7053"/>
      </w:tblGrid>
      <w:tr w:rsidR="5E890BEC" w:rsidTr="5E890BEC" w14:paraId="2A2FECC5">
        <w:trPr>
          <w:trHeight w:val="300"/>
        </w:trPr>
        <w:tc>
          <w:tcPr>
            <w:tcW w:w="196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2634B203" w14:textId="36A87DC9">
            <w:pPr>
              <w:bidi w:val="0"/>
              <w:spacing w:before="0" w:beforeAutospacing="off" w:after="0" w:afterAutospacing="off"/>
              <w:jc w:val="both"/>
            </w:pPr>
            <w:r w:rsidRPr="5E890BEC" w:rsidR="5E890BEC">
              <w:rPr>
                <w:b w:val="1"/>
                <w:bCs w:val="1"/>
                <w:color w:val="1F1F1F"/>
              </w:rPr>
              <w:t>Obbligo GDPR</w:t>
            </w:r>
          </w:p>
        </w:tc>
        <w:tc>
          <w:tcPr>
            <w:tcW w:w="705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576B3AF6" w14:textId="0BFAFEE5">
            <w:pPr>
              <w:bidi w:val="0"/>
              <w:spacing w:before="0" w:beforeAutospacing="off" w:after="0" w:afterAutospacing="off"/>
              <w:jc w:val="both"/>
            </w:pPr>
            <w:r w:rsidRPr="5E890BEC" w:rsidR="5E890BEC">
              <w:rPr>
                <w:b w:val="1"/>
                <w:bCs w:val="1"/>
                <w:color w:val="1F1F1F"/>
              </w:rPr>
              <w:t>Applicazione Pratica PSD2</w:t>
            </w:r>
          </w:p>
        </w:tc>
      </w:tr>
      <w:tr w:rsidR="5E890BEC" w:rsidTr="5E890BEC" w14:paraId="14D8105B">
        <w:trPr>
          <w:trHeight w:val="300"/>
        </w:trPr>
        <w:tc>
          <w:tcPr>
            <w:tcW w:w="196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0E05C53E" w14:textId="2FB421D5">
            <w:pPr>
              <w:bidi w:val="0"/>
              <w:spacing w:before="0" w:beforeAutospacing="off" w:after="0" w:afterAutospacing="off"/>
              <w:jc w:val="both"/>
            </w:pPr>
            <w:r w:rsidRPr="5E890BEC" w:rsidR="5E890BEC">
              <w:rPr>
                <w:b w:val="1"/>
                <w:bCs w:val="1"/>
                <w:color w:val="1F1F1F"/>
              </w:rPr>
              <w:t>Minimizzazione</w:t>
            </w:r>
          </w:p>
        </w:tc>
        <w:tc>
          <w:tcPr>
            <w:tcW w:w="705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29E64EA5" w14:textId="37400B71">
            <w:pPr>
              <w:bidi w:val="0"/>
              <w:spacing w:before="0" w:beforeAutospacing="off" w:after="0" w:afterAutospacing="off"/>
              <w:jc w:val="both"/>
            </w:pPr>
            <w:r w:rsidRPr="5E890BEC" w:rsidR="5E890BEC">
              <w:rPr>
                <w:color w:val="1F1F1F"/>
              </w:rPr>
              <w:t xml:space="preserve">L'ASPSP deve fornire al TPP solo i dati del conto necessari per il servizio richiesto </w:t>
            </w:r>
          </w:p>
        </w:tc>
      </w:tr>
      <w:tr w:rsidR="5E890BEC" w:rsidTr="5E890BEC" w14:paraId="3FDFBC26">
        <w:trPr>
          <w:trHeight w:val="300"/>
        </w:trPr>
        <w:tc>
          <w:tcPr>
            <w:tcW w:w="196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738DECAB" w14:textId="4EFB002C">
            <w:pPr>
              <w:bidi w:val="0"/>
              <w:spacing w:before="0" w:beforeAutospacing="off" w:after="0" w:afterAutospacing="off"/>
              <w:jc w:val="both"/>
            </w:pPr>
            <w:r w:rsidRPr="5E890BEC" w:rsidR="5E890BEC">
              <w:rPr>
                <w:b w:val="1"/>
                <w:bCs w:val="1"/>
                <w:color w:val="1F1F1F"/>
              </w:rPr>
              <w:t>Trasparenza</w:t>
            </w:r>
          </w:p>
        </w:tc>
        <w:tc>
          <w:tcPr>
            <w:tcW w:w="705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34657E98" w14:textId="3C8A271D">
            <w:pPr>
              <w:bidi w:val="0"/>
              <w:spacing w:before="0" w:beforeAutospacing="off" w:after="0" w:afterAutospacing="off"/>
              <w:jc w:val="both"/>
            </w:pPr>
            <w:r w:rsidRPr="5E890BEC" w:rsidR="5E890BEC">
              <w:rPr>
                <w:color w:val="1F1F1F"/>
              </w:rPr>
              <w:t xml:space="preserve">Informativa privacy chiara che elenca i TPP con cui i dati sono condivisi </w:t>
            </w:r>
          </w:p>
        </w:tc>
      </w:tr>
      <w:tr w:rsidR="5E890BEC" w:rsidTr="5E890BEC" w14:paraId="33DA26F2">
        <w:trPr>
          <w:trHeight w:val="300"/>
        </w:trPr>
        <w:tc>
          <w:tcPr>
            <w:tcW w:w="196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137F6A3F" w14:textId="6E17A1F2">
            <w:pPr>
              <w:bidi w:val="0"/>
              <w:spacing w:before="0" w:beforeAutospacing="off" w:after="0" w:afterAutospacing="off"/>
              <w:jc w:val="both"/>
            </w:pPr>
            <w:r w:rsidRPr="5E890BEC" w:rsidR="5E890BEC">
              <w:rPr>
                <w:b w:val="1"/>
                <w:bCs w:val="1"/>
                <w:color w:val="1F1F1F"/>
              </w:rPr>
              <w:t>Sicurezza</w:t>
            </w:r>
          </w:p>
        </w:tc>
        <w:tc>
          <w:tcPr>
            <w:tcW w:w="705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15338526" w14:textId="6E4E2FA3">
            <w:pPr>
              <w:bidi w:val="0"/>
              <w:spacing w:before="0" w:beforeAutospacing="off" w:after="0" w:afterAutospacing="off"/>
              <w:jc w:val="both"/>
            </w:pPr>
            <w:r w:rsidRPr="5E890BEC" w:rsidR="5E890BEC">
              <w:rPr>
                <w:color w:val="1F1F1F"/>
              </w:rPr>
              <w:t xml:space="preserve">Obbligo di cifratura delle comunicazioni tra banche e Fintech tramite API </w:t>
            </w:r>
          </w:p>
        </w:tc>
      </w:tr>
      <w:tr w:rsidR="5E890BEC" w:rsidTr="5E890BEC" w14:paraId="080EE609">
        <w:trPr>
          <w:trHeight w:val="300"/>
        </w:trPr>
        <w:tc>
          <w:tcPr>
            <w:tcW w:w="196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48258DB4" w14:textId="4CFDF2A4">
            <w:pPr>
              <w:bidi w:val="0"/>
              <w:spacing w:before="0" w:beforeAutospacing="off" w:after="0" w:afterAutospacing="off"/>
              <w:jc w:val="both"/>
            </w:pPr>
            <w:r w:rsidRPr="5E890BEC" w:rsidR="5E890BEC">
              <w:rPr>
                <w:b w:val="1"/>
                <w:bCs w:val="1"/>
                <w:color w:val="1F1F1F"/>
              </w:rPr>
              <w:t>Diritti dell'Interessato</w:t>
            </w:r>
          </w:p>
        </w:tc>
        <w:tc>
          <w:tcPr>
            <w:tcW w:w="705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3DB26BF8" w14:textId="52C5D877">
            <w:pPr>
              <w:bidi w:val="0"/>
              <w:spacing w:before="0" w:beforeAutospacing="off" w:after="0" w:afterAutospacing="off"/>
              <w:jc w:val="both"/>
            </w:pPr>
            <w:r w:rsidRPr="5E890BEC" w:rsidR="5E890BEC">
              <w:rPr>
                <w:color w:val="1F1F1F"/>
              </w:rPr>
              <w:t xml:space="preserve">Possibilità per l'utente di revocare l'accesso ai propri dati in qualsiasi momento </w:t>
            </w:r>
          </w:p>
        </w:tc>
      </w:tr>
      <w:tr w:rsidR="5E890BEC" w:rsidTr="5E890BEC" w14:paraId="2F22552B">
        <w:trPr>
          <w:trHeight w:val="300"/>
        </w:trPr>
        <w:tc>
          <w:tcPr>
            <w:tcW w:w="1962"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6DACC1AD" w14:textId="24BC566C">
            <w:pPr>
              <w:bidi w:val="0"/>
              <w:spacing w:before="0" w:beforeAutospacing="off" w:after="0" w:afterAutospacing="off"/>
              <w:jc w:val="both"/>
            </w:pPr>
            <w:r w:rsidRPr="5E890BEC" w:rsidR="5E890BEC">
              <w:rPr>
                <w:b w:val="1"/>
                <w:bCs w:val="1"/>
                <w:color w:val="1F1F1F"/>
              </w:rPr>
              <w:t xml:space="preserve">Data </w:t>
            </w:r>
            <w:r w:rsidRPr="5E890BEC" w:rsidR="5E890BEC">
              <w:rPr>
                <w:b w:val="1"/>
                <w:bCs w:val="1"/>
                <w:color w:val="1F1F1F"/>
              </w:rPr>
              <w:t>Breach</w:t>
            </w:r>
            <w:r w:rsidRPr="5E890BEC" w:rsidR="5E890BEC">
              <w:rPr>
                <w:b w:val="1"/>
                <w:bCs w:val="1"/>
                <w:color w:val="1F1F1F"/>
              </w:rPr>
              <w:t xml:space="preserve"> Notification</w:t>
            </w:r>
          </w:p>
        </w:tc>
        <w:tc>
          <w:tcPr>
            <w:tcW w:w="7053" w:type="dxa"/>
            <w:tcBorders>
              <w:top w:val="single" w:sz="6"/>
              <w:left w:val="single" w:sz="6"/>
              <w:bottom w:val="single" w:sz="6"/>
              <w:right w:val="single" w:sz="6"/>
            </w:tcBorders>
            <w:shd w:val="clear" w:color="auto" w:fill="F8FAFD"/>
            <w:tcMar>
              <w:top w:w="120" w:type="dxa"/>
              <w:left w:w="180" w:type="dxa"/>
              <w:bottom w:w="120" w:type="dxa"/>
              <w:right w:w="180" w:type="dxa"/>
            </w:tcMar>
            <w:vAlign w:val="center"/>
          </w:tcPr>
          <w:p w:rsidR="5E890BEC" w:rsidP="5E890BEC" w:rsidRDefault="5E890BEC" w14:paraId="6EB926BE" w14:textId="08036CD9">
            <w:pPr>
              <w:bidi w:val="0"/>
              <w:spacing w:before="0" w:beforeAutospacing="off" w:after="0" w:afterAutospacing="off"/>
              <w:jc w:val="both"/>
            </w:pPr>
            <w:r w:rsidRPr="5E890BEC" w:rsidR="5E890BEC">
              <w:rPr>
                <w:color w:val="1F1F1F"/>
              </w:rPr>
              <w:t xml:space="preserve">Segnalazione delle violazioni di sicurezza al Garante Privacy (GDPR) e a Banca d'Italia (PSD2) </w:t>
            </w:r>
          </w:p>
        </w:tc>
      </w:tr>
    </w:tbl>
    <w:p xmlns:wp14="http://schemas.microsoft.com/office/word/2010/wordml" w:rsidP="5E890BEC" wp14:paraId="6CBD6E4C" wp14:textId="575B8994">
      <w:pPr>
        <w:pStyle w:val="Heading2"/>
        <w:bidi w:val="0"/>
        <w:spacing w:before="0" w:beforeAutospacing="off" w:after="120" w:afterAutospacing="off"/>
        <w:jc w:val="both"/>
      </w:pPr>
      <w:r w:rsidRPr="5E890BEC" w:rsidR="10FF92F9">
        <w:rPr>
          <w:rFonts w:ascii="Aptos" w:hAnsi="Aptos" w:eastAsia="Aptos" w:cs="Aptos"/>
          <w:b w:val="1"/>
          <w:bCs w:val="1"/>
          <w:noProof w:val="0"/>
          <w:color w:val="1F1F1F"/>
          <w:sz w:val="36"/>
          <w:szCs w:val="36"/>
          <w:lang w:val="it-IT"/>
        </w:rPr>
        <w:t>6. Analisi Tecnica: Sicurezza e Lotta alle Frodi</w:t>
      </w:r>
    </w:p>
    <w:p xmlns:wp14="http://schemas.microsoft.com/office/word/2010/wordml" w:rsidP="5E890BEC" wp14:paraId="5F30C2DD" wp14:textId="0B57F1F2">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La PSD2 ha ridefinito gli standard di sicurezza informatica nel mercato europeo, ponendo la Strong Customer Authentication (SCA) come pilastro centrale della difesa contro il crimine informatico.</w:t>
      </w:r>
    </w:p>
    <w:p xmlns:wp14="http://schemas.microsoft.com/office/word/2010/wordml" w:rsidP="5E890BEC" wp14:paraId="4F949D3F" wp14:textId="74E3B0A3">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6.1 I Tre Fattori dell'Autenticazione Forte (SCA)</w:t>
      </w:r>
    </w:p>
    <w:p xmlns:wp14="http://schemas.microsoft.com/office/word/2010/wordml" w:rsidP="5E890BEC" wp14:paraId="6357E30E" wp14:textId="2922495E">
      <w:pPr>
        <w:bidi w:val="0"/>
        <w:spacing w:before="0" w:beforeAutospacing="off" w:after="120" w:afterAutospacing="off"/>
        <w:jc w:val="both"/>
        <w:rPr>
          <w:rFonts w:ascii="Aptos" w:hAnsi="Aptos" w:eastAsia="Aptos" w:cs="Aptos"/>
          <w:noProof w:val="0"/>
          <w:color w:val="1F1F1F"/>
          <w:sz w:val="24"/>
          <w:szCs w:val="24"/>
          <w:lang w:val="it-IT"/>
        </w:rPr>
      </w:pPr>
      <w:r w:rsidRPr="5E890BEC" w:rsidR="10FF92F9">
        <w:rPr>
          <w:rFonts w:ascii="Aptos" w:hAnsi="Aptos" w:eastAsia="Aptos" w:cs="Aptos"/>
          <w:noProof w:val="0"/>
          <w:color w:val="1F1F1F"/>
          <w:sz w:val="24"/>
          <w:szCs w:val="24"/>
          <w:lang w:val="it-IT"/>
        </w:rPr>
        <w:t xml:space="preserve">L'SCA richiede l'utilizzo di almeno due elementi appartenenti a due diverse categorie tra le </w:t>
      </w:r>
      <w:r w:rsidRPr="5E890BEC" w:rsidR="10FF92F9">
        <w:rPr>
          <w:rFonts w:ascii="Aptos" w:hAnsi="Aptos" w:eastAsia="Aptos" w:cs="Aptos"/>
          <w:noProof w:val="0"/>
          <w:color w:val="1F1F1F"/>
          <w:sz w:val="24"/>
          <w:szCs w:val="24"/>
          <w:lang w:val="it-IT"/>
        </w:rPr>
        <w:t>seguenti :</w:t>
      </w:r>
    </w:p>
    <w:p xmlns:wp14="http://schemas.microsoft.com/office/word/2010/wordml" w:rsidP="5E890BEC" wp14:paraId="0FBE0ACC" wp14:textId="72F47801">
      <w:pPr>
        <w:pStyle w:val="ListParagraph"/>
        <w:numPr>
          <w:ilvl w:val="0"/>
          <w:numId w:val="56"/>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Conoscenza (Qualcosa che solo l'utente sa):</w:t>
      </w:r>
      <w:r w:rsidRPr="5E890BEC" w:rsidR="10FF92F9">
        <w:rPr>
          <w:rFonts w:ascii="Aptos" w:hAnsi="Aptos" w:eastAsia="Aptos" w:cs="Aptos"/>
          <w:noProof w:val="0"/>
          <w:color w:val="1F1F1F"/>
          <w:sz w:val="24"/>
          <w:szCs w:val="24"/>
          <w:lang w:val="it-IT"/>
        </w:rPr>
        <w:t xml:space="preserve"> Password, PIN, codici mnemonici o sequenze di scorrimento (</w:t>
      </w:r>
      <w:r w:rsidRPr="5E890BEC" w:rsidR="10FF92F9">
        <w:rPr>
          <w:rFonts w:ascii="Aptos" w:hAnsi="Aptos" w:eastAsia="Aptos" w:cs="Aptos"/>
          <w:noProof w:val="0"/>
          <w:color w:val="1F1F1F"/>
          <w:sz w:val="24"/>
          <w:szCs w:val="24"/>
          <w:lang w:val="it-IT"/>
        </w:rPr>
        <w:t>swiping</w:t>
      </w:r>
      <w:r w:rsidRPr="5E890BEC" w:rsidR="10FF92F9">
        <w:rPr>
          <w:rFonts w:ascii="Aptos" w:hAnsi="Aptos" w:eastAsia="Aptos" w:cs="Aptos"/>
          <w:noProof w:val="0"/>
          <w:color w:val="1F1F1F"/>
          <w:sz w:val="24"/>
          <w:szCs w:val="24"/>
          <w:lang w:val="it-IT"/>
        </w:rPr>
        <w:t xml:space="preserve"> </w:t>
      </w:r>
      <w:r w:rsidRPr="5E890BEC" w:rsidR="10FF92F9">
        <w:rPr>
          <w:rFonts w:ascii="Aptos" w:hAnsi="Aptos" w:eastAsia="Aptos" w:cs="Aptos"/>
          <w:noProof w:val="0"/>
          <w:color w:val="1F1F1F"/>
          <w:sz w:val="24"/>
          <w:szCs w:val="24"/>
          <w:lang w:val="it-IT"/>
        </w:rPr>
        <w:t>paths</w:t>
      </w:r>
      <w:r w:rsidRPr="5E890BEC" w:rsidR="10FF92F9">
        <w:rPr>
          <w:rFonts w:ascii="Aptos" w:hAnsi="Aptos" w:eastAsia="Aptos" w:cs="Aptos"/>
          <w:noProof w:val="0"/>
          <w:color w:val="1F1F1F"/>
          <w:sz w:val="24"/>
          <w:szCs w:val="24"/>
          <w:lang w:val="it-IT"/>
        </w:rPr>
        <w:t>).</w:t>
      </w:r>
    </w:p>
    <w:p xmlns:wp14="http://schemas.microsoft.com/office/word/2010/wordml" w:rsidP="5E890BEC" wp14:paraId="215145D9" wp14:textId="1C369D6A">
      <w:pPr>
        <w:pStyle w:val="ListParagraph"/>
        <w:numPr>
          <w:ilvl w:val="0"/>
          <w:numId w:val="56"/>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Possesso (Qualcosa che solo l'utente possiede):</w:t>
      </w:r>
      <w:r w:rsidRPr="5E890BEC" w:rsidR="10FF92F9">
        <w:rPr>
          <w:rFonts w:ascii="Aptos" w:hAnsi="Aptos" w:eastAsia="Aptos" w:cs="Aptos"/>
          <w:noProof w:val="0"/>
          <w:color w:val="1F1F1F"/>
          <w:sz w:val="24"/>
          <w:szCs w:val="24"/>
          <w:lang w:val="it-IT"/>
        </w:rPr>
        <w:t xml:space="preserve"> Smartphone con app certificata, smart card, token fisico, o un dispositivo capace di generare o ricevere un OTP (One-Time Password).</w:t>
      </w:r>
    </w:p>
    <w:p xmlns:wp14="http://schemas.microsoft.com/office/word/2010/wordml" w:rsidP="5E890BEC" wp14:paraId="67AE9CE9" wp14:textId="111A33F1">
      <w:pPr>
        <w:pStyle w:val="ListParagraph"/>
        <w:numPr>
          <w:ilvl w:val="0"/>
          <w:numId w:val="56"/>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Inerenza (Qualcosa che l'utente è):</w:t>
      </w:r>
      <w:r w:rsidRPr="5E890BEC" w:rsidR="10FF92F9">
        <w:rPr>
          <w:rFonts w:ascii="Aptos" w:hAnsi="Aptos" w:eastAsia="Aptos" w:cs="Aptos"/>
          <w:noProof w:val="0"/>
          <w:color w:val="1F1F1F"/>
          <w:sz w:val="24"/>
          <w:szCs w:val="24"/>
          <w:lang w:val="it-IT"/>
        </w:rPr>
        <w:t xml:space="preserve"> Caratteristiche biometriche come impronta digitale, riconoscimento facciale, scansione dell'iride, riconoscimento vocale o anche biometria comportamentale (ritmo di digitazione sulla tastiera).</w:t>
      </w:r>
    </w:p>
    <w:p xmlns:wp14="http://schemas.microsoft.com/office/word/2010/wordml" w:rsidP="5E890BEC" wp14:paraId="48688224" wp14:textId="08C2070F">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Perché l'autenticazione sia valida ai sensi delle RTS dell'EBA, i due fattori devono essere indipendenti: la compromissione di uno non deve pregiudicare l'affidabilità dell'altro. Inoltre, per i pagamenti remoti, è richiesto il </w:t>
      </w:r>
      <w:r w:rsidRPr="5E890BEC" w:rsidR="10FF92F9">
        <w:rPr>
          <w:rFonts w:ascii="Aptos" w:hAnsi="Aptos" w:eastAsia="Aptos" w:cs="Aptos"/>
          <w:b w:val="1"/>
          <w:bCs w:val="1"/>
          <w:noProof w:val="0"/>
          <w:color w:val="1F1F1F"/>
          <w:sz w:val="24"/>
          <w:szCs w:val="24"/>
          <w:lang w:val="it-IT"/>
        </w:rPr>
        <w:t>collegamento dinamico (</w:t>
      </w:r>
      <w:r w:rsidRPr="5E890BEC" w:rsidR="10FF92F9">
        <w:rPr>
          <w:rFonts w:ascii="Aptos" w:hAnsi="Aptos" w:eastAsia="Aptos" w:cs="Aptos"/>
          <w:b w:val="1"/>
          <w:bCs w:val="1"/>
          <w:noProof w:val="0"/>
          <w:color w:val="1F1F1F"/>
          <w:sz w:val="24"/>
          <w:szCs w:val="24"/>
          <w:lang w:val="it-IT"/>
        </w:rPr>
        <w:t>dynamic</w:t>
      </w:r>
      <w:r w:rsidRPr="5E890BEC" w:rsidR="10FF92F9">
        <w:rPr>
          <w:rFonts w:ascii="Aptos" w:hAnsi="Aptos" w:eastAsia="Aptos" w:cs="Aptos"/>
          <w:b w:val="1"/>
          <w:bCs w:val="1"/>
          <w:noProof w:val="0"/>
          <w:color w:val="1F1F1F"/>
          <w:sz w:val="24"/>
          <w:szCs w:val="24"/>
          <w:lang w:val="it-IT"/>
        </w:rPr>
        <w:t xml:space="preserve"> linking)</w:t>
      </w:r>
      <w:r w:rsidRPr="5E890BEC" w:rsidR="10FF92F9">
        <w:rPr>
          <w:rFonts w:ascii="Aptos" w:hAnsi="Aptos" w:eastAsia="Aptos" w:cs="Aptos"/>
          <w:noProof w:val="0"/>
          <w:color w:val="1F1F1F"/>
          <w:sz w:val="24"/>
          <w:szCs w:val="24"/>
          <w:lang w:val="it-IT"/>
        </w:rPr>
        <w:t>: il codice di autenticazione deve essere univocamente legato all'importo della transazione e al beneficiario specifico, impedendo attacchi di tipo "man-in-the-middle" in cui l'aggressore modifica i dettagli del pagamento dopo l'autorizzazione dell'utente.</w:t>
      </w:r>
    </w:p>
    <w:p xmlns:wp14="http://schemas.microsoft.com/office/word/2010/wordml" w:rsidP="5E890BEC" wp14:paraId="7A12B929" wp14:textId="0DC5181C">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6.2 Esenzioni dalla SCA e Analisi del Rischio (TRA)</w:t>
      </w:r>
    </w:p>
    <w:p xmlns:wp14="http://schemas.microsoft.com/office/word/2010/wordml" w:rsidP="5E890BEC" wp14:paraId="33D81867" wp14:textId="4E8C3AAC">
      <w:pPr>
        <w:bidi w:val="0"/>
        <w:spacing w:before="0" w:beforeAutospacing="off" w:after="120" w:afterAutospacing="off"/>
        <w:jc w:val="both"/>
      </w:pPr>
      <w:r w:rsidRPr="5E890BEC" w:rsidR="10FF92F9">
        <w:rPr>
          <w:rFonts w:ascii="Aptos" w:hAnsi="Aptos" w:eastAsia="Aptos" w:cs="Aptos"/>
          <w:noProof w:val="0"/>
          <w:color w:val="1F1F1F"/>
          <w:sz w:val="24"/>
          <w:szCs w:val="24"/>
          <w:lang w:val="it-IT"/>
        </w:rPr>
        <w:t xml:space="preserve">Consapevole della necessità di non creare attriti eccessivi nell'esperienza d'uso (user </w:t>
      </w:r>
      <w:r w:rsidRPr="5E890BEC" w:rsidR="10FF92F9">
        <w:rPr>
          <w:rFonts w:ascii="Aptos" w:hAnsi="Aptos" w:eastAsia="Aptos" w:cs="Aptos"/>
          <w:noProof w:val="0"/>
          <w:color w:val="1F1F1F"/>
          <w:sz w:val="24"/>
          <w:szCs w:val="24"/>
          <w:lang w:val="it-IT"/>
        </w:rPr>
        <w:t>experience</w:t>
      </w:r>
      <w:r w:rsidRPr="5E890BEC" w:rsidR="10FF92F9">
        <w:rPr>
          <w:rFonts w:ascii="Aptos" w:hAnsi="Aptos" w:eastAsia="Aptos" w:cs="Aptos"/>
          <w:noProof w:val="0"/>
          <w:color w:val="1F1F1F"/>
          <w:sz w:val="24"/>
          <w:szCs w:val="24"/>
          <w:lang w:val="it-IT"/>
        </w:rPr>
        <w:t>), la PSD2 prevede deroghe all'applicazione della SCA per scenari a basso rischio.</w:t>
      </w:r>
    </w:p>
    <w:p xmlns:wp14="http://schemas.microsoft.com/office/word/2010/wordml" w:rsidP="5E890BEC" wp14:paraId="46C4FCFD" wp14:textId="0C679EA3">
      <w:pPr>
        <w:pStyle w:val="ListParagraph"/>
        <w:numPr>
          <w:ilvl w:val="0"/>
          <w:numId w:val="57"/>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Pagamenti di basso valore:</w:t>
      </w:r>
      <w:r w:rsidRPr="5E890BEC" w:rsidR="10FF92F9">
        <w:rPr>
          <w:rFonts w:ascii="Aptos" w:hAnsi="Aptos" w:eastAsia="Aptos" w:cs="Aptos"/>
          <w:noProof w:val="0"/>
          <w:color w:val="1F1F1F"/>
          <w:sz w:val="24"/>
          <w:szCs w:val="24"/>
          <w:lang w:val="it-IT"/>
        </w:rPr>
        <w:t xml:space="preserve"> Transazioni online sotto i 30 euro, fino a un massimo cumulativo di 100 euro o 5 transazioni consecutive senza SCA.</w:t>
      </w:r>
    </w:p>
    <w:p xmlns:wp14="http://schemas.microsoft.com/office/word/2010/wordml" w:rsidP="5E890BEC" wp14:paraId="0E649F49" wp14:textId="5CE2A2C7">
      <w:pPr>
        <w:pStyle w:val="ListParagraph"/>
        <w:numPr>
          <w:ilvl w:val="0"/>
          <w:numId w:val="57"/>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Transazioni Ricorrenti:</w:t>
      </w:r>
      <w:r w:rsidRPr="5E890BEC" w:rsidR="10FF92F9">
        <w:rPr>
          <w:rFonts w:ascii="Aptos" w:hAnsi="Aptos" w:eastAsia="Aptos" w:cs="Aptos"/>
          <w:noProof w:val="0"/>
          <w:color w:val="1F1F1F"/>
          <w:sz w:val="24"/>
          <w:szCs w:val="24"/>
          <w:lang w:val="it-IT"/>
        </w:rPr>
        <w:t xml:space="preserve"> Abbonamenti (es. Netflix) dove solo la prima transazione richiede SCA, mentre le successive sono considerate Merchant </w:t>
      </w:r>
      <w:r w:rsidRPr="5E890BEC" w:rsidR="10FF92F9">
        <w:rPr>
          <w:rFonts w:ascii="Aptos" w:hAnsi="Aptos" w:eastAsia="Aptos" w:cs="Aptos"/>
          <w:noProof w:val="0"/>
          <w:color w:val="1F1F1F"/>
          <w:sz w:val="24"/>
          <w:szCs w:val="24"/>
          <w:lang w:val="it-IT"/>
        </w:rPr>
        <w:t>Initiated</w:t>
      </w:r>
      <w:r w:rsidRPr="5E890BEC" w:rsidR="10FF92F9">
        <w:rPr>
          <w:rFonts w:ascii="Aptos" w:hAnsi="Aptos" w:eastAsia="Aptos" w:cs="Aptos"/>
          <w:noProof w:val="0"/>
          <w:color w:val="1F1F1F"/>
          <w:sz w:val="24"/>
          <w:szCs w:val="24"/>
          <w:lang w:val="it-IT"/>
        </w:rPr>
        <w:t xml:space="preserve"> </w:t>
      </w:r>
      <w:r w:rsidRPr="5E890BEC" w:rsidR="10FF92F9">
        <w:rPr>
          <w:rFonts w:ascii="Aptos" w:hAnsi="Aptos" w:eastAsia="Aptos" w:cs="Aptos"/>
          <w:noProof w:val="0"/>
          <w:color w:val="1F1F1F"/>
          <w:sz w:val="24"/>
          <w:szCs w:val="24"/>
          <w:lang w:val="it-IT"/>
        </w:rPr>
        <w:t>Transactions</w:t>
      </w:r>
      <w:r w:rsidRPr="5E890BEC" w:rsidR="10FF92F9">
        <w:rPr>
          <w:rFonts w:ascii="Aptos" w:hAnsi="Aptos" w:eastAsia="Aptos" w:cs="Aptos"/>
          <w:noProof w:val="0"/>
          <w:color w:val="1F1F1F"/>
          <w:sz w:val="24"/>
          <w:szCs w:val="24"/>
          <w:lang w:val="it-IT"/>
        </w:rPr>
        <w:t xml:space="preserve"> (MIT) e sono esenti se l'importo è fisso.</w:t>
      </w:r>
    </w:p>
    <w:p xmlns:wp14="http://schemas.microsoft.com/office/word/2010/wordml" w:rsidP="5E890BEC" wp14:paraId="446FD39A" wp14:textId="699512A3">
      <w:pPr>
        <w:pStyle w:val="ListParagraph"/>
        <w:numPr>
          <w:ilvl w:val="0"/>
          <w:numId w:val="57"/>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Whitelisting</w:t>
      </w:r>
      <w:r w:rsidRPr="5E890BEC" w:rsidR="10FF92F9">
        <w:rPr>
          <w:rFonts w:ascii="Aptos" w:hAnsi="Aptos" w:eastAsia="Aptos" w:cs="Aptos"/>
          <w:b w:val="1"/>
          <w:bCs w:val="1"/>
          <w:noProof w:val="0"/>
          <w:color w:val="1F1F1F"/>
          <w:sz w:val="24"/>
          <w:szCs w:val="24"/>
          <w:lang w:val="it-IT"/>
        </w:rPr>
        <w:t xml:space="preserve"> (Beneficiari Fidati):</w:t>
      </w:r>
      <w:r w:rsidRPr="5E890BEC" w:rsidR="10FF92F9">
        <w:rPr>
          <w:rFonts w:ascii="Aptos" w:hAnsi="Aptos" w:eastAsia="Aptos" w:cs="Aptos"/>
          <w:noProof w:val="0"/>
          <w:color w:val="1F1F1F"/>
          <w:sz w:val="24"/>
          <w:szCs w:val="24"/>
          <w:lang w:val="it-IT"/>
        </w:rPr>
        <w:t xml:space="preserve"> L'utente può inserire un esercente in una "lista bianca" presso la propria banca per evitare la SCA negli acquisti successivi.</w:t>
      </w:r>
    </w:p>
    <w:p xmlns:wp14="http://schemas.microsoft.com/office/word/2010/wordml" w:rsidP="5E890BEC" wp14:paraId="28E047D2" wp14:textId="60CC23B9">
      <w:pPr>
        <w:pStyle w:val="ListParagraph"/>
        <w:numPr>
          <w:ilvl w:val="0"/>
          <w:numId w:val="57"/>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Transaction</w:t>
      </w:r>
      <w:r w:rsidRPr="5E890BEC" w:rsidR="10FF92F9">
        <w:rPr>
          <w:rFonts w:ascii="Aptos" w:hAnsi="Aptos" w:eastAsia="Aptos" w:cs="Aptos"/>
          <w:b w:val="1"/>
          <w:bCs w:val="1"/>
          <w:noProof w:val="0"/>
          <w:color w:val="1F1F1F"/>
          <w:sz w:val="24"/>
          <w:szCs w:val="24"/>
          <w:lang w:val="it-IT"/>
        </w:rPr>
        <w:t xml:space="preserve"> Risk Analysis (TRA):</w:t>
      </w:r>
      <w:r w:rsidRPr="5E890BEC" w:rsidR="10FF92F9">
        <w:rPr>
          <w:rFonts w:ascii="Aptos" w:hAnsi="Aptos" w:eastAsia="Aptos" w:cs="Aptos"/>
          <w:noProof w:val="0"/>
          <w:color w:val="1F1F1F"/>
          <w:sz w:val="24"/>
          <w:szCs w:val="24"/>
          <w:lang w:val="it-IT"/>
        </w:rPr>
        <w:t xml:space="preserve"> Se il PSP ha tassi di frode estremamente bassi (es. &lt; 0,01% per transazioni fino a 500€), può richiedere un'esenzione basata sull'analisi in tempo reale della regolarità del comportamento dell'utente.</w:t>
      </w:r>
    </w:p>
    <w:p xmlns:wp14="http://schemas.microsoft.com/office/word/2010/wordml" w:rsidP="5E890BEC" wp14:paraId="61DF2C31" wp14:textId="54B0B894">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6.3 Statistiche sulle Frodi post-SCA</w:t>
      </w:r>
    </w:p>
    <w:p xmlns:wp14="http://schemas.microsoft.com/office/word/2010/wordml" w:rsidP="5E890BEC" wp14:paraId="171A0D63" wp14:textId="07F3D7FE">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I dati confermano l'efficacia della riforma. In Italia e nell'area SEE, i tassi di frode sono rimasti contenuti nonostante l'aumento massiccio dei volumi transati.</w:t>
      </w:r>
    </w:p>
    <w:tbl>
      <w:tblPr>
        <w:tblStyle w:val="TableNormal"/>
        <w:bidiVisual w:val="0"/>
        <w:tblW w:w="0" w:type="auto"/>
        <w:tblInd w:w="-660" w:type="dxa"/>
        <w:tblLook w:val="06A0" w:firstRow="1" w:lastRow="0" w:firstColumn="1" w:lastColumn="0" w:noHBand="1" w:noVBand="1"/>
      </w:tblPr>
      <w:tblGrid>
        <w:gridCol w:w="3534"/>
        <w:gridCol w:w="4370"/>
        <w:gridCol w:w="3210"/>
      </w:tblGrid>
      <w:tr w:rsidR="5E890BEC" w:rsidTr="5E890BEC" w14:paraId="3BD4EEF0">
        <w:trPr>
          <w:trHeight w:val="300"/>
        </w:trPr>
        <w:tc>
          <w:tcPr>
            <w:tcW w:w="35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6AE7D308" w14:textId="1EF772BB">
            <w:pPr>
              <w:bidi w:val="0"/>
              <w:spacing w:before="0" w:beforeAutospacing="off" w:after="0" w:afterAutospacing="off"/>
              <w:jc w:val="both"/>
            </w:pPr>
            <w:r w:rsidRPr="5E890BEC" w:rsidR="5E890BEC">
              <w:rPr>
                <w:b w:val="1"/>
                <w:bCs w:val="1"/>
                <w:color w:val="1F1F1F"/>
              </w:rPr>
              <w:t>Strumento di Pagamento</w:t>
            </w:r>
          </w:p>
        </w:tc>
        <w:tc>
          <w:tcPr>
            <w:tcW w:w="437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220261E1" w14:textId="0FF62643">
            <w:pPr>
              <w:bidi w:val="0"/>
              <w:spacing w:before="0" w:beforeAutospacing="off" w:after="0" w:afterAutospacing="off"/>
              <w:jc w:val="both"/>
            </w:pPr>
            <w:r w:rsidRPr="5E890BEC" w:rsidR="5E890BEC">
              <w:rPr>
                <w:b w:val="1"/>
                <w:bCs w:val="1"/>
                <w:color w:val="1F1F1F"/>
              </w:rPr>
              <w:t>Tasso di Frode (Valore) - Italia H1 2025</w:t>
            </w:r>
          </w:p>
        </w:tc>
        <w:tc>
          <w:tcPr>
            <w:tcW w:w="3210" w:type="dxa"/>
            <w:tcBorders>
              <w:top w:val="single" w:sz="6"/>
              <w:left w:val="single" w:sz="6"/>
              <w:bottom w:val="single" w:sz="6"/>
              <w:right w:val="single" w:sz="6"/>
            </w:tcBorders>
            <w:tcMar>
              <w:top w:w="240" w:type="dxa"/>
              <w:bottom w:w="240" w:type="dxa"/>
            </w:tcMar>
            <w:vAlign w:val="center"/>
          </w:tcPr>
          <w:p w:rsidR="5E890BEC" w:rsidP="5E890BEC" w:rsidRDefault="5E890BEC" w14:paraId="606173C9" w14:textId="22CE7411">
            <w:pPr>
              <w:bidi w:val="0"/>
              <w:spacing w:before="0" w:beforeAutospacing="off" w:after="0" w:afterAutospacing="off"/>
              <w:jc w:val="both"/>
            </w:pPr>
            <w:r w:rsidRPr="5E890BEC" w:rsidR="5E890BEC">
              <w:rPr>
                <w:b w:val="1"/>
                <w:bCs w:val="1"/>
                <w:color w:val="1F1F1F"/>
              </w:rPr>
              <w:t>Tendenza rispetto a H1 2024</w:t>
            </w:r>
          </w:p>
        </w:tc>
      </w:tr>
      <w:tr w:rsidR="5E890BEC" w:rsidTr="5E890BEC" w14:paraId="177A643A">
        <w:trPr>
          <w:trHeight w:val="300"/>
        </w:trPr>
        <w:tc>
          <w:tcPr>
            <w:tcW w:w="35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FD40413" w14:textId="28620E9F">
            <w:pPr>
              <w:bidi w:val="0"/>
              <w:spacing w:before="0" w:beforeAutospacing="off" w:after="0" w:afterAutospacing="off"/>
              <w:jc w:val="both"/>
            </w:pPr>
            <w:r w:rsidRPr="5E890BEC" w:rsidR="5E890BEC">
              <w:rPr>
                <w:b w:val="1"/>
                <w:bCs w:val="1"/>
                <w:color w:val="1F1F1F"/>
              </w:rPr>
              <w:t>Carte di Pagamento</w:t>
            </w:r>
          </w:p>
        </w:tc>
        <w:tc>
          <w:tcPr>
            <w:tcW w:w="437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1917947C" w14:textId="41E9EF8D">
            <w:pPr>
              <w:bidi w:val="0"/>
              <w:spacing w:before="0" w:beforeAutospacing="off" w:after="0" w:afterAutospacing="off"/>
              <w:jc w:val="both"/>
            </w:pPr>
            <w:r w:rsidRPr="5E890BEC" w:rsidR="5E890BEC">
              <w:rPr>
                <w:color w:val="1F1F1F"/>
              </w:rPr>
              <w:t>0,018%</w:t>
            </w:r>
          </w:p>
        </w:tc>
        <w:tc>
          <w:tcPr>
            <w:tcW w:w="3210" w:type="dxa"/>
            <w:tcBorders>
              <w:top w:val="single" w:sz="6"/>
              <w:left w:val="single" w:sz="6"/>
              <w:bottom w:val="single" w:sz="6"/>
              <w:right w:val="single" w:sz="6"/>
            </w:tcBorders>
            <w:tcMar>
              <w:top w:w="240" w:type="dxa"/>
              <w:bottom w:w="240" w:type="dxa"/>
            </w:tcMar>
            <w:vAlign w:val="center"/>
          </w:tcPr>
          <w:p w:rsidR="5E890BEC" w:rsidP="5E890BEC" w:rsidRDefault="5E890BEC" w14:paraId="1420BA26" w14:textId="70225E6E">
            <w:pPr>
              <w:bidi w:val="0"/>
              <w:spacing w:before="0" w:beforeAutospacing="off" w:after="0" w:afterAutospacing="off"/>
              <w:jc w:val="both"/>
            </w:pPr>
            <w:r w:rsidRPr="5E890BEC" w:rsidR="5E890BEC">
              <w:rPr>
                <w:color w:val="1F1F1F"/>
              </w:rPr>
              <w:t>Stabile</w:t>
            </w:r>
          </w:p>
        </w:tc>
      </w:tr>
      <w:tr w:rsidR="5E890BEC" w:rsidTr="5E890BEC" w14:paraId="5269EEEC">
        <w:trPr>
          <w:trHeight w:val="300"/>
        </w:trPr>
        <w:tc>
          <w:tcPr>
            <w:tcW w:w="35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2AE3EC40" w14:textId="43C0F6E2">
            <w:pPr>
              <w:bidi w:val="0"/>
              <w:spacing w:before="0" w:beforeAutospacing="off" w:after="0" w:afterAutospacing="off"/>
              <w:jc w:val="both"/>
            </w:pPr>
            <w:r w:rsidRPr="5E890BEC" w:rsidR="5E890BEC">
              <w:rPr>
                <w:b w:val="1"/>
                <w:bCs w:val="1"/>
                <w:color w:val="1F1F1F"/>
              </w:rPr>
              <w:t>Bonifici SEPA Standard</w:t>
            </w:r>
          </w:p>
        </w:tc>
        <w:tc>
          <w:tcPr>
            <w:tcW w:w="437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2803547E" w14:textId="2D637850">
            <w:pPr>
              <w:bidi w:val="0"/>
              <w:spacing w:before="0" w:beforeAutospacing="off" w:after="0" w:afterAutospacing="off"/>
              <w:jc w:val="both"/>
            </w:pPr>
            <w:r w:rsidRPr="5E890BEC" w:rsidR="5E890BEC">
              <w:rPr>
                <w:color w:val="1F1F1F"/>
              </w:rPr>
              <w:t>0,002%</w:t>
            </w:r>
          </w:p>
        </w:tc>
        <w:tc>
          <w:tcPr>
            <w:tcW w:w="3210" w:type="dxa"/>
            <w:tcBorders>
              <w:top w:val="single" w:sz="6"/>
              <w:left w:val="single" w:sz="6"/>
              <w:bottom w:val="single" w:sz="6"/>
              <w:right w:val="single" w:sz="6"/>
            </w:tcBorders>
            <w:tcMar>
              <w:top w:w="240" w:type="dxa"/>
              <w:bottom w:w="240" w:type="dxa"/>
            </w:tcMar>
            <w:vAlign w:val="center"/>
          </w:tcPr>
          <w:p w:rsidR="5E890BEC" w:rsidP="5E890BEC" w:rsidRDefault="5E890BEC" w14:paraId="47DADB64" w14:textId="6FE245BC">
            <w:pPr>
              <w:bidi w:val="0"/>
              <w:spacing w:before="0" w:beforeAutospacing="off" w:after="0" w:afterAutospacing="off"/>
              <w:jc w:val="both"/>
            </w:pPr>
            <w:r w:rsidRPr="5E890BEC" w:rsidR="5E890BEC">
              <w:rPr>
                <w:color w:val="1F1F1F"/>
              </w:rPr>
              <w:t>Molto Bassa / Stabile</w:t>
            </w:r>
          </w:p>
        </w:tc>
      </w:tr>
      <w:tr w:rsidR="5E890BEC" w:rsidTr="5E890BEC" w14:paraId="115CCD9B">
        <w:trPr>
          <w:trHeight w:val="300"/>
        </w:trPr>
        <w:tc>
          <w:tcPr>
            <w:tcW w:w="35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79EF5E23" w14:textId="706CA3DD">
            <w:pPr>
              <w:bidi w:val="0"/>
              <w:spacing w:before="0" w:beforeAutospacing="off" w:after="0" w:afterAutospacing="off"/>
              <w:jc w:val="both"/>
            </w:pPr>
            <w:r w:rsidRPr="5E890BEC" w:rsidR="5E890BEC">
              <w:rPr>
                <w:b w:val="1"/>
                <w:bCs w:val="1"/>
                <w:color w:val="1F1F1F"/>
              </w:rPr>
              <w:t>Bonifici SEPA Istantanei</w:t>
            </w:r>
          </w:p>
        </w:tc>
        <w:tc>
          <w:tcPr>
            <w:tcW w:w="437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4B6E497A" w14:textId="03F4723F">
            <w:pPr>
              <w:bidi w:val="0"/>
              <w:spacing w:before="0" w:beforeAutospacing="off" w:after="0" w:afterAutospacing="off"/>
              <w:jc w:val="both"/>
            </w:pPr>
            <w:r w:rsidRPr="5E890BEC" w:rsidR="5E890BEC">
              <w:rPr>
                <w:color w:val="1F1F1F"/>
              </w:rPr>
              <w:t>0,043%</w:t>
            </w:r>
          </w:p>
        </w:tc>
        <w:tc>
          <w:tcPr>
            <w:tcW w:w="3210" w:type="dxa"/>
            <w:tcBorders>
              <w:top w:val="single" w:sz="6"/>
              <w:left w:val="single" w:sz="6"/>
              <w:bottom w:val="single" w:sz="6"/>
              <w:right w:val="single" w:sz="6"/>
            </w:tcBorders>
            <w:tcMar>
              <w:top w:w="240" w:type="dxa"/>
              <w:bottom w:w="240" w:type="dxa"/>
            </w:tcMar>
            <w:vAlign w:val="center"/>
          </w:tcPr>
          <w:p w:rsidR="5E890BEC" w:rsidP="5E890BEC" w:rsidRDefault="5E890BEC" w14:paraId="58BE619E" w14:textId="0ACBA40B">
            <w:pPr>
              <w:bidi w:val="0"/>
              <w:spacing w:before="0" w:beforeAutospacing="off" w:after="0" w:afterAutospacing="off"/>
              <w:jc w:val="both"/>
            </w:pPr>
            <w:r w:rsidRPr="5E890BEC" w:rsidR="5E890BEC">
              <w:rPr>
                <w:color w:val="1F1F1F"/>
              </w:rPr>
              <w:t>In calo significativo</w:t>
            </w:r>
          </w:p>
        </w:tc>
      </w:tr>
      <w:tr w:rsidR="5E890BEC" w:rsidTr="5E890BEC" w14:paraId="64F138BC">
        <w:trPr>
          <w:trHeight w:val="300"/>
        </w:trPr>
        <w:tc>
          <w:tcPr>
            <w:tcW w:w="35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6871310" w14:textId="7A58F941">
            <w:pPr>
              <w:bidi w:val="0"/>
              <w:spacing w:before="0" w:beforeAutospacing="off" w:after="0" w:afterAutospacing="off"/>
              <w:jc w:val="both"/>
            </w:pPr>
            <w:r w:rsidRPr="5E890BEC" w:rsidR="5E890BEC">
              <w:rPr>
                <w:b w:val="1"/>
                <w:bCs w:val="1"/>
                <w:color w:val="1F1F1F"/>
              </w:rPr>
              <w:t>Moneta Elettronica (Prepagate)</w:t>
            </w:r>
          </w:p>
        </w:tc>
        <w:tc>
          <w:tcPr>
            <w:tcW w:w="437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77117367" w14:textId="455D1B43">
            <w:pPr>
              <w:bidi w:val="0"/>
              <w:spacing w:before="0" w:beforeAutospacing="off" w:after="0" w:afterAutospacing="off"/>
              <w:jc w:val="both"/>
            </w:pPr>
            <w:r w:rsidRPr="5E890BEC" w:rsidR="5E890BEC">
              <w:rPr>
                <w:color w:val="1F1F1F"/>
              </w:rPr>
              <w:t>0,031%</w:t>
            </w:r>
          </w:p>
        </w:tc>
        <w:tc>
          <w:tcPr>
            <w:tcW w:w="3210" w:type="dxa"/>
            <w:tcBorders>
              <w:top w:val="single" w:sz="6"/>
              <w:left w:val="single" w:sz="6"/>
              <w:bottom w:val="single" w:sz="6"/>
              <w:right w:val="single" w:sz="6"/>
            </w:tcBorders>
            <w:tcMar>
              <w:top w:w="240" w:type="dxa"/>
              <w:bottom w:w="240" w:type="dxa"/>
            </w:tcMar>
            <w:vAlign w:val="center"/>
          </w:tcPr>
          <w:p w:rsidR="5E890BEC" w:rsidP="5E890BEC" w:rsidRDefault="5E890BEC" w14:paraId="04EC942B" w14:textId="6E988CE1">
            <w:pPr>
              <w:bidi w:val="0"/>
              <w:spacing w:before="0" w:beforeAutospacing="off" w:after="0" w:afterAutospacing="off"/>
              <w:jc w:val="both"/>
            </w:pPr>
            <w:r w:rsidRPr="5E890BEC" w:rsidR="5E890BEC">
              <w:rPr>
                <w:color w:val="1F1F1F"/>
              </w:rPr>
              <w:t>In lieve aumento</w:t>
            </w:r>
          </w:p>
        </w:tc>
      </w:tr>
      <w:tr w:rsidR="5E890BEC" w:rsidTr="5E890BEC" w14:paraId="70853C3A">
        <w:trPr>
          <w:trHeight w:val="300"/>
        </w:trPr>
        <w:tc>
          <w:tcPr>
            <w:tcW w:w="3534"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619D9799" w14:textId="211D20CB">
            <w:pPr>
              <w:bidi w:val="0"/>
              <w:spacing w:before="0" w:beforeAutospacing="off" w:after="0" w:afterAutospacing="off"/>
              <w:jc w:val="both"/>
            </w:pPr>
            <w:r w:rsidRPr="5E890BEC" w:rsidR="5E890BEC">
              <w:rPr>
                <w:b w:val="1"/>
                <w:bCs w:val="1"/>
                <w:color w:val="1F1F1F"/>
              </w:rPr>
              <w:t>Prelievi ATM</w:t>
            </w:r>
          </w:p>
        </w:tc>
        <w:tc>
          <w:tcPr>
            <w:tcW w:w="4370"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939397E" w14:textId="310866A6">
            <w:pPr>
              <w:bidi w:val="0"/>
              <w:spacing w:before="0" w:beforeAutospacing="off" w:after="0" w:afterAutospacing="off"/>
              <w:jc w:val="both"/>
            </w:pPr>
            <w:r w:rsidRPr="5E890BEC" w:rsidR="5E890BEC">
              <w:rPr>
                <w:color w:val="1F1F1F"/>
              </w:rPr>
              <w:t>0,01%</w:t>
            </w:r>
          </w:p>
        </w:tc>
        <w:tc>
          <w:tcPr>
            <w:tcW w:w="3210" w:type="dxa"/>
            <w:tcBorders>
              <w:top w:val="single" w:sz="6"/>
              <w:left w:val="single" w:sz="6"/>
              <w:bottom w:val="single" w:sz="6"/>
              <w:right w:val="single" w:sz="6"/>
            </w:tcBorders>
            <w:tcMar>
              <w:top w:w="240" w:type="dxa"/>
              <w:bottom w:w="240" w:type="dxa"/>
            </w:tcMar>
            <w:vAlign w:val="center"/>
          </w:tcPr>
          <w:p w:rsidR="5E890BEC" w:rsidP="5E890BEC" w:rsidRDefault="5E890BEC" w14:paraId="63D64982" w14:textId="64437316">
            <w:pPr>
              <w:bidi w:val="0"/>
              <w:spacing w:before="0" w:beforeAutospacing="off" w:after="0" w:afterAutospacing="off"/>
              <w:jc w:val="both"/>
            </w:pPr>
            <w:r w:rsidRPr="5E890BEC" w:rsidR="5E890BEC">
              <w:rPr>
                <w:color w:val="1F1F1F"/>
              </w:rPr>
              <w:t>Stabile</w:t>
            </w:r>
          </w:p>
        </w:tc>
      </w:tr>
    </w:tbl>
    <w:p xmlns:wp14="http://schemas.microsoft.com/office/word/2010/wordml" w:rsidP="5E890BEC" wp14:paraId="256864CF" wp14:textId="07EAD3FF">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Tuttavia, si osserva un mutamento qualitativo delle frodi. Poiché superare tecnicamente l'SCA è difficile, i criminali si sono spostati verso la </w:t>
      </w:r>
      <w:r w:rsidRPr="5E890BEC" w:rsidR="10FF92F9">
        <w:rPr>
          <w:rFonts w:ascii="Aptos" w:hAnsi="Aptos" w:eastAsia="Aptos" w:cs="Aptos"/>
          <w:b w:val="1"/>
          <w:bCs w:val="1"/>
          <w:noProof w:val="0"/>
          <w:color w:val="1F1F1F"/>
          <w:sz w:val="24"/>
          <w:szCs w:val="24"/>
          <w:lang w:val="it-IT"/>
        </w:rPr>
        <w:t>manipolazione del pagatore (social engineering)</w:t>
      </w:r>
      <w:r w:rsidRPr="5E890BEC" w:rsidR="10FF92F9">
        <w:rPr>
          <w:rFonts w:ascii="Aptos" w:hAnsi="Aptos" w:eastAsia="Aptos" w:cs="Aptos"/>
          <w:noProof w:val="0"/>
          <w:color w:val="1F1F1F"/>
          <w:sz w:val="24"/>
          <w:szCs w:val="24"/>
          <w:lang w:val="it-IT"/>
        </w:rPr>
        <w:t>. Attraverso il "</w:t>
      </w:r>
      <w:r w:rsidRPr="5E890BEC" w:rsidR="10FF92F9">
        <w:rPr>
          <w:rFonts w:ascii="Aptos" w:hAnsi="Aptos" w:eastAsia="Aptos" w:cs="Aptos"/>
          <w:noProof w:val="0"/>
          <w:color w:val="1F1F1F"/>
          <w:sz w:val="24"/>
          <w:szCs w:val="24"/>
          <w:lang w:val="it-IT"/>
        </w:rPr>
        <w:t>vishing</w:t>
      </w:r>
      <w:r w:rsidRPr="5E890BEC" w:rsidR="10FF92F9">
        <w:rPr>
          <w:rFonts w:ascii="Aptos" w:hAnsi="Aptos" w:eastAsia="Aptos" w:cs="Aptos"/>
          <w:noProof w:val="0"/>
          <w:color w:val="1F1F1F"/>
          <w:sz w:val="24"/>
          <w:szCs w:val="24"/>
          <w:lang w:val="it-IT"/>
        </w:rPr>
        <w:t>" (telefonate ingannevoli) o lo "smishing", l'utente viene convinto a disporre egli stesso un pagamento verso un beneficiario fraudolento o a comunicare codici di autorizzazione. In questi casi, il sistema di sicurezza "funziona" correttamente, ma è la volontà del cliente a essere raggirata. Per questo motivo, le nuove strategie di difesa si concentrano sulla condivisione dei dati sulle frodi tra banche e sull'educazione finanziaria degli utenti.</w:t>
      </w:r>
    </w:p>
    <w:p xmlns:wp14="http://schemas.microsoft.com/office/word/2010/wordml" w:rsidP="5E890BEC" wp14:paraId="46042724" wp14:textId="5BA31ACA">
      <w:pPr>
        <w:pStyle w:val="Heading2"/>
        <w:bidi w:val="0"/>
        <w:spacing w:before="0" w:beforeAutospacing="off" w:after="120" w:afterAutospacing="off"/>
        <w:jc w:val="both"/>
      </w:pPr>
      <w:r w:rsidRPr="5E890BEC" w:rsidR="10FF92F9">
        <w:rPr>
          <w:rFonts w:ascii="Aptos" w:hAnsi="Aptos" w:eastAsia="Aptos" w:cs="Aptos"/>
          <w:b w:val="1"/>
          <w:bCs w:val="1"/>
          <w:noProof w:val="0"/>
          <w:color w:val="1F1F1F"/>
          <w:sz w:val="36"/>
          <w:szCs w:val="36"/>
          <w:lang w:val="it-IT"/>
        </w:rPr>
        <w:t>7. Analisi Sinottica: Pilastri e Comparazioni</w:t>
      </w:r>
    </w:p>
    <w:p xmlns:wp14="http://schemas.microsoft.com/office/word/2010/wordml" w:rsidP="5E890BEC" wp14:paraId="464F4320" wp14:textId="21ECCD87">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La comprensione profonda della PSD2 richiede una sintesi dei suoi pilastri fondamentali e della loro interazione con il quadro normativo generale.</w:t>
      </w:r>
    </w:p>
    <w:p xmlns:wp14="http://schemas.microsoft.com/office/word/2010/wordml" w:rsidP="5E890BEC" wp14:paraId="3D039D80" wp14:textId="07C657EA">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7.1 I Quattro Pilastri della PSD2</w:t>
      </w:r>
    </w:p>
    <w:p xmlns:wp14="http://schemas.microsoft.com/office/word/2010/wordml" w:rsidP="5E890BEC" wp14:paraId="253BE773" wp14:textId="2ADAAAFB">
      <w:pPr>
        <w:pStyle w:val="ListParagraph"/>
        <w:numPr>
          <w:ilvl w:val="0"/>
          <w:numId w:val="58"/>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Apertura del Mercato (Open Banking):</w:t>
      </w:r>
      <w:r w:rsidRPr="5E890BEC" w:rsidR="10FF92F9">
        <w:rPr>
          <w:rFonts w:ascii="Aptos" w:hAnsi="Aptos" w:eastAsia="Aptos" w:cs="Aptos"/>
          <w:noProof w:val="0"/>
          <w:color w:val="1F1F1F"/>
          <w:sz w:val="24"/>
          <w:szCs w:val="24"/>
          <w:lang w:val="it-IT"/>
        </w:rPr>
        <w:t xml:space="preserve"> Obbligo di condivisione dei dati tramite API, fine del monopolio bancario sui dati, regolamentazione dei TPP (AISP, PISP, CBPII).</w:t>
      </w:r>
    </w:p>
    <w:p xmlns:wp14="http://schemas.microsoft.com/office/word/2010/wordml" w:rsidP="5E890BEC" wp14:paraId="650DA417" wp14:textId="6210B04C">
      <w:pPr>
        <w:pStyle w:val="ListParagraph"/>
        <w:numPr>
          <w:ilvl w:val="0"/>
          <w:numId w:val="58"/>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Sicurezza Rafforzata:</w:t>
      </w:r>
      <w:r w:rsidRPr="5E890BEC" w:rsidR="10FF92F9">
        <w:rPr>
          <w:rFonts w:ascii="Aptos" w:hAnsi="Aptos" w:eastAsia="Aptos" w:cs="Aptos"/>
          <w:noProof w:val="0"/>
          <w:color w:val="1F1F1F"/>
          <w:sz w:val="24"/>
          <w:szCs w:val="24"/>
          <w:lang w:val="it-IT"/>
        </w:rPr>
        <w:t xml:space="preserve"> Implementazione obbligatoria della SCA, </w:t>
      </w:r>
      <w:r w:rsidRPr="5E890BEC" w:rsidR="10FF92F9">
        <w:rPr>
          <w:rFonts w:ascii="Aptos" w:hAnsi="Aptos" w:eastAsia="Aptos" w:cs="Aptos"/>
          <w:noProof w:val="0"/>
          <w:color w:val="1F1F1F"/>
          <w:sz w:val="24"/>
          <w:szCs w:val="24"/>
          <w:lang w:val="it-IT"/>
        </w:rPr>
        <w:t>dynamic</w:t>
      </w:r>
      <w:r w:rsidRPr="5E890BEC" w:rsidR="10FF92F9">
        <w:rPr>
          <w:rFonts w:ascii="Aptos" w:hAnsi="Aptos" w:eastAsia="Aptos" w:cs="Aptos"/>
          <w:noProof w:val="0"/>
          <w:color w:val="1F1F1F"/>
          <w:sz w:val="24"/>
          <w:szCs w:val="24"/>
          <w:lang w:val="it-IT"/>
        </w:rPr>
        <w:t xml:space="preserve"> linking per i pagamenti remoti, monitoraggio del rischio in tempo reale.</w:t>
      </w:r>
    </w:p>
    <w:p xmlns:wp14="http://schemas.microsoft.com/office/word/2010/wordml" w:rsidP="5E890BEC" wp14:paraId="22274106" wp14:textId="4EE20CE8">
      <w:pPr>
        <w:pStyle w:val="ListParagraph"/>
        <w:numPr>
          <w:ilvl w:val="0"/>
          <w:numId w:val="58"/>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Tutela del Consumatore:</w:t>
      </w:r>
      <w:r w:rsidRPr="5E890BEC" w:rsidR="10FF92F9">
        <w:rPr>
          <w:rFonts w:ascii="Aptos" w:hAnsi="Aptos" w:eastAsia="Aptos" w:cs="Aptos"/>
          <w:noProof w:val="0"/>
          <w:color w:val="1F1F1F"/>
          <w:sz w:val="24"/>
          <w:szCs w:val="24"/>
          <w:lang w:val="it-IT"/>
        </w:rPr>
        <w:t xml:space="preserve"> Riduzione della franchigia per frode, divieto di </w:t>
      </w:r>
      <w:r w:rsidRPr="5E890BEC" w:rsidR="10FF92F9">
        <w:rPr>
          <w:rFonts w:ascii="Aptos" w:hAnsi="Aptos" w:eastAsia="Aptos" w:cs="Aptos"/>
          <w:noProof w:val="0"/>
          <w:color w:val="1F1F1F"/>
          <w:sz w:val="24"/>
          <w:szCs w:val="24"/>
          <w:lang w:val="it-IT"/>
        </w:rPr>
        <w:t>surcharge</w:t>
      </w:r>
      <w:r w:rsidRPr="5E890BEC" w:rsidR="10FF92F9">
        <w:rPr>
          <w:rFonts w:ascii="Aptos" w:hAnsi="Aptos" w:eastAsia="Aptos" w:cs="Aptos"/>
          <w:noProof w:val="0"/>
          <w:color w:val="1F1F1F"/>
          <w:sz w:val="24"/>
          <w:szCs w:val="24"/>
          <w:lang w:val="it-IT"/>
        </w:rPr>
        <w:t xml:space="preserve">, trasparenza </w:t>
      </w:r>
      <w:r w:rsidRPr="5E890BEC" w:rsidR="10FF92F9">
        <w:rPr>
          <w:rFonts w:ascii="Aptos" w:hAnsi="Aptos" w:eastAsia="Aptos" w:cs="Aptos"/>
          <w:noProof w:val="0"/>
          <w:color w:val="1F1F1F"/>
          <w:sz w:val="24"/>
          <w:szCs w:val="24"/>
          <w:lang w:val="it-IT"/>
        </w:rPr>
        <w:t>pre</w:t>
      </w:r>
      <w:r w:rsidRPr="5E890BEC" w:rsidR="10FF92F9">
        <w:rPr>
          <w:rFonts w:ascii="Aptos" w:hAnsi="Aptos" w:eastAsia="Aptos" w:cs="Aptos"/>
          <w:noProof w:val="0"/>
          <w:color w:val="1F1F1F"/>
          <w:sz w:val="24"/>
          <w:szCs w:val="24"/>
          <w:lang w:val="it-IT"/>
        </w:rPr>
        <w:t>-contrattuale, diritti di rimborso certi.</w:t>
      </w:r>
    </w:p>
    <w:p xmlns:wp14="http://schemas.microsoft.com/office/word/2010/wordml" w:rsidP="5E890BEC" wp14:paraId="5E1FE783" wp14:textId="2989BB74">
      <w:pPr>
        <w:pStyle w:val="ListParagraph"/>
        <w:numPr>
          <w:ilvl w:val="0"/>
          <w:numId w:val="58"/>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Tracciabilità e Vigilanza:</w:t>
      </w:r>
      <w:r w:rsidRPr="5E890BEC" w:rsidR="10FF92F9">
        <w:rPr>
          <w:rFonts w:ascii="Aptos" w:hAnsi="Aptos" w:eastAsia="Aptos" w:cs="Aptos"/>
          <w:noProof w:val="0"/>
          <w:color w:val="1F1F1F"/>
          <w:sz w:val="24"/>
          <w:szCs w:val="24"/>
          <w:lang w:val="it-IT"/>
        </w:rPr>
        <w:t xml:space="preserve"> Obblighi di segnalazione delle transazioni sospette (AML), vigilanza diretta di Banca d'Italia e EBA, registro centralizzato dei prestatori autorizzati.</w:t>
      </w:r>
    </w:p>
    <w:p xmlns:wp14="http://schemas.microsoft.com/office/word/2010/wordml" w:rsidP="5E890BEC" wp14:paraId="14AC77A4" wp14:textId="20EDC447">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7.2 Sintesi Comparativa: PSD2 e GDPR</w:t>
      </w:r>
    </w:p>
    <w:p xmlns:wp14="http://schemas.microsoft.com/office/word/2010/wordml" w:rsidP="5E890BEC" wp14:paraId="20930FF3" wp14:textId="358828B8">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La coesistenza tra pagamenti e privacy può essere riassunta nella seguente tabella di sintesi delle competenze e delle sovrapposizioni.</w:t>
      </w:r>
    </w:p>
    <w:tbl>
      <w:tblPr>
        <w:tblStyle w:val="TableNormal"/>
        <w:bidiVisual w:val="0"/>
        <w:tblW w:w="0" w:type="auto"/>
        <w:tblLook w:val="06A0" w:firstRow="1" w:lastRow="0" w:firstColumn="1" w:lastColumn="0" w:noHBand="1" w:noVBand="1"/>
      </w:tblPr>
      <w:tblGrid>
        <w:gridCol w:w="1325"/>
        <w:gridCol w:w="5018"/>
        <w:gridCol w:w="2672"/>
      </w:tblGrid>
      <w:tr w:rsidR="5E890BEC" w:rsidTr="5E890BEC" w14:paraId="4D9103DE">
        <w:trPr>
          <w:trHeight w:val="300"/>
        </w:trPr>
        <w:tc>
          <w:tcPr>
            <w:tcW w:w="132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2667ACE3" w14:textId="4A10FB8B">
            <w:pPr>
              <w:bidi w:val="0"/>
              <w:spacing w:before="0" w:beforeAutospacing="off" w:after="0" w:afterAutospacing="off"/>
              <w:jc w:val="both"/>
            </w:pPr>
            <w:r w:rsidRPr="5E890BEC" w:rsidR="5E890BEC">
              <w:rPr>
                <w:b w:val="1"/>
                <w:bCs w:val="1"/>
                <w:color w:val="1F1F1F"/>
              </w:rPr>
              <w:t>Dimensione</w:t>
            </w:r>
          </w:p>
        </w:tc>
        <w:tc>
          <w:tcPr>
            <w:tcW w:w="5018"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4F9CBB4D" w14:textId="15905E1C">
            <w:pPr>
              <w:bidi w:val="0"/>
              <w:spacing w:before="0" w:beforeAutospacing="off" w:after="0" w:afterAutospacing="off"/>
              <w:jc w:val="both"/>
            </w:pPr>
            <w:r w:rsidRPr="5E890BEC" w:rsidR="5E890BEC">
              <w:rPr>
                <w:b w:val="1"/>
                <w:bCs w:val="1"/>
                <w:color w:val="1F1F1F"/>
              </w:rPr>
              <w:t>PSD2</w:t>
            </w:r>
          </w:p>
        </w:tc>
        <w:tc>
          <w:tcPr>
            <w:tcW w:w="2672" w:type="dxa"/>
            <w:tcBorders>
              <w:top w:val="single" w:sz="6"/>
              <w:left w:val="single" w:sz="6"/>
              <w:bottom w:val="single" w:sz="6"/>
              <w:right w:val="single" w:sz="6"/>
            </w:tcBorders>
            <w:tcMar>
              <w:top w:w="240" w:type="dxa"/>
              <w:bottom w:w="240" w:type="dxa"/>
            </w:tcMar>
            <w:vAlign w:val="center"/>
          </w:tcPr>
          <w:p w:rsidR="5E890BEC" w:rsidP="5E890BEC" w:rsidRDefault="5E890BEC" w14:paraId="587DFD21" w14:textId="59A27F3C">
            <w:pPr>
              <w:bidi w:val="0"/>
              <w:spacing w:before="0" w:beforeAutospacing="off" w:after="0" w:afterAutospacing="off"/>
              <w:jc w:val="both"/>
            </w:pPr>
            <w:r w:rsidRPr="5E890BEC" w:rsidR="5E890BEC">
              <w:rPr>
                <w:b w:val="1"/>
                <w:bCs w:val="1"/>
                <w:color w:val="1F1F1F"/>
              </w:rPr>
              <w:t>GDPR</w:t>
            </w:r>
          </w:p>
        </w:tc>
      </w:tr>
      <w:tr w:rsidR="5E890BEC" w:rsidTr="5E890BEC" w14:paraId="4F43FF89">
        <w:trPr>
          <w:trHeight w:val="300"/>
        </w:trPr>
        <w:tc>
          <w:tcPr>
            <w:tcW w:w="132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2703CBC" w14:textId="5543654C">
            <w:pPr>
              <w:bidi w:val="0"/>
              <w:spacing w:before="0" w:beforeAutospacing="off" w:after="0" w:afterAutospacing="off"/>
              <w:jc w:val="both"/>
            </w:pPr>
            <w:r w:rsidRPr="5E890BEC" w:rsidR="5E890BEC">
              <w:rPr>
                <w:b w:val="1"/>
                <w:bCs w:val="1"/>
                <w:color w:val="1F1F1F"/>
              </w:rPr>
              <w:t>Obiettivo Principale</w:t>
            </w:r>
          </w:p>
        </w:tc>
        <w:tc>
          <w:tcPr>
            <w:tcW w:w="5018"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7C9E6423" w14:textId="0FC95549">
            <w:pPr>
              <w:bidi w:val="0"/>
              <w:spacing w:before="0" w:beforeAutospacing="off" w:after="0" w:afterAutospacing="off"/>
              <w:jc w:val="both"/>
            </w:pPr>
            <w:r w:rsidRPr="5E890BEC" w:rsidR="5E890BEC">
              <w:rPr>
                <w:color w:val="1F1F1F"/>
              </w:rPr>
              <w:t>Efficienza dei pagamenti e concorrenza</w:t>
            </w:r>
          </w:p>
        </w:tc>
        <w:tc>
          <w:tcPr>
            <w:tcW w:w="2672" w:type="dxa"/>
            <w:tcBorders>
              <w:top w:val="single" w:sz="6"/>
              <w:left w:val="single" w:sz="6"/>
              <w:bottom w:val="single" w:sz="6"/>
              <w:right w:val="single" w:sz="6"/>
            </w:tcBorders>
            <w:tcMar>
              <w:top w:w="240" w:type="dxa"/>
              <w:bottom w:w="240" w:type="dxa"/>
            </w:tcMar>
            <w:vAlign w:val="center"/>
          </w:tcPr>
          <w:p w:rsidR="5E890BEC" w:rsidP="5E890BEC" w:rsidRDefault="5E890BEC" w14:paraId="7C0BA5C1" w14:textId="287808ED">
            <w:pPr>
              <w:bidi w:val="0"/>
              <w:spacing w:before="0" w:beforeAutospacing="off" w:after="0" w:afterAutospacing="off"/>
              <w:jc w:val="both"/>
            </w:pPr>
            <w:r w:rsidRPr="5E890BEC" w:rsidR="5E890BEC">
              <w:rPr>
                <w:color w:val="1F1F1F"/>
              </w:rPr>
              <w:t>Protezione dei diritti e libertà fondamentali</w:t>
            </w:r>
          </w:p>
        </w:tc>
      </w:tr>
      <w:tr w:rsidR="5E890BEC" w:rsidTr="5E890BEC" w14:paraId="48135CAF">
        <w:trPr>
          <w:trHeight w:val="300"/>
        </w:trPr>
        <w:tc>
          <w:tcPr>
            <w:tcW w:w="132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11F67DAD" w14:textId="38FDB133">
            <w:pPr>
              <w:bidi w:val="0"/>
              <w:spacing w:before="0" w:beforeAutospacing="off" w:after="0" w:afterAutospacing="off"/>
              <w:jc w:val="both"/>
            </w:pPr>
            <w:r w:rsidRPr="5E890BEC" w:rsidR="5E890BEC">
              <w:rPr>
                <w:b w:val="1"/>
                <w:bCs w:val="1"/>
                <w:color w:val="1F1F1F"/>
              </w:rPr>
              <w:t>Base Legale Tipica</w:t>
            </w:r>
          </w:p>
        </w:tc>
        <w:tc>
          <w:tcPr>
            <w:tcW w:w="5018"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5718DB17" w14:textId="43B5C325">
            <w:pPr>
              <w:bidi w:val="0"/>
              <w:spacing w:before="0" w:beforeAutospacing="off" w:after="0" w:afterAutospacing="off"/>
              <w:jc w:val="both"/>
            </w:pPr>
            <w:r w:rsidRPr="5E890BEC" w:rsidR="5E890BEC">
              <w:rPr>
                <w:color w:val="1F1F1F"/>
              </w:rPr>
              <w:t>Contratto di servizio di pagamento (XS2A)</w:t>
            </w:r>
          </w:p>
        </w:tc>
        <w:tc>
          <w:tcPr>
            <w:tcW w:w="2672" w:type="dxa"/>
            <w:tcBorders>
              <w:top w:val="single" w:sz="6"/>
              <w:left w:val="single" w:sz="6"/>
              <w:bottom w:val="single" w:sz="6"/>
              <w:right w:val="single" w:sz="6"/>
            </w:tcBorders>
            <w:tcMar>
              <w:top w:w="240" w:type="dxa"/>
              <w:bottom w:w="240" w:type="dxa"/>
            </w:tcMar>
            <w:vAlign w:val="center"/>
          </w:tcPr>
          <w:p w:rsidR="5E890BEC" w:rsidP="5E890BEC" w:rsidRDefault="5E890BEC" w14:paraId="7EC295A2" w14:textId="33A4056D">
            <w:pPr>
              <w:bidi w:val="0"/>
              <w:spacing w:before="0" w:beforeAutospacing="off" w:after="0" w:afterAutospacing="off"/>
              <w:jc w:val="both"/>
            </w:pPr>
            <w:r w:rsidRPr="5E890BEC" w:rsidR="5E890BEC">
              <w:rPr>
                <w:color w:val="1F1F1F"/>
              </w:rPr>
              <w:t>Necessità contrattuale (6.1.b) o Consenso (6.1.a)</w:t>
            </w:r>
          </w:p>
        </w:tc>
      </w:tr>
      <w:tr w:rsidR="5E890BEC" w:rsidTr="5E890BEC" w14:paraId="733CC8EC">
        <w:trPr>
          <w:trHeight w:val="300"/>
        </w:trPr>
        <w:tc>
          <w:tcPr>
            <w:tcW w:w="132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45A28CBE" w14:textId="02C43D59">
            <w:pPr>
              <w:bidi w:val="0"/>
              <w:spacing w:before="0" w:beforeAutospacing="off" w:after="0" w:afterAutospacing="off"/>
              <w:jc w:val="both"/>
            </w:pPr>
            <w:r w:rsidRPr="5E890BEC" w:rsidR="5E890BEC">
              <w:rPr>
                <w:b w:val="1"/>
                <w:bCs w:val="1"/>
                <w:color w:val="1F1F1F"/>
              </w:rPr>
              <w:t>Dati Focus</w:t>
            </w:r>
          </w:p>
        </w:tc>
        <w:tc>
          <w:tcPr>
            <w:tcW w:w="5018"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ED5F2B6" w14:textId="4A290381">
            <w:pPr>
              <w:bidi w:val="0"/>
              <w:spacing w:before="0" w:beforeAutospacing="off" w:after="0" w:afterAutospacing="off"/>
              <w:jc w:val="both"/>
            </w:pPr>
            <w:r w:rsidRPr="5E890BEC" w:rsidR="5E890BEC">
              <w:rPr>
                <w:color w:val="1F1F1F"/>
              </w:rPr>
              <w:t>Dati del conto e credenziali di sicurezza</w:t>
            </w:r>
          </w:p>
        </w:tc>
        <w:tc>
          <w:tcPr>
            <w:tcW w:w="2672" w:type="dxa"/>
            <w:tcBorders>
              <w:top w:val="single" w:sz="6"/>
              <w:left w:val="single" w:sz="6"/>
              <w:bottom w:val="single" w:sz="6"/>
              <w:right w:val="single" w:sz="6"/>
            </w:tcBorders>
            <w:tcMar>
              <w:top w:w="240" w:type="dxa"/>
              <w:bottom w:w="240" w:type="dxa"/>
            </w:tcMar>
            <w:vAlign w:val="center"/>
          </w:tcPr>
          <w:p w:rsidR="5E890BEC" w:rsidP="5E890BEC" w:rsidRDefault="5E890BEC" w14:paraId="59DB2ED1" w14:textId="5B6C05D3">
            <w:pPr>
              <w:bidi w:val="0"/>
              <w:spacing w:before="0" w:beforeAutospacing="off" w:after="0" w:afterAutospacing="off"/>
              <w:jc w:val="both"/>
            </w:pPr>
            <w:r w:rsidRPr="5E890BEC" w:rsidR="5E890BEC">
              <w:rPr>
                <w:color w:val="1F1F1F"/>
              </w:rPr>
              <w:t>Qualsiasi informazione identificativa</w:t>
            </w:r>
          </w:p>
        </w:tc>
      </w:tr>
      <w:tr w:rsidR="5E890BEC" w:rsidTr="5E890BEC" w14:paraId="191687D4">
        <w:trPr>
          <w:trHeight w:val="300"/>
        </w:trPr>
        <w:tc>
          <w:tcPr>
            <w:tcW w:w="132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07E491AC" w14:textId="0D2E8D99">
            <w:pPr>
              <w:bidi w:val="0"/>
              <w:spacing w:before="0" w:beforeAutospacing="off" w:after="0" w:afterAutospacing="off"/>
              <w:jc w:val="both"/>
            </w:pPr>
            <w:r w:rsidRPr="5E890BEC" w:rsidR="5E890BEC">
              <w:rPr>
                <w:b w:val="1"/>
                <w:bCs w:val="1"/>
                <w:color w:val="1F1F1F"/>
              </w:rPr>
              <w:t>Autorità di Riferimento</w:t>
            </w:r>
          </w:p>
        </w:tc>
        <w:tc>
          <w:tcPr>
            <w:tcW w:w="5018"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27BB2D17" w14:textId="66C2A910">
            <w:pPr>
              <w:bidi w:val="0"/>
              <w:spacing w:before="0" w:beforeAutospacing="off" w:after="0" w:afterAutospacing="off"/>
              <w:jc w:val="both"/>
            </w:pPr>
            <w:r w:rsidRPr="5E890BEC" w:rsidR="5E890BEC">
              <w:rPr>
                <w:color w:val="1F1F1F"/>
              </w:rPr>
              <w:t>Banca d'Italia / EBA</w:t>
            </w:r>
          </w:p>
        </w:tc>
        <w:tc>
          <w:tcPr>
            <w:tcW w:w="2672" w:type="dxa"/>
            <w:tcBorders>
              <w:top w:val="single" w:sz="6"/>
              <w:left w:val="single" w:sz="6"/>
              <w:bottom w:val="single" w:sz="6"/>
              <w:right w:val="single" w:sz="6"/>
            </w:tcBorders>
            <w:tcMar>
              <w:top w:w="240" w:type="dxa"/>
              <w:bottom w:w="240" w:type="dxa"/>
            </w:tcMar>
            <w:vAlign w:val="center"/>
          </w:tcPr>
          <w:p w:rsidR="5E890BEC" w:rsidP="5E890BEC" w:rsidRDefault="5E890BEC" w14:paraId="67669E01" w14:textId="78FB6866">
            <w:pPr>
              <w:bidi w:val="0"/>
              <w:spacing w:before="0" w:beforeAutospacing="off" w:after="0" w:afterAutospacing="off"/>
              <w:jc w:val="both"/>
            </w:pPr>
            <w:r w:rsidRPr="5E890BEC" w:rsidR="5E890BEC">
              <w:rPr>
                <w:color w:val="1F1F1F"/>
              </w:rPr>
              <w:t>Garante per la protezione dei dati personali</w:t>
            </w:r>
          </w:p>
        </w:tc>
      </w:tr>
      <w:tr w:rsidR="5E890BEC" w:rsidTr="5E890BEC" w14:paraId="0A39C2CB">
        <w:trPr>
          <w:trHeight w:val="300"/>
        </w:trPr>
        <w:tc>
          <w:tcPr>
            <w:tcW w:w="132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02DC956F" w14:textId="5194F2D8">
            <w:pPr>
              <w:bidi w:val="0"/>
              <w:spacing w:before="0" w:beforeAutospacing="off" w:after="0" w:afterAutospacing="off"/>
              <w:jc w:val="both"/>
            </w:pPr>
            <w:r w:rsidRPr="5E890BEC" w:rsidR="5E890BEC">
              <w:rPr>
                <w:b w:val="1"/>
                <w:bCs w:val="1"/>
                <w:color w:val="1F1F1F"/>
              </w:rPr>
              <w:t>Sanzioni</w:t>
            </w:r>
          </w:p>
        </w:tc>
        <w:tc>
          <w:tcPr>
            <w:tcW w:w="5018"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14EA673F" w14:textId="75E2525C">
            <w:pPr>
              <w:bidi w:val="0"/>
              <w:spacing w:before="0" w:beforeAutospacing="off" w:after="0" w:afterAutospacing="off"/>
              <w:jc w:val="both"/>
            </w:pPr>
            <w:r w:rsidRPr="5E890BEC" w:rsidR="5E890BEC">
              <w:rPr>
                <w:color w:val="1F1F1F"/>
              </w:rPr>
              <w:t>Pecuniarie e revoca dell'autorizzazione bancaria</w:t>
            </w:r>
          </w:p>
        </w:tc>
        <w:tc>
          <w:tcPr>
            <w:tcW w:w="2672" w:type="dxa"/>
            <w:tcBorders>
              <w:top w:val="single" w:sz="6"/>
              <w:left w:val="single" w:sz="6"/>
              <w:bottom w:val="single" w:sz="6"/>
              <w:right w:val="single" w:sz="6"/>
            </w:tcBorders>
            <w:tcMar>
              <w:top w:w="240" w:type="dxa"/>
              <w:bottom w:w="240" w:type="dxa"/>
            </w:tcMar>
            <w:vAlign w:val="center"/>
          </w:tcPr>
          <w:p w:rsidR="5E890BEC" w:rsidP="5E890BEC" w:rsidRDefault="5E890BEC" w14:paraId="021DB06F" w14:textId="1E0FD3D8">
            <w:pPr>
              <w:bidi w:val="0"/>
              <w:spacing w:before="0" w:beforeAutospacing="off" w:after="0" w:afterAutospacing="off"/>
              <w:jc w:val="both"/>
            </w:pPr>
            <w:r w:rsidRPr="5E890BEC" w:rsidR="5E890BEC">
              <w:rPr>
                <w:color w:val="1F1F1F"/>
              </w:rPr>
              <w:t>Sanzioni amministrative fino al 4% del fatturato</w:t>
            </w:r>
          </w:p>
        </w:tc>
      </w:tr>
      <w:tr w:rsidR="5E890BEC" w:rsidTr="5E890BEC" w14:paraId="4D271E98">
        <w:trPr>
          <w:trHeight w:val="300"/>
        </w:trPr>
        <w:tc>
          <w:tcPr>
            <w:tcW w:w="1325"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7F14AB37" w14:textId="503ABDA5">
            <w:pPr>
              <w:bidi w:val="0"/>
              <w:spacing w:before="0" w:beforeAutospacing="off" w:after="0" w:afterAutospacing="off"/>
              <w:jc w:val="both"/>
            </w:pPr>
            <w:r w:rsidRPr="5E890BEC" w:rsidR="5E890BEC">
              <w:rPr>
                <w:b w:val="1"/>
                <w:bCs w:val="1"/>
                <w:color w:val="1F1F1F"/>
              </w:rPr>
              <w:t>Intersezione</w:t>
            </w:r>
          </w:p>
        </w:tc>
        <w:tc>
          <w:tcPr>
            <w:tcW w:w="5018" w:type="dxa"/>
            <w:tcBorders>
              <w:top w:val="single" w:sz="6"/>
              <w:left w:val="single" w:sz="6"/>
              <w:bottom w:val="single" w:sz="6"/>
              <w:right w:val="single" w:sz="6"/>
            </w:tcBorders>
            <w:tcMar>
              <w:top w:w="240" w:type="dxa"/>
              <w:bottom w:w="240" w:type="dxa"/>
              <w:right w:w="180" w:type="dxa"/>
            </w:tcMar>
            <w:vAlign w:val="center"/>
          </w:tcPr>
          <w:p w:rsidR="5E890BEC" w:rsidP="5E890BEC" w:rsidRDefault="5E890BEC" w14:paraId="38A5DB73" w14:textId="7D09AA6B">
            <w:pPr>
              <w:bidi w:val="0"/>
              <w:spacing w:before="0" w:beforeAutospacing="off" w:after="0" w:afterAutospacing="off"/>
              <w:jc w:val="both"/>
            </w:pPr>
            <w:r w:rsidRPr="5E890BEC" w:rsidR="5E890BEC">
              <w:rPr>
                <w:color w:val="1F1F1F"/>
              </w:rPr>
              <w:t>La PSD2 richiede sicurezza; il GDPR richiede crittografia e protezione fin dalla progettazione</w:t>
            </w:r>
          </w:p>
        </w:tc>
        <w:tc>
          <w:tcPr>
            <w:tcW w:w="2672" w:type="dxa"/>
            <w:tcBorders>
              <w:top w:val="single" w:sz="6"/>
              <w:left w:val="single" w:sz="6"/>
              <w:bottom w:val="single" w:sz="6"/>
              <w:right w:val="single" w:sz="6"/>
            </w:tcBorders>
            <w:tcMar>
              <w:top w:w="240" w:type="dxa"/>
              <w:bottom w:w="240" w:type="dxa"/>
            </w:tcMar>
            <w:vAlign w:val="center"/>
          </w:tcPr>
          <w:p w:rsidR="5E890BEC" w:rsidP="5E890BEC" w:rsidRDefault="5E890BEC" w14:paraId="12AE4CB5" w14:textId="34F4AE14">
            <w:pPr>
              <w:bidi w:val="0"/>
              <w:jc w:val="both"/>
            </w:pPr>
          </w:p>
        </w:tc>
      </w:tr>
    </w:tbl>
    <w:p xmlns:wp14="http://schemas.microsoft.com/office/word/2010/wordml" w:rsidP="5E890BEC" wp14:paraId="5FAD72B8" wp14:textId="177736C8">
      <w:pPr>
        <w:pStyle w:val="Heading2"/>
        <w:bidi w:val="0"/>
        <w:spacing w:before="0" w:beforeAutospacing="off" w:after="120" w:afterAutospacing="off"/>
        <w:jc w:val="both"/>
        <w:rPr>
          <w:rFonts w:ascii="Aptos" w:hAnsi="Aptos" w:eastAsia="Aptos" w:cs="Aptos"/>
          <w:b w:val="1"/>
          <w:bCs w:val="1"/>
          <w:noProof w:val="0"/>
          <w:color w:val="1F1F1F"/>
          <w:sz w:val="36"/>
          <w:szCs w:val="36"/>
          <w:lang w:val="it-IT"/>
        </w:rPr>
      </w:pPr>
      <w:r w:rsidRPr="5E890BEC" w:rsidR="10FF92F9">
        <w:rPr>
          <w:rFonts w:ascii="Aptos" w:hAnsi="Aptos" w:eastAsia="Aptos" w:cs="Aptos"/>
          <w:b w:val="1"/>
          <w:bCs w:val="1"/>
          <w:noProof w:val="0"/>
          <w:color w:val="1F1F1F"/>
          <w:sz w:val="36"/>
          <w:szCs w:val="36"/>
          <w:lang w:val="it-IT"/>
        </w:rPr>
        <w:t xml:space="preserve">8. Prospettive Evolutive: Verso la PSD3 e il Framework </w:t>
      </w:r>
      <w:r w:rsidRPr="5E890BEC" w:rsidR="10FF92F9">
        <w:rPr>
          <w:rFonts w:ascii="Aptos" w:hAnsi="Aptos" w:eastAsia="Aptos" w:cs="Aptos"/>
          <w:b w:val="1"/>
          <w:bCs w:val="1"/>
          <w:noProof w:val="0"/>
          <w:color w:val="1F1F1F"/>
          <w:sz w:val="36"/>
          <w:szCs w:val="36"/>
          <w:lang w:val="it-IT"/>
        </w:rPr>
        <w:t>FiDA</w:t>
      </w:r>
    </w:p>
    <w:p xmlns:wp14="http://schemas.microsoft.com/office/word/2010/wordml" w:rsidP="5E890BEC" wp14:paraId="7672986F" wp14:textId="52929E65">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Il legislatore europeo non si è fermato alla PSD2. L'analisi dei limiti emersi durante l'implementazione (soprattutto la mancanza di standardizzazione delle API e le frodi di social engineering) ha portato alla proposta di un nuovo pacchetto legislativo, presentato dalla Commissione Europea il 28 giugno 2023.</w:t>
      </w:r>
    </w:p>
    <w:p xmlns:wp14="http://schemas.microsoft.com/office/word/2010/wordml" w:rsidP="5E890BEC" wp14:paraId="5E881815" wp14:textId="5CF272B5">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8.1 La Transizione verso la PSD3 e il Regolamento PSR</w:t>
      </w:r>
    </w:p>
    <w:p xmlns:wp14="http://schemas.microsoft.com/office/word/2010/wordml" w:rsidP="5E890BEC" wp14:paraId="76A72FA1" wp14:textId="3023111A">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La principale innovazione sarà la suddivisione della disciplina in due atti: una </w:t>
      </w:r>
      <w:r w:rsidRPr="5E890BEC" w:rsidR="10FF92F9">
        <w:rPr>
          <w:rFonts w:ascii="Aptos" w:hAnsi="Aptos" w:eastAsia="Aptos" w:cs="Aptos"/>
          <w:b w:val="1"/>
          <w:bCs w:val="1"/>
          <w:noProof w:val="0"/>
          <w:color w:val="1F1F1F"/>
          <w:sz w:val="24"/>
          <w:szCs w:val="24"/>
          <w:lang w:val="it-IT"/>
        </w:rPr>
        <w:t>Direttiva (PSD3)</w:t>
      </w:r>
      <w:r w:rsidRPr="5E890BEC" w:rsidR="10FF92F9">
        <w:rPr>
          <w:rFonts w:ascii="Aptos" w:hAnsi="Aptos" w:eastAsia="Aptos" w:cs="Aptos"/>
          <w:noProof w:val="0"/>
          <w:color w:val="1F1F1F"/>
          <w:sz w:val="24"/>
          <w:szCs w:val="24"/>
          <w:lang w:val="it-IT"/>
        </w:rPr>
        <w:t xml:space="preserve"> focalizzata sull'autorizzazione e la vigilanza degli istituti di pagamento, e un </w:t>
      </w:r>
      <w:r w:rsidRPr="5E890BEC" w:rsidR="10FF92F9">
        <w:rPr>
          <w:rFonts w:ascii="Aptos" w:hAnsi="Aptos" w:eastAsia="Aptos" w:cs="Aptos"/>
          <w:b w:val="1"/>
          <w:bCs w:val="1"/>
          <w:noProof w:val="0"/>
          <w:color w:val="1F1F1F"/>
          <w:sz w:val="24"/>
          <w:szCs w:val="24"/>
          <w:lang w:val="it-IT"/>
        </w:rPr>
        <w:t xml:space="preserve">Regolamento (PSR - Payment Services </w:t>
      </w:r>
      <w:r w:rsidRPr="5E890BEC" w:rsidR="10FF92F9">
        <w:rPr>
          <w:rFonts w:ascii="Aptos" w:hAnsi="Aptos" w:eastAsia="Aptos" w:cs="Aptos"/>
          <w:b w:val="1"/>
          <w:bCs w:val="1"/>
          <w:noProof w:val="0"/>
          <w:color w:val="1F1F1F"/>
          <w:sz w:val="24"/>
          <w:szCs w:val="24"/>
          <w:lang w:val="it-IT"/>
        </w:rPr>
        <w:t>Regulation</w:t>
      </w:r>
      <w:r w:rsidRPr="5E890BEC" w:rsidR="10FF92F9">
        <w:rPr>
          <w:rFonts w:ascii="Aptos" w:hAnsi="Aptos" w:eastAsia="Aptos" w:cs="Aptos"/>
          <w:b w:val="1"/>
          <w:bCs w:val="1"/>
          <w:noProof w:val="0"/>
          <w:color w:val="1F1F1F"/>
          <w:sz w:val="24"/>
          <w:szCs w:val="24"/>
          <w:lang w:val="it-IT"/>
        </w:rPr>
        <w:t>)</w:t>
      </w:r>
      <w:r w:rsidRPr="5E890BEC" w:rsidR="10FF92F9">
        <w:rPr>
          <w:rFonts w:ascii="Aptos" w:hAnsi="Aptos" w:eastAsia="Aptos" w:cs="Aptos"/>
          <w:noProof w:val="0"/>
          <w:color w:val="1F1F1F"/>
          <w:sz w:val="24"/>
          <w:szCs w:val="24"/>
          <w:lang w:val="it-IT"/>
        </w:rPr>
        <w:t xml:space="preserve"> che conterrà le norme operative direttamente applicabili in tutti gli Stati membri. L'uso di un regolamento mira a eliminare le discrepanze di recepimento nazionale che hanno rallentato l'Open Banking sotto il regime della PSD2.</w:t>
      </w:r>
    </w:p>
    <w:p xmlns:wp14="http://schemas.microsoft.com/office/word/2010/wordml" w:rsidP="5E890BEC" wp14:paraId="775B6D45" wp14:textId="6D290C51">
      <w:pPr>
        <w:bidi w:val="0"/>
        <w:spacing w:before="0" w:beforeAutospacing="off" w:after="120" w:afterAutospacing="off"/>
        <w:jc w:val="both"/>
      </w:pPr>
      <w:r w:rsidRPr="5E890BEC" w:rsidR="10FF92F9">
        <w:rPr>
          <w:rFonts w:ascii="Aptos" w:hAnsi="Aptos" w:eastAsia="Aptos" w:cs="Aptos"/>
          <w:noProof w:val="0"/>
          <w:color w:val="1F1F1F"/>
          <w:sz w:val="24"/>
          <w:szCs w:val="24"/>
          <w:lang w:val="it-IT"/>
        </w:rPr>
        <w:t>Le novità attese includono:</w:t>
      </w:r>
    </w:p>
    <w:p xmlns:wp14="http://schemas.microsoft.com/office/word/2010/wordml" w:rsidP="5E890BEC" wp14:paraId="70D6F0F4" wp14:textId="7B7000AC">
      <w:pPr>
        <w:pStyle w:val="ListParagraph"/>
        <w:numPr>
          <w:ilvl w:val="0"/>
          <w:numId w:val="59"/>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IBAN/Name Matching:</w:t>
      </w:r>
      <w:r w:rsidRPr="5E890BEC" w:rsidR="10FF92F9">
        <w:rPr>
          <w:rFonts w:ascii="Aptos" w:hAnsi="Aptos" w:eastAsia="Aptos" w:cs="Aptos"/>
          <w:noProof w:val="0"/>
          <w:color w:val="1F1F1F"/>
          <w:sz w:val="24"/>
          <w:szCs w:val="24"/>
          <w:lang w:val="it-IT"/>
        </w:rPr>
        <w:t xml:space="preserve"> Obbligo per i PSP di verificare la corrispondenza tra IBAN e nome del beneficiario per contrastare le frodi di impersonificazione.</w:t>
      </w:r>
    </w:p>
    <w:p xmlns:wp14="http://schemas.microsoft.com/office/word/2010/wordml" w:rsidP="5E890BEC" wp14:paraId="4A059699" wp14:textId="2DF0A526">
      <w:pPr>
        <w:pStyle w:val="ListParagraph"/>
        <w:numPr>
          <w:ilvl w:val="0"/>
          <w:numId w:val="59"/>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Responsabilità nelle Frodi:</w:t>
      </w:r>
      <w:r w:rsidRPr="5E890BEC" w:rsidR="10FF92F9">
        <w:rPr>
          <w:rFonts w:ascii="Aptos" w:hAnsi="Aptos" w:eastAsia="Aptos" w:cs="Aptos"/>
          <w:noProof w:val="0"/>
          <w:color w:val="1F1F1F"/>
          <w:sz w:val="24"/>
          <w:szCs w:val="24"/>
          <w:lang w:val="it-IT"/>
        </w:rPr>
        <w:t xml:space="preserve"> Estensione dei diritti di rimborso per le vittime di "spoofing" (quando il truffatore simula l'identità di un dipendente bancario).</w:t>
      </w:r>
    </w:p>
    <w:p xmlns:wp14="http://schemas.microsoft.com/office/word/2010/wordml" w:rsidP="5E890BEC" wp14:paraId="169F5813" wp14:textId="25EF1BEF">
      <w:pPr>
        <w:pStyle w:val="ListParagraph"/>
        <w:numPr>
          <w:ilvl w:val="0"/>
          <w:numId w:val="59"/>
        </w:numPr>
        <w:bidi w:val="0"/>
        <w:spacing w:before="240" w:beforeAutospacing="off" w:after="240" w:afterAutospacing="off"/>
        <w:jc w:val="both"/>
        <w:rPr>
          <w:rFonts w:ascii="Aptos" w:hAnsi="Aptos" w:eastAsia="Aptos" w:cs="Aptos"/>
          <w:noProof w:val="0"/>
          <w:color w:val="1F1F1F"/>
          <w:sz w:val="24"/>
          <w:szCs w:val="24"/>
          <w:lang w:val="it-IT"/>
        </w:rPr>
      </w:pPr>
      <w:r w:rsidRPr="5E890BEC" w:rsidR="10FF92F9">
        <w:rPr>
          <w:rFonts w:ascii="Aptos" w:hAnsi="Aptos" w:eastAsia="Aptos" w:cs="Aptos"/>
          <w:b w:val="1"/>
          <w:bCs w:val="1"/>
          <w:noProof w:val="0"/>
          <w:color w:val="1F1F1F"/>
          <w:sz w:val="24"/>
          <w:szCs w:val="24"/>
          <w:lang w:val="it-IT"/>
        </w:rPr>
        <w:t>Miglioramento delle API:</w:t>
      </w:r>
      <w:r w:rsidRPr="5E890BEC" w:rsidR="10FF92F9">
        <w:rPr>
          <w:rFonts w:ascii="Aptos" w:hAnsi="Aptos" w:eastAsia="Aptos" w:cs="Aptos"/>
          <w:noProof w:val="0"/>
          <w:color w:val="1F1F1F"/>
          <w:sz w:val="24"/>
          <w:szCs w:val="24"/>
          <w:lang w:val="it-IT"/>
        </w:rPr>
        <w:t xml:space="preserve"> Requisiti tecnici più stringenti per le banche affinché le interfacce per i TPP siano stabili e performanti quanto quelle fornite ai clienti diretti.</w:t>
      </w:r>
    </w:p>
    <w:p xmlns:wp14="http://schemas.microsoft.com/office/word/2010/wordml" w:rsidP="5E890BEC" wp14:paraId="300CD02B" wp14:textId="59C73589">
      <w:pPr>
        <w:pStyle w:val="Heading3"/>
        <w:bidi w:val="0"/>
        <w:spacing w:before="0" w:beforeAutospacing="off" w:after="120" w:afterAutospacing="off"/>
        <w:jc w:val="both"/>
      </w:pPr>
      <w:r w:rsidRPr="5E890BEC" w:rsidR="10FF92F9">
        <w:rPr>
          <w:rFonts w:ascii="Aptos" w:hAnsi="Aptos" w:eastAsia="Aptos" w:cs="Aptos"/>
          <w:b w:val="1"/>
          <w:bCs w:val="1"/>
          <w:noProof w:val="0"/>
          <w:color w:val="1F1F1F"/>
          <w:sz w:val="28"/>
          <w:szCs w:val="28"/>
          <w:lang w:val="it-IT"/>
        </w:rPr>
        <w:t>8.2 L'Orizzonte dell'Open Finance (</w:t>
      </w:r>
      <w:r w:rsidRPr="5E890BEC" w:rsidR="10FF92F9">
        <w:rPr>
          <w:rFonts w:ascii="Aptos" w:hAnsi="Aptos" w:eastAsia="Aptos" w:cs="Aptos"/>
          <w:b w:val="1"/>
          <w:bCs w:val="1"/>
          <w:noProof w:val="0"/>
          <w:color w:val="1F1F1F"/>
          <w:sz w:val="28"/>
          <w:szCs w:val="28"/>
          <w:lang w:val="it-IT"/>
        </w:rPr>
        <w:t>FiDA</w:t>
      </w:r>
      <w:r w:rsidRPr="5E890BEC" w:rsidR="10FF92F9">
        <w:rPr>
          <w:rFonts w:ascii="Aptos" w:hAnsi="Aptos" w:eastAsia="Aptos" w:cs="Aptos"/>
          <w:b w:val="1"/>
          <w:bCs w:val="1"/>
          <w:noProof w:val="0"/>
          <w:color w:val="1F1F1F"/>
          <w:sz w:val="28"/>
          <w:szCs w:val="28"/>
          <w:lang w:val="it-IT"/>
        </w:rPr>
        <w:t>)</w:t>
      </w:r>
    </w:p>
    <w:p xmlns:wp14="http://schemas.microsoft.com/office/word/2010/wordml" w:rsidP="5E890BEC" wp14:paraId="3A9A54A5" wp14:textId="179EBBD4">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Parallelamente alla PSD3, la proposta </w:t>
      </w:r>
      <w:r w:rsidRPr="5E890BEC" w:rsidR="10FF92F9">
        <w:rPr>
          <w:rFonts w:ascii="Aptos" w:hAnsi="Aptos" w:eastAsia="Aptos" w:cs="Aptos"/>
          <w:b w:val="1"/>
          <w:bCs w:val="1"/>
          <w:noProof w:val="0"/>
          <w:color w:val="1F1F1F"/>
          <w:sz w:val="24"/>
          <w:szCs w:val="24"/>
          <w:lang w:val="it-IT"/>
        </w:rPr>
        <w:t>FiDA</w:t>
      </w:r>
      <w:r w:rsidRPr="5E890BEC" w:rsidR="10FF92F9">
        <w:rPr>
          <w:rFonts w:ascii="Aptos" w:hAnsi="Aptos" w:eastAsia="Aptos" w:cs="Aptos"/>
          <w:b w:val="1"/>
          <w:bCs w:val="1"/>
          <w:noProof w:val="0"/>
          <w:color w:val="1F1F1F"/>
          <w:sz w:val="24"/>
          <w:szCs w:val="24"/>
          <w:lang w:val="it-IT"/>
        </w:rPr>
        <w:t xml:space="preserve"> (Financial Data Access)</w:t>
      </w:r>
      <w:r w:rsidRPr="5E890BEC" w:rsidR="10FF92F9">
        <w:rPr>
          <w:rFonts w:ascii="Aptos" w:hAnsi="Aptos" w:eastAsia="Aptos" w:cs="Aptos"/>
          <w:noProof w:val="0"/>
          <w:color w:val="1F1F1F"/>
          <w:sz w:val="24"/>
          <w:szCs w:val="24"/>
          <w:lang w:val="it-IT"/>
        </w:rPr>
        <w:t xml:space="preserve"> mira ad estendere il paradigma dell'Open Banking all'intero settore finanziario. Se con la PSD2 abbiamo aperto i conti correnti, con </w:t>
      </w:r>
      <w:r w:rsidRPr="5E890BEC" w:rsidR="10FF92F9">
        <w:rPr>
          <w:rFonts w:ascii="Aptos" w:hAnsi="Aptos" w:eastAsia="Aptos" w:cs="Aptos"/>
          <w:noProof w:val="0"/>
          <w:color w:val="1F1F1F"/>
          <w:sz w:val="24"/>
          <w:szCs w:val="24"/>
          <w:lang w:val="it-IT"/>
        </w:rPr>
        <w:t>FiDA</w:t>
      </w:r>
      <w:r w:rsidRPr="5E890BEC" w:rsidR="10FF92F9">
        <w:rPr>
          <w:rFonts w:ascii="Aptos" w:hAnsi="Aptos" w:eastAsia="Aptos" w:cs="Aptos"/>
          <w:noProof w:val="0"/>
          <w:color w:val="1F1F1F"/>
          <w:sz w:val="24"/>
          <w:szCs w:val="24"/>
          <w:lang w:val="it-IT"/>
        </w:rPr>
        <w:t xml:space="preserve"> l'utente potrà autorizzare terze parti ad accedere ai dati sulle proprie assicurazioni, investimenti, fondi pensione e mutui. Questo permetterà la creazione di "dashboard finanziarie totali" e di servizi di consulenza basati su una visione a 360 gradi del patrimonio dell'individuo. Anche in questo caso, il GDPR rimarrà la bussola per garantire che questa immensa mole di dati sia gestita nel pieno rispetto della privacy e sotto il totale controllo dell'utente.</w:t>
      </w:r>
    </w:p>
    <w:p xmlns:wp14="http://schemas.microsoft.com/office/word/2010/wordml" w:rsidP="5E890BEC" wp14:paraId="4F88D0EA" wp14:textId="6CEA59B5">
      <w:pPr>
        <w:pStyle w:val="Heading2"/>
        <w:bidi w:val="0"/>
        <w:spacing w:before="0" w:beforeAutospacing="off" w:after="120" w:afterAutospacing="off"/>
        <w:jc w:val="both"/>
      </w:pPr>
      <w:r w:rsidRPr="5E890BEC" w:rsidR="10FF92F9">
        <w:rPr>
          <w:rFonts w:ascii="Aptos" w:hAnsi="Aptos" w:eastAsia="Aptos" w:cs="Aptos"/>
          <w:b w:val="1"/>
          <w:bCs w:val="1"/>
          <w:noProof w:val="0"/>
          <w:color w:val="1F1F1F"/>
          <w:sz w:val="36"/>
          <w:szCs w:val="36"/>
          <w:lang w:val="it-IT"/>
        </w:rPr>
        <w:t>9. Conclusioni</w:t>
      </w:r>
    </w:p>
    <w:p xmlns:wp14="http://schemas.microsoft.com/office/word/2010/wordml" w:rsidP="5E890BEC" wp14:paraId="756D2BFF" wp14:textId="0D08EB14">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 xml:space="preserve">L'analisi sistematica della PSD2 rivela una normativa di rottura che ha saputo trasformare un settore tradizionalmente conservatore come quello bancario in un laboratorio di innovazione tecnologica e giuridica. Il recepimento italiano, attraverso il </w:t>
      </w:r>
      <w:r w:rsidRPr="5E890BEC" w:rsidR="10FF92F9">
        <w:rPr>
          <w:rFonts w:ascii="Aptos" w:hAnsi="Aptos" w:eastAsia="Aptos" w:cs="Aptos"/>
          <w:noProof w:val="0"/>
          <w:color w:val="1F1F1F"/>
          <w:sz w:val="24"/>
          <w:szCs w:val="24"/>
          <w:lang w:val="it-IT"/>
        </w:rPr>
        <w:t>D.Lgs.</w:t>
      </w:r>
      <w:r w:rsidRPr="5E890BEC" w:rsidR="10FF92F9">
        <w:rPr>
          <w:rFonts w:ascii="Aptos" w:hAnsi="Aptos" w:eastAsia="Aptos" w:cs="Aptos"/>
          <w:noProof w:val="0"/>
          <w:color w:val="1F1F1F"/>
          <w:sz w:val="24"/>
          <w:szCs w:val="24"/>
          <w:lang w:val="it-IT"/>
        </w:rPr>
        <w:t xml:space="preserve"> 218/2017 e le successive evoluzioni, ha dimostrato la capacità dell'ordinamento nazionale di integrare principi complessi come l'Open Banking e l'SCA in un tessuto normativo preesistente, pur con le sfide legate ai costi di compliance per gli operatori e alla necessità di educare i consumatori.</w:t>
      </w:r>
    </w:p>
    <w:p xmlns:wp14="http://schemas.microsoft.com/office/word/2010/wordml" w:rsidP="5E890BEC" wp14:paraId="7B4DAA3B" wp14:textId="4FC24733">
      <w:pPr>
        <w:bidi w:val="0"/>
        <w:spacing w:before="0" w:beforeAutospacing="off" w:after="240" w:afterAutospacing="off"/>
        <w:jc w:val="both"/>
      </w:pPr>
      <w:r w:rsidRPr="5E890BEC" w:rsidR="10FF92F9">
        <w:rPr>
          <w:rFonts w:ascii="Aptos" w:hAnsi="Aptos" w:eastAsia="Aptos" w:cs="Aptos"/>
          <w:noProof w:val="0"/>
          <w:color w:val="1F1F1F"/>
          <w:sz w:val="24"/>
          <w:szCs w:val="24"/>
          <w:lang w:val="it-IT"/>
        </w:rPr>
        <w:t>La sinergia con il GDPR emerge come il pilastro fondamentale per la sostenibilità del sistema nel lungo periodo. La protezione dei dati non è un freno alla concorrenza, ma la condizione essenziale per la fiducia degli utenti, senza la quale nessun sistema di pagamento digitale può prosperare. Mentre ci muoviamo verso la PSD3 e l'Open Finance, la lezione appresa con la PSD2 rimane valida: il futuro della finanza risiede nell'equilibrio dinamico tra apertura, sicurezza e protezione della sfera personale del cittadino europeo.</w:t>
      </w:r>
    </w:p>
    <w:p xmlns:wp14="http://schemas.microsoft.com/office/word/2010/wordml" w:rsidP="5E890BEC" wp14:paraId="2DC08235" wp14:textId="5F0505E2">
      <w:pPr>
        <w:jc w:val="both"/>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9">
    <w:nsid w:val="7c9b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55a9f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48a19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abac5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2bd10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7897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af3c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823c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02dda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75f05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3f6c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e66c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d5c2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afd3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fcbe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7a3b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eb0a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e5f2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258d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312d0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5c0d9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a991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4a1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54f6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f51d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87c2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be68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cc1f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f0c0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ef35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099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df36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c62c5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a078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3a4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dec1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b5f5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c613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3b86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288c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d41c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c48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909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8adca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ae7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d6a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747f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8f13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660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d00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b6e8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ac84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c8e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ad5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141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2a2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c0a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d52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64f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E219BF"/>
    <w:rsid w:val="06A5B526"/>
    <w:rsid w:val="10FF92F9"/>
    <w:rsid w:val="468854FB"/>
    <w:rsid w:val="49E219BF"/>
    <w:rsid w:val="5E890BEC"/>
    <w:rsid w:val="67B1E356"/>
    <w:rsid w:val="7D5CEAC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219BF"/>
  <w15:chartTrackingRefBased/>
  <w15:docId w15:val="{B2AB83B6-B1F4-4779-B3F3-11A20CDA10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f93432cdb3d40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2026-03-07T16:15:04.5984318Z</dcterms:created>
  <dcterms:modified xsi:type="dcterms:W3CDTF">2026-04-10T07:22:38.4008434Z</dcterms:modified>
  <dc:creator>LETIZIA SESANA</dc:creator>
  <lastModifiedBy>LETIZIA SESANA</lastModifiedBy>
</coreProperties>
</file>