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DE45A6" w:rsidRDefault="003E5FE0" w14:paraId="0CBBDF05" wp14:textId="77777777">
      <w:pPr>
        <w:pStyle w:val="Titolo1"/>
        <w:spacing w:before="0" w:after="120" w:line="275" w:lineRule="auto"/>
        <w:rPr>
          <w:rFonts w:ascii="Google Sans" w:hAnsi="Google Sans" w:eastAsia="Google Sans" w:cs="Google Sans"/>
          <w:color w:val="1F1F1F"/>
        </w:rPr>
      </w:pPr>
      <w:r>
        <w:rPr>
          <w:rFonts w:ascii="Google Sans" w:hAnsi="Google Sans" w:eastAsia="Google Sans" w:cs="Google Sans"/>
          <w:color w:val="1F1F1F"/>
        </w:rPr>
        <w:t>Architettura Tecnica e Sicurezza Informatica nell'Ecosistema PSD2: Protocolli, API e Infrastrutture dei Pagamenti Digitali</w:t>
      </w:r>
    </w:p>
    <w:p xmlns:wp14="http://schemas.microsoft.com/office/word/2010/wordml" w:rsidR="00DE45A6" w:rsidRDefault="003E5FE0" w14:paraId="6C9FC48E"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L'entrata in vigore della Seconda Direttiva sui Servizi di Pagamento (PSD2) ha segnato una transizione epocale per il sistema finanziario europeo, spostando il baricentro dal controllo centralizzato degli istituti bancari verso un ecosistema aperto e interoperabile basato sul paradigma dell'Open Banking.</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Sebbene la direttiva sia spesso discussa sotto il profilo giuridico, la sua reale attuazione poggia su un'imponente infrastruttura tecnologica che ha ridefinito i criteri di sicurezza, le modalità di scambio dei dati e l'architettura dei flussi transazionali.</w:t>
      </w:r>
      <w:r>
        <w:rPr>
          <w:rFonts w:ascii="Google Sans" w:hAnsi="Google Sans" w:eastAsia="Google Sans" w:cs="Google Sans"/>
          <w:color w:val="444746"/>
          <w:sz w:val="24"/>
          <w:szCs w:val="24"/>
          <w:vertAlign w:val="superscript"/>
        </w:rPr>
        <w:t>3</w:t>
      </w:r>
      <w:r>
        <w:rPr>
          <w:rFonts w:ascii="Google Sans" w:hAnsi="Google Sans" w:eastAsia="Google Sans" w:cs="Google Sans"/>
          <w:color w:val="1F1F1F"/>
        </w:rPr>
        <w:t xml:space="preserve"> Il cuore di questa trasformazione risiede nell'implementazione della Strong Customer Authentication (SCA) e nell'apertura delle Application Programming Interfaces (API) bancarie a terze parti autorizzate, un cambiamento che ha richiesto investimenti</w:t>
      </w:r>
      <w:r>
        <w:rPr>
          <w:rFonts w:ascii="Google Sans" w:hAnsi="Google Sans" w:eastAsia="Google Sans" w:cs="Google Sans"/>
          <w:color w:val="1F1F1F"/>
        </w:rPr>
        <w:t xml:space="preserve"> tecnologici massicci e l'adozione di standard di sicurezza di grado finanziario.</w:t>
      </w:r>
      <w:r>
        <w:rPr>
          <w:rFonts w:ascii="Google Sans" w:hAnsi="Google Sans" w:eastAsia="Google Sans" w:cs="Google Sans"/>
          <w:color w:val="444746"/>
          <w:sz w:val="24"/>
          <w:szCs w:val="24"/>
          <w:vertAlign w:val="superscript"/>
        </w:rPr>
        <w:t>5</w:t>
      </w:r>
      <w:r>
        <w:rPr>
          <w:rFonts w:ascii="Google Sans" w:hAnsi="Google Sans" w:eastAsia="Google Sans" w:cs="Google Sans"/>
          <w:color w:val="1F1F1F"/>
        </w:rPr>
        <w:t xml:space="preserve"> La presente analisi tecnica esamina in dettaglio i pilastri tecnologici della PSD2, esplorando i meccanismi di autenticazione, la sicurezza dei protocolli di autorizzazione e le minacce emergenti in un panorama digitale in continua evoluzione.</w:t>
      </w:r>
      <w:r>
        <w:rPr>
          <w:rFonts w:ascii="Google Sans" w:hAnsi="Google Sans" w:eastAsia="Google Sans" w:cs="Google Sans"/>
          <w:color w:val="444746"/>
          <w:sz w:val="24"/>
          <w:szCs w:val="24"/>
          <w:vertAlign w:val="superscript"/>
        </w:rPr>
        <w:t>4</w:t>
      </w:r>
    </w:p>
    <w:p xmlns:wp14="http://schemas.microsoft.com/office/word/2010/wordml" w:rsidR="00DE45A6" w:rsidRDefault="003E5FE0" w14:paraId="0DEFFF42" wp14:textId="77777777">
      <w:pPr>
        <w:pStyle w:val="Titolo2"/>
        <w:spacing w:before="0" w:after="120" w:line="275" w:lineRule="auto"/>
        <w:rPr>
          <w:rFonts w:ascii="Google Sans" w:hAnsi="Google Sans" w:eastAsia="Google Sans" w:cs="Google Sans"/>
          <w:color w:val="1F1F1F"/>
        </w:rPr>
      </w:pPr>
      <w:r>
        <w:rPr>
          <w:rFonts w:ascii="Google Sans" w:hAnsi="Google Sans" w:eastAsia="Google Sans" w:cs="Google Sans"/>
          <w:color w:val="1F1F1F"/>
        </w:rPr>
        <w:t>La Strong Customer Authentication (SCA) e l'Infrastruttura di Sicurezza</w:t>
      </w:r>
    </w:p>
    <w:p xmlns:wp14="http://schemas.microsoft.com/office/word/2010/wordml" w:rsidR="00DE45A6" w:rsidRDefault="003E5FE0" w14:paraId="5EA9CF78"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 Strong Customer Authentication (SCA) non rappresenta solo un obbligo normativo, ma è il fondamento tecnico su cui si regge la fiducia degli utenti nel sistema dei pagamenti digitali.</w:t>
      </w:r>
      <w:r>
        <w:rPr>
          <w:rFonts w:ascii="Google Sans" w:hAnsi="Google Sans" w:eastAsia="Google Sans" w:cs="Google Sans"/>
          <w:color w:val="444746"/>
          <w:sz w:val="24"/>
          <w:szCs w:val="24"/>
          <w:vertAlign w:val="superscript"/>
        </w:rPr>
        <w:t>2</w:t>
      </w:r>
      <w:r>
        <w:rPr>
          <w:rFonts w:ascii="Google Sans" w:hAnsi="Google Sans" w:eastAsia="Google Sans" w:cs="Google Sans"/>
          <w:color w:val="1F1F1F"/>
        </w:rPr>
        <w:t xml:space="preserve"> Definita dagli Standard Tecnici di Regolamentazione (RTS) dell'Autorità Bancaria Europea (EBA), la SCA impone che ogni accesso ai conti online o inizializzazione di un pagamento elettronico sia validato attraverso almeno due fattori indipendenti tra loro.</w:t>
      </w:r>
      <w:r>
        <w:rPr>
          <w:rFonts w:ascii="Google Sans" w:hAnsi="Google Sans" w:eastAsia="Google Sans" w:cs="Google Sans"/>
          <w:color w:val="444746"/>
          <w:sz w:val="24"/>
          <w:szCs w:val="24"/>
          <w:vertAlign w:val="superscript"/>
        </w:rPr>
        <w:t>10</w:t>
      </w:r>
      <w:r>
        <w:rPr>
          <w:rFonts w:ascii="Google Sans" w:hAnsi="Google Sans" w:eastAsia="Google Sans" w:cs="Google Sans"/>
          <w:color w:val="1F1F1F"/>
        </w:rPr>
        <w:t xml:space="preserve"> Questa indipendenza è fondamentale sotto il profilo tecnico: la compromissione di un elemento non deve in alcun modo facilitare la violazione del secondo, garantendo una difesa a più livelli contro gli attacchi informatici.</w:t>
      </w:r>
      <w:r>
        <w:rPr>
          <w:rFonts w:ascii="Google Sans" w:hAnsi="Google Sans" w:eastAsia="Google Sans" w:cs="Google Sans"/>
          <w:color w:val="444746"/>
          <w:sz w:val="24"/>
          <w:szCs w:val="24"/>
          <w:vertAlign w:val="superscript"/>
        </w:rPr>
        <w:t>10</w:t>
      </w:r>
    </w:p>
    <w:p xmlns:wp14="http://schemas.microsoft.com/office/word/2010/wordml" w:rsidR="00DE45A6" w:rsidP="65CA3BC1" w:rsidRDefault="003E5FE0" w14:paraId="11F1E610" wp14:textId="77777777">
      <w:pPr>
        <w:pStyle w:val="Titolo3"/>
        <w:rPr>
          <w:rFonts w:ascii="Google Sans" w:hAnsi="Google Sans" w:eastAsia="Google Sans" w:cs="Google Sans"/>
          <w:color w:val="1F1F1F"/>
        </w:rPr>
      </w:pPr>
      <w:r w:rsidR="553C1913">
        <w:rPr/>
        <w:t xml:space="preserve">I Tre Pilastri dell'Autenticazione </w:t>
      </w:r>
      <w:r w:rsidR="553C1913">
        <w:rPr/>
        <w:t>Multifattore</w:t>
      </w:r>
    </w:p>
    <w:p xmlns:wp14="http://schemas.microsoft.com/office/word/2010/wordml" w:rsidR="00DE45A6" w:rsidRDefault="003E5FE0" w14:paraId="0DE83C92"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 logica della SCA si articola su tre categorie di fattori, la cui combinazione tecnica determina il livello di sicurezza della transazione.</w:t>
      </w:r>
      <w:r>
        <w:rPr>
          <w:rFonts w:ascii="Google Sans" w:hAnsi="Google Sans" w:eastAsia="Google Sans" w:cs="Google Sans"/>
          <w:color w:val="444746"/>
          <w:sz w:val="24"/>
          <w:szCs w:val="24"/>
          <w:vertAlign w:val="superscript"/>
        </w:rPr>
        <w:t>2</w:t>
      </w:r>
    </w:p>
    <w:tbl>
      <w:tblPr>
        <w:tblStyle w:val="a"/>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xmlns:wp14="http://schemas.microsoft.com/office/word/2010/wordml" w:rsidR="00DE45A6" w14:paraId="5DDB8408"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0C154777"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Categoria del Fattore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49A0DDD8"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Descrizione Tecnica</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0385F54A"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Esempi di Implementazione</w:t>
            </w:r>
          </w:p>
        </w:tc>
      </w:tr>
      <w:tr xmlns:wp14="http://schemas.microsoft.com/office/word/2010/wordml" w:rsidR="00DE45A6" w14:paraId="4F85F15D"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24264AC1"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Conoscenza (Knowledge)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55128675"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Qualcosa che solo l'utente conosce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61AA0446"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Password, PIN, sequenze di sblocco (pattern)</w:t>
            </w:r>
          </w:p>
        </w:tc>
      </w:tr>
      <w:tr xmlns:wp14="http://schemas.microsoft.com/office/word/2010/wordml" w:rsidR="00DE45A6" w14:paraId="1A2D2129"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310E843E"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Possesso (Possession)</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22D04F1C"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Qualcosa che solo l'utente possiede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30D12ADC"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Smartphone, Token hardware, SIM Card, Chiave crittografica</w:t>
            </w:r>
          </w:p>
        </w:tc>
      </w:tr>
      <w:tr xmlns:wp14="http://schemas.microsoft.com/office/word/2010/wordml" w:rsidR="00DE45A6" w14:paraId="26D26E45"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39B073D8"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Inerenza (Inherence)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0D9EF429"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Qualcosa che l'utente è</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188F09E2"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Impronta digitale, Face ID, riconoscimento vocale, biometria comportamentale</w:t>
            </w:r>
          </w:p>
        </w:tc>
      </w:tr>
    </w:tbl>
    <w:p xmlns:wp14="http://schemas.microsoft.com/office/word/2010/wordml" w:rsidR="00DE45A6" w:rsidRDefault="003E5FE0" w14:paraId="32AE1CBE" wp14:textId="77777777">
      <w:pPr>
        <w:pBdr>
          <w:top w:val="nil"/>
          <w:left w:val="nil"/>
          <w:bottom w:val="nil"/>
          <w:right w:val="nil"/>
          <w:between w:val="nil"/>
        </w:pBdr>
        <w:spacing w:before="480"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L'implementazione tecnica di questi fattori ha visto una rapida evoluzione. Mentre i fattori di conoscenza come le password sono sempre più vulnerabili ad attacchi di forza bruta o phishing, i fattori di inerenza, supportati dai sensori biometrici degli smartphone moderni, offrono una barriera molto più elevata e una migliore esperienza utente.</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Il fattore di possesso viene tipicamente verificato attraverso il dispositivo mobile dell'utente, mediante notifiche push firmate digitalmente all'interno di applicazioni bancarie protette, che sostituiscono i vecchi e meno sicuri codici OTP inviati tramite SMS.</w:t>
      </w:r>
      <w:r>
        <w:rPr>
          <w:rFonts w:ascii="Google Sans" w:hAnsi="Google Sans" w:eastAsia="Google Sans" w:cs="Google Sans"/>
          <w:color w:val="444746"/>
          <w:sz w:val="24"/>
          <w:szCs w:val="24"/>
          <w:vertAlign w:val="superscript"/>
        </w:rPr>
        <w:t>9</w:t>
      </w:r>
    </w:p>
    <w:p xmlns:wp14="http://schemas.microsoft.com/office/word/2010/wordml" w:rsidR="00DE45A6" w:rsidP="65CA3BC1" w:rsidRDefault="003E5FE0" w14:paraId="6CCB4A31" wp14:textId="77777777">
      <w:pPr>
        <w:pStyle w:val="Titolo3"/>
        <w:rPr>
          <w:rFonts w:ascii="Google Sans" w:hAnsi="Google Sans" w:eastAsia="Google Sans" w:cs="Google Sans"/>
          <w:color w:val="1F1F1F"/>
        </w:rPr>
      </w:pPr>
      <w:r w:rsidR="553C1913">
        <w:rPr/>
        <w:t>Dynamic Linking: Il Requisito dell'Articolo 5 degli RTS</w:t>
      </w:r>
    </w:p>
    <w:p xmlns:wp14="http://schemas.microsoft.com/office/word/2010/wordml" w:rsidR="00DE45A6" w:rsidRDefault="003E5FE0" w14:paraId="0367E4B3"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Uno degli aspetti tecnici più complessi e cruciali della PSD2 è il "Dynamic Linking", specificato nell'Articolo 5 degli RTS.</w:t>
      </w:r>
      <w:r>
        <w:rPr>
          <w:rFonts w:ascii="Google Sans" w:hAnsi="Google Sans" w:eastAsia="Google Sans" w:cs="Google Sans"/>
          <w:color w:val="444746"/>
          <w:sz w:val="24"/>
          <w:szCs w:val="24"/>
          <w:vertAlign w:val="superscript"/>
        </w:rPr>
        <w:t>13</w:t>
      </w:r>
      <w:r>
        <w:rPr>
          <w:rFonts w:ascii="Google Sans" w:hAnsi="Google Sans" w:eastAsia="Google Sans" w:cs="Google Sans"/>
          <w:color w:val="1F1F1F"/>
        </w:rPr>
        <w:t xml:space="preserve"> Questo requisito impone che, per le transazioni di pagamento remote, il codice di autenticazione generato non sia generico, ma crittograficamente legato all'importo della transazione e al beneficiario.</w:t>
      </w:r>
      <w:r>
        <w:rPr>
          <w:rFonts w:ascii="Google Sans" w:hAnsi="Google Sans" w:eastAsia="Google Sans" w:cs="Google Sans"/>
          <w:color w:val="444746"/>
          <w:sz w:val="24"/>
          <w:szCs w:val="24"/>
          <w:vertAlign w:val="superscript"/>
        </w:rPr>
        <w:t>13</w:t>
      </w:r>
      <w:r>
        <w:rPr>
          <w:rFonts w:ascii="Google Sans" w:hAnsi="Google Sans" w:eastAsia="Google Sans" w:cs="Google Sans"/>
          <w:color w:val="1F1F1F"/>
        </w:rPr>
        <w:t xml:space="preserve"> In termini di implementazione, ciò significa che se un utente autorizza un pagamento di 50 euro a un commerciante specifico, il pacchetto di dati firmato digitalmente contiene i metadati della transazione. Qualsiasi tentativo di intercettare il codice e utilizzarlo per un importo diverso o un destinatari</w:t>
      </w:r>
      <w:r>
        <w:rPr>
          <w:rFonts w:ascii="Google Sans" w:hAnsi="Google Sans" w:eastAsia="Google Sans" w:cs="Google Sans"/>
          <w:color w:val="1F1F1F"/>
        </w:rPr>
        <w:t>o differente comporterà l'invalidazione immediata dell'autenticazione.</w:t>
      </w:r>
      <w:r>
        <w:rPr>
          <w:rFonts w:ascii="Google Sans" w:hAnsi="Google Sans" w:eastAsia="Google Sans" w:cs="Google Sans"/>
          <w:color w:val="444746"/>
          <w:sz w:val="24"/>
          <w:szCs w:val="24"/>
          <w:vertAlign w:val="superscript"/>
        </w:rPr>
        <w:t>12</w:t>
      </w:r>
    </w:p>
    <w:p xmlns:wp14="http://schemas.microsoft.com/office/word/2010/wordml" w:rsidR="00DE45A6" w:rsidRDefault="003E5FE0" w14:paraId="4989ABCD"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Il processo tecnico del Dynamic Linking garantisce:</w:t>
      </w:r>
    </w:p>
    <w:p xmlns:wp14="http://schemas.microsoft.com/office/word/2010/wordml" w:rsidR="00DE45A6" w:rsidRDefault="003E5FE0" w14:paraId="67F9F320" wp14:textId="77777777">
      <w:pPr>
        <w:numPr>
          <w:ilvl w:val="0"/>
          <w:numId w:val="1"/>
        </w:numPr>
        <w:pBdr>
          <w:top w:val="nil"/>
          <w:left w:val="nil"/>
          <w:bottom w:val="nil"/>
          <w:right w:val="nil"/>
          <w:between w:val="nil"/>
        </w:pBdr>
        <w:spacing w:line="275" w:lineRule="auto"/>
      </w:pPr>
      <w:r>
        <w:rPr>
          <w:rFonts w:ascii="Google Sans" w:hAnsi="Google Sans" w:eastAsia="Google Sans" w:cs="Google Sans"/>
          <w:b/>
          <w:bCs/>
          <w:color w:val="1F1F1F"/>
        </w:rPr>
        <w:t>Consapevolezza del pagatore:</w:t>
      </w:r>
      <w:r>
        <w:rPr>
          <w:rFonts w:ascii="Google Sans" w:hAnsi="Google Sans" w:eastAsia="Google Sans" w:cs="Google Sans"/>
          <w:color w:val="1F1F1F"/>
        </w:rPr>
        <w:t xml:space="preserve"> L'utente deve visualizzare chiaramente importo e beneficiario prima di confermare l'operazione.</w:t>
      </w:r>
      <w:r>
        <w:rPr>
          <w:rFonts w:ascii="Google Sans" w:hAnsi="Google Sans" w:eastAsia="Google Sans" w:cs="Google Sans"/>
          <w:color w:val="444746"/>
          <w:sz w:val="24"/>
          <w:szCs w:val="24"/>
          <w:vertAlign w:val="superscript"/>
        </w:rPr>
        <w:t>12</w:t>
      </w:r>
    </w:p>
    <w:p xmlns:wp14="http://schemas.microsoft.com/office/word/2010/wordml" w:rsidR="00DE45A6" w:rsidRDefault="003E5FE0" w14:paraId="2110EA74" wp14:textId="77777777">
      <w:pPr>
        <w:numPr>
          <w:ilvl w:val="0"/>
          <w:numId w:val="1"/>
        </w:numPr>
        <w:pBdr>
          <w:top w:val="nil"/>
          <w:left w:val="nil"/>
          <w:bottom w:val="nil"/>
          <w:right w:val="nil"/>
          <w:between w:val="nil"/>
        </w:pBdr>
        <w:spacing w:line="275" w:lineRule="auto"/>
      </w:pPr>
      <w:r>
        <w:rPr>
          <w:rFonts w:ascii="Google Sans" w:hAnsi="Google Sans" w:eastAsia="Google Sans" w:cs="Google Sans"/>
          <w:b/>
          <w:bCs/>
          <w:color w:val="1F1F1F"/>
        </w:rPr>
        <w:t>Integrità della transazione:</w:t>
      </w:r>
      <w:r>
        <w:rPr>
          <w:rFonts w:ascii="Google Sans" w:hAnsi="Google Sans" w:eastAsia="Google Sans" w:cs="Google Sans"/>
          <w:color w:val="1F1F1F"/>
        </w:rPr>
        <w:t xml:space="preserve"> La riservatezza e l'autenticità dei dati devono essere mantenute in tutte le fasi del processo.</w:t>
      </w:r>
      <w:r>
        <w:rPr>
          <w:rFonts w:ascii="Google Sans" w:hAnsi="Google Sans" w:eastAsia="Google Sans" w:cs="Google Sans"/>
          <w:color w:val="444746"/>
          <w:sz w:val="24"/>
          <w:szCs w:val="24"/>
          <w:vertAlign w:val="superscript"/>
        </w:rPr>
        <w:t>11</w:t>
      </w:r>
    </w:p>
    <w:p xmlns:wp14="http://schemas.microsoft.com/office/word/2010/wordml" w:rsidR="00DE45A6" w:rsidRDefault="003E5FE0" w14:paraId="3A705387" wp14:textId="77777777">
      <w:pPr>
        <w:numPr>
          <w:ilvl w:val="0"/>
          <w:numId w:val="1"/>
        </w:numPr>
        <w:pBdr>
          <w:top w:val="nil"/>
          <w:left w:val="nil"/>
          <w:bottom w:val="nil"/>
          <w:right w:val="nil"/>
          <w:between w:val="nil"/>
        </w:pBdr>
        <w:spacing w:after="120" w:line="275" w:lineRule="auto"/>
      </w:pPr>
      <w:r>
        <w:rPr>
          <w:rFonts w:ascii="Google Sans" w:hAnsi="Google Sans" w:eastAsia="Google Sans" w:cs="Google Sans"/>
          <w:b/>
          <w:bCs/>
          <w:color w:val="1F1F1F"/>
        </w:rPr>
        <w:t>Univocità del codice:</w:t>
      </w:r>
      <w:r>
        <w:rPr>
          <w:rFonts w:ascii="Google Sans" w:hAnsi="Google Sans" w:eastAsia="Google Sans" w:cs="Google Sans"/>
          <w:color w:val="1F1F1F"/>
        </w:rPr>
        <w:t xml:space="preserve"> Ogni codice di autenticazione deve avere una durata limitata e poter essere utilizzato una sola volta.</w:t>
      </w:r>
      <w:r>
        <w:rPr>
          <w:rFonts w:ascii="Google Sans" w:hAnsi="Google Sans" w:eastAsia="Google Sans" w:cs="Google Sans"/>
          <w:color w:val="444746"/>
          <w:sz w:val="24"/>
          <w:szCs w:val="24"/>
          <w:vertAlign w:val="superscript"/>
        </w:rPr>
        <w:t>12</w:t>
      </w:r>
    </w:p>
    <w:p xmlns:wp14="http://schemas.microsoft.com/office/word/2010/wordml" w:rsidR="00DE45A6" w:rsidP="65CA3BC1" w:rsidRDefault="003E5FE0" w14:paraId="7017C1C2" wp14:textId="77777777">
      <w:pPr>
        <w:pStyle w:val="Titolo3"/>
        <w:rPr>
          <w:rFonts w:ascii="Google Sans" w:hAnsi="Google Sans" w:eastAsia="Google Sans" w:cs="Google Sans"/>
          <w:color w:val="1F1F1F"/>
        </w:rPr>
      </w:pPr>
      <w:r w:rsidR="553C1913">
        <w:rPr/>
        <w:t>3D Secure 2.0: Il Protocollo Standard dell'Industria</w:t>
      </w:r>
    </w:p>
    <w:p xmlns:wp14="http://schemas.microsoft.com/office/word/2010/wordml" w:rsidR="00DE45A6" w:rsidRDefault="003E5FE0" w14:paraId="3A9A2437"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Per rispondere ai requisiti di SCA nel mondo delle carte di credito e debito, il consorzio EMVCo ha sviluppato lo standard 3D Secure 2.0 (3DS 2.0).</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Rispetto alla versione 1.0, che era caratterizzata da una scarsa compatibilità con i dispositivi mobili e da un'esperienza utente frammentata (i cosiddetti "redirection loop"), il 3DS 2.0 rappresenta un salto di qualità architetturale.</w:t>
      </w:r>
      <w:r>
        <w:rPr>
          <w:rFonts w:ascii="Google Sans" w:hAnsi="Google Sans" w:eastAsia="Google Sans" w:cs="Google Sans"/>
          <w:color w:val="444746"/>
          <w:sz w:val="24"/>
          <w:szCs w:val="24"/>
          <w:vertAlign w:val="superscript"/>
        </w:rPr>
        <w:t>15</w:t>
      </w:r>
    </w:p>
    <w:tbl>
      <w:tblPr>
        <w:tblStyle w:val="a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xmlns:wp14="http://schemas.microsoft.com/office/word/2010/wordml" w:rsidR="00DE45A6" w14:paraId="4D1D43FC"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1D870CDE"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Parametro</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08A60E9F"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3D Secure 1.0</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17720E7B"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3D Secure 2.0</w:t>
            </w:r>
          </w:p>
        </w:tc>
      </w:tr>
      <w:tr xmlns:wp14="http://schemas.microsoft.com/office/word/2010/wordml" w:rsidR="00DE45A6" w14:paraId="4E7DAAE3"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089A0F6C"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Integrazione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2A3A4892"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Browser-based (IFRAME o redirect)</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3573E2DF"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Nativa (SDK per mobile e browser)</w:t>
            </w:r>
          </w:p>
        </w:tc>
      </w:tr>
      <w:tr xmlns:wp14="http://schemas.microsoft.com/office/word/2010/wordml" w:rsidR="00DE45A6" w14:paraId="0A96E2A3"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2B49BE5D"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Scambio Dati</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7399D472"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Circa 15 elementi</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6D90117D"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Oltre 150 elementi di dati</w:t>
            </w:r>
          </w:p>
        </w:tc>
      </w:tr>
      <w:tr xmlns:wp14="http://schemas.microsoft.com/office/word/2010/wordml" w:rsidR="00DE45A6" w14:paraId="3CDC4FE7"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067C1BD2"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Autenticazione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537AAB4A"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Password statica o OTP SMS</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5825AC9C"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Biometria e autenticazione out-of-band</w:t>
            </w:r>
          </w:p>
        </w:tc>
      </w:tr>
      <w:tr xmlns:wp14="http://schemas.microsoft.com/office/word/2010/wordml" w:rsidR="00DE45A6" w14:paraId="475C8A64"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7ED910E4"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User Experience</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1BD93E78"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Interruzioni frequenti (Friction)</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234E892C"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Flussi fluidi (Frictionless)</w:t>
            </w:r>
          </w:p>
        </w:tc>
      </w:tr>
      <w:tr xmlns:wp14="http://schemas.microsoft.com/office/word/2010/wordml" w:rsidR="00DE45A6" w14:paraId="22D4E6F9" wp14:textId="77777777">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1E9DE8FB" wp14:textId="77777777">
            <w:pPr>
              <w:pBdr>
                <w:top w:val="nil"/>
                <w:left w:val="nil"/>
                <w:bottom w:val="nil"/>
                <w:right w:val="nil"/>
                <w:between w:val="nil"/>
              </w:pBdr>
              <w:spacing w:before="240" w:after="240" w:line="275" w:lineRule="auto"/>
              <w:rPr>
                <w:rFonts w:ascii="Google Sans" w:hAnsi="Google Sans" w:eastAsia="Google Sans" w:cs="Google Sans"/>
                <w:b/>
                <w:bCs/>
                <w:color w:val="1F1F1F"/>
              </w:rPr>
            </w:pPr>
            <w:r>
              <w:rPr>
                <w:rFonts w:ascii="Google Sans" w:hAnsi="Google Sans" w:eastAsia="Google Sans" w:cs="Google Sans"/>
                <w:b/>
                <w:bCs/>
                <w:color w:val="1F1F1F"/>
              </w:rPr>
              <w:t>Analisi del Rischio</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180" w:type="dxa"/>
            </w:tcMar>
          </w:tcPr>
          <w:p w:rsidR="00DE45A6" w:rsidRDefault="003E5FE0" w14:paraId="2A74E0AD"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Statica e limitata</w:t>
            </w:r>
          </w:p>
        </w:tc>
        <w:tc>
          <w:tcPr>
            <w:tcW w:w="3120" w:type="dxa"/>
            <w:tcBorders>
              <w:top w:val="single" w:color="000000" w:sz="6" w:space="0"/>
              <w:left w:val="single" w:color="000000" w:sz="6" w:space="0"/>
              <w:bottom w:val="single" w:color="000000" w:sz="6" w:space="0"/>
              <w:right w:val="single" w:color="000000" w:sz="6" w:space="0"/>
            </w:tcBorders>
            <w:tcMar>
              <w:top w:w="240" w:type="dxa"/>
              <w:left w:w="0" w:type="dxa"/>
              <w:bottom w:w="240" w:type="dxa"/>
              <w:right w:w="0" w:type="dxa"/>
            </w:tcMar>
          </w:tcPr>
          <w:p w:rsidR="00DE45A6" w:rsidRDefault="003E5FE0" w14:paraId="6A30B127" wp14:textId="77777777">
            <w:pPr>
              <w:pBdr>
                <w:top w:val="nil"/>
                <w:left w:val="nil"/>
                <w:bottom w:val="nil"/>
                <w:right w:val="nil"/>
                <w:between w:val="nil"/>
              </w:pBdr>
              <w:spacing w:before="240" w:after="240" w:line="275" w:lineRule="auto"/>
              <w:rPr>
                <w:rFonts w:ascii="Google Sans" w:hAnsi="Google Sans" w:eastAsia="Google Sans" w:cs="Google Sans"/>
                <w:color w:val="1F1F1F"/>
              </w:rPr>
            </w:pPr>
            <w:r>
              <w:rPr>
                <w:rFonts w:ascii="Google Sans" w:hAnsi="Google Sans" w:eastAsia="Google Sans" w:cs="Google Sans"/>
                <w:color w:val="1F1F1F"/>
              </w:rPr>
              <w:t>Dinamica basata su Machine Learning</w:t>
            </w:r>
          </w:p>
        </w:tc>
      </w:tr>
    </w:tbl>
    <w:p xmlns:wp14="http://schemas.microsoft.com/office/word/2010/wordml" w:rsidR="00DE45A6" w:rsidRDefault="003E5FE0" w14:paraId="32FDA16D" wp14:textId="77777777">
      <w:pPr>
        <w:pBdr>
          <w:top w:val="nil"/>
          <w:left w:val="nil"/>
          <w:bottom w:val="nil"/>
          <w:right w:val="nil"/>
          <w:between w:val="nil"/>
        </w:pBdr>
        <w:spacing w:before="480"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Il 3DS 2.0 permette alle banche di effettuare una "Risk-Based Authentication" (RBA).</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Grazie allo scambio di oltre 150 punti dati — inclusi l'ID del dispositivo, la cronologia degli ordini, l'indirizzo IP e le abitudini di navigazione — la banca emittente può determinare con estrema precisione se la transazione è autentica.</w:t>
      </w:r>
      <w:r>
        <w:rPr>
          <w:rFonts w:ascii="Google Sans" w:hAnsi="Google Sans" w:eastAsia="Google Sans" w:cs="Google Sans"/>
          <w:color w:val="444746"/>
          <w:sz w:val="24"/>
          <w:szCs w:val="24"/>
          <w:vertAlign w:val="superscript"/>
        </w:rPr>
        <w:t>15</w:t>
      </w:r>
      <w:r>
        <w:rPr>
          <w:rFonts w:ascii="Google Sans" w:hAnsi="Google Sans" w:eastAsia="Google Sans" w:cs="Google Sans"/>
          <w:color w:val="1F1F1F"/>
        </w:rPr>
        <w:t xml:space="preserve"> Se il rischio è valutato come minimo, la transazione può procedere in modalità "frictionless", senza richiedere l'intervento attivo dell'utente, pur rimanendo conforme alla PSD2 grazie alle esenzioni previste per le analisi del rischio transazionale (TRA).</w:t>
      </w:r>
      <w:r>
        <w:rPr>
          <w:rFonts w:ascii="Google Sans" w:hAnsi="Google Sans" w:eastAsia="Google Sans" w:cs="Google Sans"/>
          <w:color w:val="444746"/>
          <w:sz w:val="24"/>
          <w:szCs w:val="24"/>
          <w:vertAlign w:val="superscript"/>
        </w:rPr>
        <w:t>6</w:t>
      </w:r>
    </w:p>
    <w:p xmlns:wp14="http://schemas.microsoft.com/office/word/2010/wordml" w:rsidR="00DE45A6" w:rsidP="65CA3BC1" w:rsidRDefault="003E5FE0" w14:paraId="0C21365A" wp14:textId="77777777">
      <w:pPr>
        <w:pStyle w:val="Titolo3"/>
        <w:rPr>
          <w:rFonts w:ascii="Google Sans" w:hAnsi="Google Sans" w:eastAsia="Google Sans" w:cs="Google Sans"/>
          <w:color w:val="1F1F1F"/>
        </w:rPr>
      </w:pPr>
      <w:r w:rsidR="553C1913">
        <w:rPr/>
        <w:t>Esenzioni alla SCA: Bilanciare Sicurezza e Usabilità</w:t>
      </w:r>
    </w:p>
    <w:p xmlns:wp14="http://schemas.microsoft.com/office/word/2010/wordml" w:rsidR="00DE45A6" w:rsidRDefault="003E5FE0" w14:paraId="06C6B7DA"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Gli RTS della PSD2 definiscono una serie di esenzioni tecniche per evitare che l'eccessiva sicurezza comprometta la fluidità dei pagamenti.</w:t>
      </w:r>
      <w:r>
        <w:rPr>
          <w:rFonts w:ascii="Google Sans" w:hAnsi="Google Sans" w:eastAsia="Google Sans" w:cs="Google Sans"/>
          <w:color w:val="444746"/>
          <w:sz w:val="24"/>
          <w:szCs w:val="24"/>
          <w:vertAlign w:val="superscript"/>
        </w:rPr>
        <w:t>23</w:t>
      </w:r>
      <w:r>
        <w:rPr>
          <w:rFonts w:ascii="Google Sans" w:hAnsi="Google Sans" w:eastAsia="Google Sans" w:cs="Google Sans"/>
          <w:color w:val="1F1F1F"/>
        </w:rPr>
        <w:t xml:space="preserve"> Queste esenzioni non sono facoltative, ma richiedono che il fornitore di servizi di pagamento (PSP) dimostri di possedere sistemi di monitoraggio delle frodi avanzati.</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15E431D2"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Le principali esenzioni includono:</w:t>
      </w:r>
    </w:p>
    <w:p xmlns:wp14="http://schemas.microsoft.com/office/word/2010/wordml" w:rsidR="00DE45A6" w:rsidRDefault="003E5FE0" w14:paraId="2D045963" wp14:textId="77777777">
      <w:pPr>
        <w:numPr>
          <w:ilvl w:val="0"/>
          <w:numId w:val="2"/>
        </w:numPr>
        <w:pBdr>
          <w:top w:val="nil"/>
          <w:left w:val="nil"/>
          <w:bottom w:val="nil"/>
          <w:right w:val="nil"/>
          <w:between w:val="nil"/>
        </w:pBdr>
        <w:spacing w:line="275" w:lineRule="auto"/>
      </w:pPr>
      <w:r>
        <w:rPr>
          <w:rFonts w:ascii="Google Sans" w:hAnsi="Google Sans" w:eastAsia="Google Sans" w:cs="Google Sans"/>
          <w:b/>
          <w:bCs/>
          <w:color w:val="1F1F1F"/>
        </w:rPr>
        <w:t>Pagamenti di basso valore:</w:t>
      </w:r>
      <w:r>
        <w:rPr>
          <w:rFonts w:ascii="Google Sans" w:hAnsi="Google Sans" w:eastAsia="Google Sans" w:cs="Google Sans"/>
          <w:color w:val="1F1F1F"/>
        </w:rPr>
        <w:t xml:space="preserve"> Transazioni e-commerce inferiori a 30 euro, fino a un massimo cumulativo di 100 euro o 5 operazioni consecutive.</w:t>
      </w:r>
      <w:r>
        <w:rPr>
          <w:rFonts w:ascii="Google Sans" w:hAnsi="Google Sans" w:eastAsia="Google Sans" w:cs="Google Sans"/>
          <w:color w:val="444746"/>
          <w:sz w:val="24"/>
          <w:szCs w:val="24"/>
          <w:vertAlign w:val="superscript"/>
        </w:rPr>
        <w:t>24</w:t>
      </w:r>
    </w:p>
    <w:p xmlns:wp14="http://schemas.microsoft.com/office/word/2010/wordml" w:rsidR="00DE45A6" w:rsidRDefault="003E5FE0" w14:paraId="6E07B986" wp14:textId="77777777">
      <w:pPr>
        <w:numPr>
          <w:ilvl w:val="0"/>
          <w:numId w:val="2"/>
        </w:numPr>
        <w:pBdr>
          <w:top w:val="nil"/>
          <w:left w:val="nil"/>
          <w:bottom w:val="nil"/>
          <w:right w:val="nil"/>
          <w:between w:val="nil"/>
        </w:pBdr>
        <w:spacing w:line="275" w:lineRule="auto"/>
      </w:pPr>
      <w:r>
        <w:rPr>
          <w:rFonts w:ascii="Google Sans" w:hAnsi="Google Sans" w:eastAsia="Google Sans" w:cs="Google Sans"/>
          <w:b/>
          <w:bCs/>
          <w:color w:val="1F1F1F"/>
        </w:rPr>
        <w:t>Contactless al punto vendita:</w:t>
      </w:r>
      <w:r>
        <w:rPr>
          <w:rFonts w:ascii="Google Sans" w:hAnsi="Google Sans" w:eastAsia="Google Sans" w:cs="Google Sans"/>
          <w:color w:val="1F1F1F"/>
        </w:rPr>
        <w:t xml:space="preserve"> Pagamenti fino a 50 euro, con limiti cumulativi di 150 euro o 5 operazioni.</w:t>
      </w:r>
      <w:r>
        <w:rPr>
          <w:rFonts w:ascii="Google Sans" w:hAnsi="Google Sans" w:eastAsia="Google Sans" w:cs="Google Sans"/>
          <w:color w:val="444746"/>
          <w:sz w:val="24"/>
          <w:szCs w:val="24"/>
          <w:vertAlign w:val="superscript"/>
        </w:rPr>
        <w:t>24</w:t>
      </w:r>
    </w:p>
    <w:p xmlns:wp14="http://schemas.microsoft.com/office/word/2010/wordml" w:rsidR="00DE45A6" w:rsidRDefault="003E5FE0" w14:paraId="550CA762" wp14:textId="77777777">
      <w:pPr>
        <w:numPr>
          <w:ilvl w:val="0"/>
          <w:numId w:val="2"/>
        </w:numPr>
        <w:pBdr>
          <w:top w:val="nil"/>
          <w:left w:val="nil"/>
          <w:bottom w:val="nil"/>
          <w:right w:val="nil"/>
          <w:between w:val="nil"/>
        </w:pBdr>
        <w:spacing w:line="275" w:lineRule="auto"/>
      </w:pPr>
      <w:r>
        <w:rPr>
          <w:rFonts w:ascii="Google Sans" w:hAnsi="Google Sans" w:eastAsia="Google Sans" w:cs="Google Sans"/>
          <w:b/>
          <w:bCs/>
          <w:color w:val="1F1F1F"/>
        </w:rPr>
        <w:t>Beneficiari attendibili (Whitelisting):</w:t>
      </w:r>
      <w:r>
        <w:rPr>
          <w:rFonts w:ascii="Google Sans" w:hAnsi="Google Sans" w:eastAsia="Google Sans" w:cs="Google Sans"/>
          <w:color w:val="1F1F1F"/>
        </w:rPr>
        <w:t xml:space="preserve"> L'utente può inserire un esercente in una lista di fiducia presso la propria banca, eliminando la necessità di SCA per gli acquisti futuri.</w:t>
      </w:r>
      <w:r>
        <w:rPr>
          <w:rFonts w:ascii="Google Sans" w:hAnsi="Google Sans" w:eastAsia="Google Sans" w:cs="Google Sans"/>
          <w:color w:val="444746"/>
          <w:sz w:val="24"/>
          <w:szCs w:val="24"/>
          <w:vertAlign w:val="superscript"/>
        </w:rPr>
        <w:t>23</w:t>
      </w:r>
    </w:p>
    <w:p xmlns:wp14="http://schemas.microsoft.com/office/word/2010/wordml" w:rsidR="00DE45A6" w:rsidRDefault="003E5FE0" w14:paraId="09C71A30" wp14:textId="77777777">
      <w:pPr>
        <w:numPr>
          <w:ilvl w:val="0"/>
          <w:numId w:val="2"/>
        </w:numPr>
        <w:pBdr>
          <w:top w:val="nil"/>
          <w:left w:val="nil"/>
          <w:bottom w:val="nil"/>
          <w:right w:val="nil"/>
          <w:between w:val="nil"/>
        </w:pBdr>
        <w:spacing w:line="275" w:lineRule="auto"/>
      </w:pPr>
      <w:r>
        <w:rPr>
          <w:rFonts w:ascii="Google Sans" w:hAnsi="Google Sans" w:eastAsia="Google Sans" w:cs="Google Sans"/>
          <w:b/>
          <w:bCs/>
          <w:color w:val="1F1F1F"/>
        </w:rPr>
        <w:t>Abbonamenti e pagamenti ricorrenti:</w:t>
      </w:r>
      <w:r>
        <w:rPr>
          <w:rFonts w:ascii="Google Sans" w:hAnsi="Google Sans" w:eastAsia="Google Sans" w:cs="Google Sans"/>
          <w:color w:val="1F1F1F"/>
        </w:rPr>
        <w:t xml:space="preserve"> SCA è richiesta solo per la prima transazione di una serie con lo stesso importo e beneficiario.</w:t>
      </w:r>
      <w:r>
        <w:rPr>
          <w:rFonts w:ascii="Google Sans" w:hAnsi="Google Sans" w:eastAsia="Google Sans" w:cs="Google Sans"/>
          <w:color w:val="444746"/>
          <w:sz w:val="24"/>
          <w:szCs w:val="24"/>
          <w:vertAlign w:val="superscript"/>
        </w:rPr>
        <w:t>23</w:t>
      </w:r>
    </w:p>
    <w:p xmlns:wp14="http://schemas.microsoft.com/office/word/2010/wordml" w:rsidR="00DE45A6" w:rsidRDefault="003E5FE0" w14:paraId="112A4801" wp14:textId="77777777">
      <w:pPr>
        <w:numPr>
          <w:ilvl w:val="0"/>
          <w:numId w:val="2"/>
        </w:numPr>
        <w:pBdr>
          <w:top w:val="nil"/>
          <w:left w:val="nil"/>
          <w:bottom w:val="nil"/>
          <w:right w:val="nil"/>
          <w:between w:val="nil"/>
        </w:pBdr>
        <w:spacing w:after="120" w:line="275" w:lineRule="auto"/>
      </w:pPr>
      <w:r>
        <w:rPr>
          <w:rFonts w:ascii="Google Sans" w:hAnsi="Google Sans" w:eastAsia="Google Sans" w:cs="Google Sans"/>
          <w:b/>
          <w:bCs/>
          <w:color w:val="1F1F1F"/>
        </w:rPr>
        <w:t>Transazioni a basso rischio (TRA):</w:t>
      </w:r>
      <w:r>
        <w:rPr>
          <w:rFonts w:ascii="Google Sans" w:hAnsi="Google Sans" w:eastAsia="Google Sans" w:cs="Google Sans"/>
          <w:color w:val="1F1F1F"/>
        </w:rPr>
        <w:t xml:space="preserve"> Basate sull'analisi in tempo reale dei tassi di frode del PSP.</w:t>
      </w:r>
      <w:r>
        <w:rPr>
          <w:rFonts w:ascii="Google Sans" w:hAnsi="Google Sans" w:eastAsia="Google Sans" w:cs="Google Sans"/>
          <w:color w:val="444746"/>
          <w:sz w:val="24"/>
          <w:szCs w:val="24"/>
          <w:vertAlign w:val="superscript"/>
        </w:rPr>
        <w:t>16</w:t>
      </w:r>
    </w:p>
    <w:p xmlns:wp14="http://schemas.microsoft.com/office/word/2010/wordml" w:rsidR="00DE45A6" w:rsidP="65CA3BC1" w:rsidRDefault="003E5FE0" w14:paraId="1B7F0614" wp14:textId="24FD6483">
      <w:pPr>
        <w:pStyle w:val="Titolo2"/>
        <w:spacing w:before="240" w:after="120" w:line="275" w:lineRule="auto"/>
        <w:rPr>
          <w:rFonts w:ascii="Google Sans" w:hAnsi="Google Sans" w:eastAsia="Google Sans" w:cs="Google Sans"/>
          <w:color w:val="1F1F1F"/>
        </w:rPr>
      </w:pPr>
    </w:p>
    <w:p xmlns:wp14="http://schemas.microsoft.com/office/word/2010/wordml" w:rsidR="00DE45A6" w:rsidP="65CA3BC1" w:rsidRDefault="003E5FE0" w14:paraId="6E326AC2" wp14:textId="0324990F">
      <w:pPr>
        <w:spacing w:before="240" w:after="120" w:line="275" w:lineRule="auto"/>
      </w:pPr>
      <w:r>
        <w:br w:type="page"/>
      </w:r>
    </w:p>
    <w:p xmlns:wp14="http://schemas.microsoft.com/office/word/2010/wordml" w:rsidR="00DE45A6" w:rsidRDefault="003E5FE0" w14:paraId="21383433" wp14:textId="3D46F283">
      <w:pPr>
        <w:pStyle w:val="Titolo2"/>
        <w:spacing w:before="240" w:after="120" w:line="275" w:lineRule="auto"/>
        <w:rPr>
          <w:rFonts w:ascii="Google Sans" w:hAnsi="Google Sans" w:eastAsia="Google Sans" w:cs="Google Sans"/>
          <w:color w:val="1F1F1F"/>
        </w:rPr>
      </w:pPr>
      <w:r w:rsidRPr="65CA3BC1" w:rsidR="553C1913">
        <w:rPr>
          <w:rFonts w:ascii="Google Sans" w:hAnsi="Google Sans" w:eastAsia="Google Sans" w:cs="Google Sans"/>
          <w:color w:val="1F1F1F"/>
        </w:rPr>
        <w:t>API e l'Architettura Tecnica dell'Open Banking</w:t>
      </w:r>
    </w:p>
    <w:p xmlns:wp14="http://schemas.microsoft.com/office/word/2010/wordml" w:rsidR="00DE45A6" w:rsidRDefault="003E5FE0" w14:paraId="10F0A8EF"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L'Open Banking è il pilastro della PSD2 che forza l'interoperabilità tra gli istituti bancari e le aziende Fintech.</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Tecnicamente, questo si realizza attraverso l'esposizione di Application Programming Interfaces (API) che permettono lo scambio di dati e l'avvio di pagamenti.</w:t>
      </w:r>
      <w:r>
        <w:rPr>
          <w:rFonts w:ascii="Google Sans" w:hAnsi="Google Sans" w:eastAsia="Google Sans" w:cs="Google Sans"/>
          <w:color w:val="444746"/>
          <w:sz w:val="24"/>
          <w:szCs w:val="24"/>
          <w:vertAlign w:val="superscript"/>
        </w:rPr>
        <w:t>3</w:t>
      </w:r>
      <w:r>
        <w:rPr>
          <w:rFonts w:ascii="Google Sans" w:hAnsi="Google Sans" w:eastAsia="Google Sans" w:cs="Google Sans"/>
          <w:color w:val="1F1F1F"/>
        </w:rPr>
        <w:t xml:space="preserve"> Le banche, nel ruolo di Account Servicing Payment Service Providers (ASPSP), devono fornire interfacce sicure e documentate affinché le terze parti (TPP) possano operare per conto degli utenti.</w:t>
      </w:r>
      <w:r>
        <w:rPr>
          <w:rFonts w:ascii="Google Sans" w:hAnsi="Google Sans" w:eastAsia="Google Sans" w:cs="Google Sans"/>
          <w:color w:val="444746"/>
          <w:sz w:val="24"/>
          <w:szCs w:val="24"/>
          <w:vertAlign w:val="superscript"/>
        </w:rPr>
        <w:t>1</w:t>
      </w:r>
    </w:p>
    <w:p xmlns:wp14="http://schemas.microsoft.com/office/word/2010/wordml" w:rsidR="00DE45A6" w:rsidP="65CA3BC1" w:rsidRDefault="003E5FE0" w14:paraId="0956F5A2" wp14:textId="77777777">
      <w:pPr>
        <w:pStyle w:val="Titolo3"/>
        <w:rPr>
          <w:rFonts w:ascii="Google Sans" w:hAnsi="Google Sans" w:eastAsia="Google Sans" w:cs="Google Sans"/>
          <w:color w:val="1F1F1F"/>
        </w:rPr>
      </w:pPr>
      <w:r w:rsidR="553C1913">
        <w:rPr/>
        <w:t>Cosa sono le API Bancarie e come funzionano</w:t>
      </w:r>
    </w:p>
    <w:p xmlns:wp14="http://schemas.microsoft.com/office/word/2010/wordml" w:rsidR="00DE45A6" w:rsidRDefault="003E5FE0" w14:paraId="43CE8F26"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Un'API bancaria è un insieme di definizioni e protocolli che permette al software di una Fintech di "parlare" con il sistema centrale di una banca in modo standardizzato.</w:t>
      </w:r>
      <w:r>
        <w:rPr>
          <w:rFonts w:ascii="Google Sans" w:hAnsi="Google Sans" w:eastAsia="Google Sans" w:cs="Google Sans"/>
          <w:color w:val="444746"/>
          <w:sz w:val="24"/>
          <w:szCs w:val="24"/>
          <w:vertAlign w:val="superscript"/>
        </w:rPr>
        <w:t>26</w:t>
      </w:r>
      <w:r>
        <w:rPr>
          <w:rFonts w:ascii="Google Sans" w:hAnsi="Google Sans" w:eastAsia="Google Sans" w:cs="Google Sans"/>
          <w:color w:val="1F1F1F"/>
        </w:rPr>
        <w:t xml:space="preserve"> La maggior parte delle API Open Banking segue l'architettura REST (Representational State Transfer) e utilizza il formato JSON (JavaScript Object Notation) per lo scambio di dati, garantendo leggerezza e facilità di integrazione.</w:t>
      </w:r>
      <w:r>
        <w:rPr>
          <w:rFonts w:ascii="Google Sans" w:hAnsi="Google Sans" w:eastAsia="Google Sans" w:cs="Google Sans"/>
          <w:color w:val="444746"/>
          <w:sz w:val="24"/>
          <w:szCs w:val="24"/>
          <w:vertAlign w:val="superscript"/>
        </w:rPr>
        <w:t>1</w:t>
      </w:r>
    </w:p>
    <w:p xmlns:wp14="http://schemas.microsoft.com/office/word/2010/wordml" w:rsidR="00DE45A6" w:rsidRDefault="003E5FE0" w14:paraId="457027B7"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Il processo di comunicazione tra una TPP e una banca avviene attraverso diversi livelli di sicurezza:</w:t>
      </w:r>
    </w:p>
    <w:p xmlns:wp14="http://schemas.microsoft.com/office/word/2010/wordml" w:rsidR="00DE45A6" w:rsidRDefault="003E5FE0" w14:paraId="2B168B07" wp14:textId="77777777">
      <w:pPr>
        <w:numPr>
          <w:ilvl w:val="0"/>
          <w:numId w:val="3"/>
        </w:numPr>
        <w:pBdr>
          <w:top w:val="nil"/>
          <w:left w:val="nil"/>
          <w:bottom w:val="nil"/>
          <w:right w:val="nil"/>
          <w:between w:val="nil"/>
        </w:pBdr>
        <w:spacing w:line="275" w:lineRule="auto"/>
      </w:pPr>
      <w:r>
        <w:rPr>
          <w:rFonts w:ascii="Google Sans" w:hAnsi="Google Sans" w:eastAsia="Google Sans" w:cs="Google Sans"/>
          <w:b/>
          <w:bCs/>
          <w:color w:val="1F1F1F"/>
        </w:rPr>
        <w:t>Identificazione tramite certificati eIDAS:</w:t>
      </w:r>
      <w:r>
        <w:rPr>
          <w:rFonts w:ascii="Google Sans" w:hAnsi="Google Sans" w:eastAsia="Google Sans" w:cs="Google Sans"/>
          <w:color w:val="1F1F1F"/>
        </w:rPr>
        <w:t xml:space="preserve"> Le TPP devono presentare certificati digitali qualificati (QWAC per l'autenticazione del sito web e QSealC per la firma dei dati) emessi da autorità certificate a livello europeo.</w:t>
      </w:r>
      <w:r>
        <w:rPr>
          <w:rFonts w:ascii="Google Sans" w:hAnsi="Google Sans" w:eastAsia="Google Sans" w:cs="Google Sans"/>
          <w:color w:val="444746"/>
          <w:sz w:val="24"/>
          <w:szCs w:val="24"/>
          <w:vertAlign w:val="superscript"/>
        </w:rPr>
        <w:t>4</w:t>
      </w:r>
    </w:p>
    <w:p xmlns:wp14="http://schemas.microsoft.com/office/word/2010/wordml" w:rsidR="00DE45A6" w:rsidRDefault="003E5FE0" w14:paraId="06E24347" wp14:textId="77777777">
      <w:pPr>
        <w:numPr>
          <w:ilvl w:val="0"/>
          <w:numId w:val="3"/>
        </w:numPr>
        <w:pBdr>
          <w:top w:val="nil"/>
          <w:left w:val="nil"/>
          <w:bottom w:val="nil"/>
          <w:right w:val="nil"/>
          <w:between w:val="nil"/>
        </w:pBdr>
        <w:spacing w:line="275" w:lineRule="auto"/>
      </w:pPr>
      <w:r>
        <w:rPr>
          <w:rFonts w:ascii="Google Sans" w:hAnsi="Google Sans" w:eastAsia="Google Sans" w:cs="Google Sans"/>
          <w:b/>
          <w:bCs/>
          <w:color w:val="1F1F1F"/>
        </w:rPr>
        <w:t>Canale crittografato mTLS:</w:t>
      </w:r>
      <w:r>
        <w:rPr>
          <w:rFonts w:ascii="Google Sans" w:hAnsi="Google Sans" w:eastAsia="Google Sans" w:cs="Google Sans"/>
          <w:color w:val="1F1F1F"/>
        </w:rPr>
        <w:t xml:space="preserve"> La connessione tra i server della TPP e quelli della banca è protetta da Mutual Transport Layer Security (mTLS), che garantisce che entrambi gli attori siano autenticati e che i dati non siano intercettabili.</w:t>
      </w:r>
      <w:r>
        <w:rPr>
          <w:rFonts w:ascii="Google Sans" w:hAnsi="Google Sans" w:eastAsia="Google Sans" w:cs="Google Sans"/>
          <w:color w:val="444746"/>
          <w:sz w:val="24"/>
          <w:szCs w:val="24"/>
          <w:vertAlign w:val="superscript"/>
        </w:rPr>
        <w:t>4</w:t>
      </w:r>
    </w:p>
    <w:p xmlns:wp14="http://schemas.microsoft.com/office/word/2010/wordml" w:rsidR="00DE45A6" w:rsidRDefault="003E5FE0" w14:paraId="26B0EEE9" wp14:textId="77777777">
      <w:pPr>
        <w:numPr>
          <w:ilvl w:val="0"/>
          <w:numId w:val="3"/>
        </w:numPr>
        <w:pBdr>
          <w:top w:val="nil"/>
          <w:left w:val="nil"/>
          <w:bottom w:val="nil"/>
          <w:right w:val="nil"/>
          <w:between w:val="nil"/>
        </w:pBdr>
        <w:spacing w:after="120" w:line="275" w:lineRule="auto"/>
      </w:pPr>
      <w:r>
        <w:rPr>
          <w:rFonts w:ascii="Google Sans" w:hAnsi="Google Sans" w:eastAsia="Google Sans" w:cs="Google Sans"/>
          <w:b/>
          <w:bCs/>
          <w:color w:val="1F1F1F"/>
        </w:rPr>
        <w:t>Standard di sicurezza FAPI:</w:t>
      </w:r>
      <w:r>
        <w:rPr>
          <w:rFonts w:ascii="Google Sans" w:hAnsi="Google Sans" w:eastAsia="Google Sans" w:cs="Google Sans"/>
          <w:color w:val="1F1F1F"/>
        </w:rPr>
        <w:t xml:space="preserve"> Molte giurisdizioni hanno adottato il profilo Financial-grade API (FAPI), che aggiunge restrizioni crittografiche più severe rispetto all'OAuth 2.0 standard per proteggere contro attacchi di tipo injection e session hijacking.</w:t>
      </w:r>
      <w:r>
        <w:rPr>
          <w:rFonts w:ascii="Google Sans" w:hAnsi="Google Sans" w:eastAsia="Google Sans" w:cs="Google Sans"/>
          <w:color w:val="444746"/>
          <w:sz w:val="24"/>
          <w:szCs w:val="24"/>
          <w:vertAlign w:val="superscript"/>
        </w:rPr>
        <w:t>1</w:t>
      </w:r>
    </w:p>
    <w:p xmlns:wp14="http://schemas.microsoft.com/office/word/2010/wordml" w:rsidR="00DE45A6" w:rsidP="65CA3BC1" w:rsidRDefault="003E5FE0" w14:paraId="055886C6" wp14:textId="77777777">
      <w:pPr>
        <w:pStyle w:val="Titolo3"/>
        <w:rPr>
          <w:rFonts w:ascii="Google Sans" w:hAnsi="Google Sans" w:eastAsia="Google Sans" w:cs="Google Sans"/>
          <w:color w:val="1F1F1F"/>
        </w:rPr>
      </w:pPr>
      <w:r w:rsidR="553C1913">
        <w:rPr/>
        <w:t xml:space="preserve">Protocolli di Autorizzazione: </w:t>
      </w:r>
      <w:r w:rsidR="553C1913">
        <w:rPr/>
        <w:t>OAuth</w:t>
      </w:r>
      <w:r w:rsidR="553C1913">
        <w:rPr/>
        <w:t xml:space="preserve"> 2.0 e </w:t>
      </w:r>
      <w:r w:rsidR="553C1913">
        <w:rPr/>
        <w:t>OpenID</w:t>
      </w:r>
      <w:r w:rsidR="553C1913">
        <w:rPr/>
        <w:t xml:space="preserve"> Connect</w:t>
      </w:r>
    </w:p>
    <w:p xmlns:wp14="http://schemas.microsoft.com/office/word/2010/wordml" w:rsidR="00DE45A6" w:rsidRDefault="003E5FE0" w14:paraId="6B74779B"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Per gestire il consenso dell'utente senza mai condividere le sue credenziali bancarie (username e password) con la terza parte, la PSD2 utilizza il framework OAuth 2.0.</w:t>
      </w:r>
      <w:r>
        <w:rPr>
          <w:rFonts w:ascii="Google Sans" w:hAnsi="Google Sans" w:eastAsia="Google Sans" w:cs="Google Sans"/>
          <w:color w:val="444746"/>
          <w:sz w:val="24"/>
          <w:szCs w:val="24"/>
          <w:vertAlign w:val="superscript"/>
        </w:rPr>
        <w:t>5</w:t>
      </w:r>
      <w:r>
        <w:rPr>
          <w:rFonts w:ascii="Google Sans" w:hAnsi="Google Sans" w:eastAsia="Google Sans" w:cs="Google Sans"/>
          <w:color w:val="1F1F1F"/>
        </w:rPr>
        <w:t xml:space="preserve"> Questo protocollo separa l'autenticazione dell'utente dall'autorizzazione dell'applicazione.</w:t>
      </w:r>
      <w:r>
        <w:rPr>
          <w:rFonts w:ascii="Google Sans" w:hAnsi="Google Sans" w:eastAsia="Google Sans" w:cs="Google Sans"/>
          <w:color w:val="444746"/>
          <w:sz w:val="24"/>
          <w:szCs w:val="24"/>
          <w:vertAlign w:val="superscript"/>
        </w:rPr>
        <w:t>33</w:t>
      </w:r>
    </w:p>
    <w:p xmlns:wp14="http://schemas.microsoft.com/office/word/2010/wordml" w:rsidR="00DE45A6" w:rsidRDefault="003E5FE0" w14:paraId="6983814C"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Il flusso tipico di autorizzazione si articola nei seguenti passaggi tecnici:</w:t>
      </w:r>
    </w:p>
    <w:p xmlns:wp14="http://schemas.microsoft.com/office/word/2010/wordml" w:rsidR="00DE45A6" w:rsidRDefault="003E5FE0" w14:paraId="2D36A368" wp14:textId="77777777">
      <w:pPr>
        <w:numPr>
          <w:ilvl w:val="0"/>
          <w:numId w:val="4"/>
        </w:numPr>
        <w:pBdr>
          <w:top w:val="nil"/>
          <w:left w:val="nil"/>
          <w:bottom w:val="nil"/>
          <w:right w:val="nil"/>
          <w:between w:val="nil"/>
        </w:pBdr>
        <w:spacing w:line="275" w:lineRule="auto"/>
      </w:pPr>
      <w:r>
        <w:rPr>
          <w:rFonts w:ascii="Google Sans" w:hAnsi="Google Sans" w:eastAsia="Google Sans" w:cs="Google Sans"/>
          <w:b/>
          <w:bCs/>
          <w:color w:val="1F1F1F"/>
        </w:rPr>
        <w:t>Redirect all'ASPSP:</w:t>
      </w:r>
      <w:r>
        <w:rPr>
          <w:rFonts w:ascii="Google Sans" w:hAnsi="Google Sans" w:eastAsia="Google Sans" w:cs="Google Sans"/>
          <w:color w:val="1F1F1F"/>
        </w:rPr>
        <w:t xml:space="preserve"> La TPP reindirizza l'utente alla pagina di login della sua banca.</w:t>
      </w:r>
      <w:r>
        <w:rPr>
          <w:rFonts w:ascii="Google Sans" w:hAnsi="Google Sans" w:eastAsia="Google Sans" w:cs="Google Sans"/>
          <w:color w:val="444746"/>
          <w:sz w:val="24"/>
          <w:szCs w:val="24"/>
          <w:vertAlign w:val="superscript"/>
        </w:rPr>
        <w:t>33</w:t>
      </w:r>
    </w:p>
    <w:p xmlns:wp14="http://schemas.microsoft.com/office/word/2010/wordml" w:rsidR="00DE45A6" w:rsidRDefault="003E5FE0" w14:paraId="18ACD7D5" wp14:textId="77777777">
      <w:pPr>
        <w:numPr>
          <w:ilvl w:val="0"/>
          <w:numId w:val="4"/>
        </w:numPr>
        <w:pBdr>
          <w:top w:val="nil"/>
          <w:left w:val="nil"/>
          <w:bottom w:val="nil"/>
          <w:right w:val="nil"/>
          <w:between w:val="nil"/>
        </w:pBdr>
        <w:spacing w:line="275" w:lineRule="auto"/>
      </w:pPr>
      <w:r>
        <w:rPr>
          <w:rFonts w:ascii="Google Sans" w:hAnsi="Google Sans" w:eastAsia="Google Sans" w:cs="Google Sans"/>
          <w:b/>
          <w:bCs/>
          <w:color w:val="1F1F1F"/>
        </w:rPr>
        <w:t>Autenticazione e Consenso:</w:t>
      </w:r>
      <w:r>
        <w:rPr>
          <w:rFonts w:ascii="Google Sans" w:hAnsi="Google Sans" w:eastAsia="Google Sans" w:cs="Google Sans"/>
          <w:color w:val="1F1F1F"/>
        </w:rPr>
        <w:t xml:space="preserve"> L'utente esegue il login presso la banca tramite SCA e conferma quali dati vuole condividere (es. saldo, lista movimenti) o quale pagamento vuole autorizzare.</w:t>
      </w:r>
      <w:r>
        <w:rPr>
          <w:rFonts w:ascii="Google Sans" w:hAnsi="Google Sans" w:eastAsia="Google Sans" w:cs="Google Sans"/>
          <w:color w:val="444746"/>
          <w:sz w:val="24"/>
          <w:szCs w:val="24"/>
          <w:vertAlign w:val="superscript"/>
        </w:rPr>
        <w:t>28</w:t>
      </w:r>
    </w:p>
    <w:p xmlns:wp14="http://schemas.microsoft.com/office/word/2010/wordml" w:rsidR="00DE45A6" w:rsidRDefault="003E5FE0" w14:paraId="49B2B67F" wp14:textId="77777777">
      <w:pPr>
        <w:numPr>
          <w:ilvl w:val="0"/>
          <w:numId w:val="4"/>
        </w:numPr>
        <w:pBdr>
          <w:top w:val="nil"/>
          <w:left w:val="nil"/>
          <w:bottom w:val="nil"/>
          <w:right w:val="nil"/>
          <w:between w:val="nil"/>
        </w:pBdr>
        <w:spacing w:line="275" w:lineRule="auto"/>
      </w:pPr>
      <w:r>
        <w:rPr>
          <w:rFonts w:ascii="Google Sans" w:hAnsi="Google Sans" w:eastAsia="Google Sans" w:cs="Google Sans"/>
          <w:b/>
          <w:bCs/>
          <w:color w:val="1F1F1F"/>
        </w:rPr>
        <w:t>Emissione dell'Authorization Code:</w:t>
      </w:r>
      <w:r>
        <w:rPr>
          <w:rFonts w:ascii="Google Sans" w:hAnsi="Google Sans" w:eastAsia="Google Sans" w:cs="Google Sans"/>
          <w:color w:val="1F1F1F"/>
        </w:rPr>
        <w:t xml:space="preserve"> La banca restituisce un codice temporaneo alla TPP tramite un URL di callback sicuro.</w:t>
      </w:r>
      <w:r>
        <w:rPr>
          <w:rFonts w:ascii="Google Sans" w:hAnsi="Google Sans" w:eastAsia="Google Sans" w:cs="Google Sans"/>
          <w:color w:val="444746"/>
          <w:sz w:val="24"/>
          <w:szCs w:val="24"/>
          <w:vertAlign w:val="superscript"/>
        </w:rPr>
        <w:t>32</w:t>
      </w:r>
    </w:p>
    <w:p xmlns:wp14="http://schemas.microsoft.com/office/word/2010/wordml" w:rsidR="00DE45A6" w:rsidRDefault="003E5FE0" w14:paraId="1F39FD39" wp14:textId="77777777">
      <w:pPr>
        <w:numPr>
          <w:ilvl w:val="0"/>
          <w:numId w:val="4"/>
        </w:numPr>
        <w:pBdr>
          <w:top w:val="nil"/>
          <w:left w:val="nil"/>
          <w:bottom w:val="nil"/>
          <w:right w:val="nil"/>
          <w:between w:val="nil"/>
        </w:pBdr>
        <w:spacing w:line="275" w:lineRule="auto"/>
      </w:pPr>
      <w:r>
        <w:rPr>
          <w:rFonts w:ascii="Google Sans" w:hAnsi="Google Sans" w:eastAsia="Google Sans" w:cs="Google Sans"/>
          <w:b/>
          <w:bCs/>
          <w:color w:val="1F1F1F"/>
        </w:rPr>
        <w:t>Scambio per l'Access Token:</w:t>
      </w:r>
      <w:r>
        <w:rPr>
          <w:rFonts w:ascii="Google Sans" w:hAnsi="Google Sans" w:eastAsia="Google Sans" w:cs="Google Sans"/>
          <w:color w:val="1F1F1F"/>
        </w:rPr>
        <w:t xml:space="preserve"> La TPP scambia l'Authorization Code con un Access Token e un Refresh Token, utilizzando le proprie credenziali client (Client ID e Secret).</w:t>
      </w:r>
      <w:r>
        <w:rPr>
          <w:rFonts w:ascii="Google Sans" w:hAnsi="Google Sans" w:eastAsia="Google Sans" w:cs="Google Sans"/>
          <w:color w:val="444746"/>
          <w:sz w:val="24"/>
          <w:szCs w:val="24"/>
          <w:vertAlign w:val="superscript"/>
        </w:rPr>
        <w:t>32</w:t>
      </w:r>
    </w:p>
    <w:p xmlns:wp14="http://schemas.microsoft.com/office/word/2010/wordml" w:rsidR="00DE45A6" w:rsidRDefault="003E5FE0" w14:paraId="521C1D82" wp14:textId="77777777">
      <w:pPr>
        <w:numPr>
          <w:ilvl w:val="0"/>
          <w:numId w:val="4"/>
        </w:numPr>
        <w:pBdr>
          <w:top w:val="nil"/>
          <w:left w:val="nil"/>
          <w:bottom w:val="nil"/>
          <w:right w:val="nil"/>
          <w:between w:val="nil"/>
        </w:pBdr>
        <w:spacing w:after="120" w:line="275" w:lineRule="auto"/>
      </w:pPr>
      <w:r>
        <w:rPr>
          <w:rFonts w:ascii="Google Sans" w:hAnsi="Google Sans" w:eastAsia="Google Sans" w:cs="Google Sans"/>
          <w:b/>
          <w:bCs/>
          <w:color w:val="1F1F1F"/>
        </w:rPr>
        <w:t>Accesso ai dati:</w:t>
      </w:r>
      <w:r>
        <w:rPr>
          <w:rFonts w:ascii="Google Sans" w:hAnsi="Google Sans" w:eastAsia="Google Sans" w:cs="Google Sans"/>
          <w:color w:val="1F1F1F"/>
        </w:rPr>
        <w:t xml:space="preserve"> La TPP utilizza l'Access Token nelle intestazioni HTTP delle chiamate API successive per recuperare i dati richiesti.</w:t>
      </w:r>
      <w:r>
        <w:rPr>
          <w:rFonts w:ascii="Google Sans" w:hAnsi="Google Sans" w:eastAsia="Google Sans" w:cs="Google Sans"/>
          <w:color w:val="444746"/>
          <w:sz w:val="24"/>
          <w:szCs w:val="24"/>
          <w:vertAlign w:val="superscript"/>
        </w:rPr>
        <w:t>33</w:t>
      </w:r>
    </w:p>
    <w:p xmlns:wp14="http://schemas.microsoft.com/office/word/2010/wordml" w:rsidR="00DE45A6" w:rsidRDefault="00DE45A6" w14:paraId="672A6659" wp14:textId="77777777">
      <w:pPr>
        <w:pBdr>
          <w:top w:val="nil"/>
          <w:left w:val="nil"/>
          <w:bottom w:val="nil"/>
          <w:right w:val="nil"/>
          <w:between w:val="nil"/>
        </w:pBdr>
        <w:spacing w:before="240" w:line="275" w:lineRule="auto"/>
        <w:rPr>
          <w:rFonts w:ascii="Google Sans" w:hAnsi="Google Sans" w:eastAsia="Google Sans" w:cs="Google Sans"/>
          <w:color w:val="444746"/>
          <w:sz w:val="24"/>
          <w:szCs w:val="24"/>
          <w:vertAlign w:val="superscript"/>
        </w:rPr>
      </w:pPr>
    </w:p>
    <w:tbl>
      <w:tblPr>
        <w:tblStyle w:val="a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xmlns:wp14="http://schemas.microsoft.com/office/word/2010/wordml" w:rsidR="00DE45A6" w14:paraId="29EC748C"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18E7431"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Token</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92B19C6"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Scopo Tecnico</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91672A2"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Durata Tipica</w:t>
            </w:r>
          </w:p>
        </w:tc>
      </w:tr>
      <w:tr xmlns:wp14="http://schemas.microsoft.com/office/word/2010/wordml" w:rsidR="00DE45A6" w14:paraId="27814177"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DB3DB89"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Authorization Code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65EDB539"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Codice temporaneo per ottenere i token finali</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5491C75"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&lt; 10 minuti </w:t>
            </w:r>
            <w:r>
              <w:rPr>
                <w:rFonts w:ascii="Google Sans" w:hAnsi="Google Sans" w:eastAsia="Google Sans" w:cs="Google Sans"/>
                <w:color w:val="444746"/>
                <w:sz w:val="24"/>
                <w:szCs w:val="24"/>
                <w:vertAlign w:val="superscript"/>
              </w:rPr>
              <w:t>5</w:t>
            </w:r>
          </w:p>
        </w:tc>
      </w:tr>
      <w:tr xmlns:wp14="http://schemas.microsoft.com/office/word/2010/wordml" w:rsidR="00DE45A6" w14:paraId="4AA1D0D5"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BFBD588"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Access Token</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51DEF80"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Utilizzato per autenticare ogni singola chiamata API</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5DCC12A1"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30-60 minuti </w:t>
            </w:r>
            <w:r>
              <w:rPr>
                <w:rFonts w:ascii="Google Sans" w:hAnsi="Google Sans" w:eastAsia="Google Sans" w:cs="Google Sans"/>
                <w:color w:val="444746"/>
                <w:sz w:val="24"/>
                <w:szCs w:val="24"/>
                <w:vertAlign w:val="superscript"/>
              </w:rPr>
              <w:t>34</w:t>
            </w:r>
          </w:p>
        </w:tc>
      </w:tr>
      <w:tr xmlns:wp14="http://schemas.microsoft.com/office/word/2010/wordml" w:rsidR="00DE45A6" w14:paraId="6F9902F2"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EC5C359"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Refresh Token</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1117D7F"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Utilizzato per ottenere un nuovo Access Token senza coinvolgere l'utente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2A364E8"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Giorni o Mesi (soggetto a regole SCA ogni 90-180 giorni) </w:t>
            </w:r>
            <w:r>
              <w:rPr>
                <w:rFonts w:ascii="Google Sans" w:hAnsi="Google Sans" w:eastAsia="Google Sans" w:cs="Google Sans"/>
                <w:color w:val="444746"/>
                <w:sz w:val="24"/>
                <w:szCs w:val="24"/>
                <w:vertAlign w:val="superscript"/>
              </w:rPr>
              <w:t>25</w:t>
            </w:r>
          </w:p>
        </w:tc>
      </w:tr>
    </w:tbl>
    <w:p xmlns:wp14="http://schemas.microsoft.com/office/word/2010/wordml" w:rsidR="00DE45A6" w:rsidP="65CA3BC1" w:rsidRDefault="003E5FE0" w14:paraId="04466BDD" wp14:textId="77777777">
      <w:pPr>
        <w:pStyle w:val="Titolo3"/>
        <w:rPr>
          <w:rFonts w:ascii="Google Sans" w:hAnsi="Google Sans" w:eastAsia="Google Sans" w:cs="Google Sans"/>
          <w:color w:val="1F1F1F"/>
        </w:rPr>
      </w:pPr>
      <w:r w:rsidR="553C1913">
        <w:rPr/>
        <w:t>AISP vs PISP: Meccanismi di Accesso ai Dati</w:t>
      </w:r>
    </w:p>
    <w:p xmlns:wp14="http://schemas.microsoft.com/office/word/2010/wordml" w:rsidR="00DE45A6" w:rsidRDefault="003E5FE0" w14:paraId="3F0BFE27"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Le API si dividono funzionalmente in base al ruolo della TPP, ciascuno con requisiti tecnici e permessi specifici.</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186FFB14"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I </w:t>
      </w:r>
      <w:r>
        <w:rPr>
          <w:rFonts w:ascii="Google Sans" w:hAnsi="Google Sans" w:eastAsia="Google Sans" w:cs="Google Sans"/>
          <w:b/>
          <w:bCs/>
          <w:color w:val="1F1F1F"/>
        </w:rPr>
        <w:t>PISP (Payment Initiation Service Providers)</w:t>
      </w:r>
      <w:r>
        <w:rPr>
          <w:rFonts w:ascii="Google Sans" w:hAnsi="Google Sans" w:eastAsia="Google Sans" w:cs="Google Sans"/>
          <w:color w:val="1F1F1F"/>
        </w:rPr>
        <w:t xml:space="preserve"> utilizzano API di "scrittura" per avviare transazioni direttamente dal conto dell'utente.</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Il flusso PISP è critico poiché richiede il Dynamic Linking: l'API di inizializzazione deve ricevere l'IBAN del beneficiario e l'importo, che verranno poi mostrati all'utente durante la fase di SCA sulla pagina della banca.</w:t>
      </w:r>
      <w:r>
        <w:rPr>
          <w:rFonts w:ascii="Google Sans" w:hAnsi="Google Sans" w:eastAsia="Google Sans" w:cs="Google Sans"/>
          <w:color w:val="444746"/>
          <w:sz w:val="24"/>
          <w:szCs w:val="24"/>
          <w:vertAlign w:val="superscript"/>
        </w:rPr>
        <w:t>11</w:t>
      </w:r>
      <w:r>
        <w:rPr>
          <w:rFonts w:ascii="Google Sans" w:hAnsi="Google Sans" w:eastAsia="Google Sans" w:cs="Google Sans"/>
          <w:color w:val="1F1F1F"/>
        </w:rPr>
        <w:t xml:space="preserve"> Una volta completato il flusso, la banca restituisce una conferma dell'avvenuta disposizione, permettendo al PISP di informare l'esercente in tempo reale.</w:t>
      </w:r>
      <w:r>
        <w:rPr>
          <w:rFonts w:ascii="Google Sans" w:hAnsi="Google Sans" w:eastAsia="Google Sans" w:cs="Google Sans"/>
          <w:color w:val="444746"/>
          <w:sz w:val="24"/>
          <w:szCs w:val="24"/>
          <w:vertAlign w:val="superscript"/>
        </w:rPr>
        <w:t>36</w:t>
      </w:r>
    </w:p>
    <w:p xmlns:wp14="http://schemas.microsoft.com/office/word/2010/wordml" w:rsidR="00DE45A6" w:rsidRDefault="003E5FE0" w14:paraId="2C0C9BE0"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Gli </w:t>
      </w:r>
      <w:r>
        <w:rPr>
          <w:rFonts w:ascii="Google Sans" w:hAnsi="Google Sans" w:eastAsia="Google Sans" w:cs="Google Sans"/>
          <w:b/>
          <w:bCs/>
          <w:color w:val="1F1F1F"/>
        </w:rPr>
        <w:t>AISP (Account Information Service Providers)</w:t>
      </w:r>
      <w:r>
        <w:rPr>
          <w:rFonts w:ascii="Google Sans" w:hAnsi="Google Sans" w:eastAsia="Google Sans" w:cs="Google Sans"/>
          <w:color w:val="1F1F1F"/>
        </w:rPr>
        <w:t xml:space="preserve"> utilizzano API di "lettura" per aggregare i dati finanziari.</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Tecnicamente, l'AISP crea una risorsa di "consenso" (Account Access Consent) che specifica quali permessi sono stati concessi, la data di scadenza del consenso e il periodo storico dei dati accessibili (es. ultimi 24 mesi).</w:t>
      </w:r>
      <w:r>
        <w:rPr>
          <w:rFonts w:ascii="Google Sans" w:hAnsi="Google Sans" w:eastAsia="Google Sans" w:cs="Google Sans"/>
          <w:color w:val="444746"/>
          <w:sz w:val="24"/>
          <w:szCs w:val="24"/>
          <w:vertAlign w:val="superscript"/>
        </w:rPr>
        <w:t>26</w:t>
      </w:r>
      <w:r>
        <w:rPr>
          <w:rFonts w:ascii="Google Sans" w:hAnsi="Google Sans" w:eastAsia="Google Sans" w:cs="Google Sans"/>
          <w:color w:val="1F1F1F"/>
        </w:rPr>
        <w:t xml:space="preserve"> Un'importante innovazione tecnica dell'AISP è la capacità di aggiornare i dati in background: una volta ottenuto il consenso, l'app può interrogare la banca fino a 4 volte al gior</w:t>
      </w:r>
      <w:r>
        <w:rPr>
          <w:rFonts w:ascii="Google Sans" w:hAnsi="Google Sans" w:eastAsia="Google Sans" w:cs="Google Sans"/>
          <w:color w:val="1F1F1F"/>
        </w:rPr>
        <w:t>no senza che l'utente debba ripetere la SCA.</w:t>
      </w:r>
      <w:r>
        <w:rPr>
          <w:rFonts w:ascii="Google Sans" w:hAnsi="Google Sans" w:eastAsia="Google Sans" w:cs="Google Sans"/>
          <w:color w:val="444746"/>
          <w:sz w:val="24"/>
          <w:szCs w:val="24"/>
          <w:vertAlign w:val="superscript"/>
        </w:rPr>
        <w:t>28</w:t>
      </w:r>
    </w:p>
    <w:p xmlns:wp14="http://schemas.microsoft.com/office/word/2010/wordml" w:rsidR="00DE45A6" w:rsidP="65CA3BC1" w:rsidRDefault="003E5FE0" w14:paraId="2CA22CF5" wp14:textId="6DE78FD8">
      <w:pPr>
        <w:pStyle w:val="Titolo2"/>
        <w:spacing w:before="0" w:after="120" w:line="275" w:lineRule="auto"/>
        <w:rPr>
          <w:rFonts w:ascii="Google Sans" w:hAnsi="Google Sans" w:eastAsia="Google Sans" w:cs="Google Sans"/>
          <w:color w:val="1F1F1F"/>
        </w:rPr>
      </w:pPr>
    </w:p>
    <w:p xmlns:wp14="http://schemas.microsoft.com/office/word/2010/wordml" w:rsidR="00DE45A6" w:rsidP="65CA3BC1" w:rsidRDefault="003E5FE0" w14:paraId="2E3B2ADE" wp14:textId="7771DE35">
      <w:pPr>
        <w:spacing w:before="0" w:after="120" w:line="275" w:lineRule="auto"/>
      </w:pPr>
      <w:r>
        <w:br w:type="page"/>
      </w:r>
    </w:p>
    <w:p xmlns:wp14="http://schemas.microsoft.com/office/word/2010/wordml" w:rsidR="00DE45A6" w:rsidRDefault="003E5FE0" w14:paraId="7A1B5B72" wp14:textId="2A9984F6">
      <w:pPr>
        <w:pStyle w:val="Titolo2"/>
        <w:spacing w:before="0" w:after="120" w:line="275" w:lineRule="auto"/>
        <w:rPr>
          <w:rFonts w:ascii="Google Sans" w:hAnsi="Google Sans" w:eastAsia="Google Sans" w:cs="Google Sans"/>
          <w:color w:val="1F1F1F"/>
        </w:rPr>
      </w:pPr>
      <w:r w:rsidRPr="65CA3BC1" w:rsidR="553C1913">
        <w:rPr>
          <w:rFonts w:ascii="Google Sans" w:hAnsi="Google Sans" w:eastAsia="Google Sans" w:cs="Google Sans"/>
          <w:color w:val="1F1F1F"/>
        </w:rPr>
        <w:t>Flusso Tecnico di un Pagamento Online: Orchestrazione e Step-by-Step</w:t>
      </w:r>
    </w:p>
    <w:p xmlns:wp14="http://schemas.microsoft.com/office/word/2010/wordml" w:rsidR="00DE45A6" w:rsidRDefault="003E5FE0" w14:paraId="42F307AE" wp14:textId="77777777">
      <w:pPr>
        <w:pBdr>
          <w:top w:val="nil"/>
          <w:left w:val="nil"/>
          <w:bottom w:val="nil"/>
          <w:right w:val="nil"/>
          <w:between w:val="nil"/>
        </w:pBdr>
        <w:spacing w:after="240" w:line="275" w:lineRule="auto"/>
        <w:rPr>
          <w:rFonts w:ascii="Google Sans" w:hAnsi="Google Sans" w:eastAsia="Google Sans" w:cs="Google Sans"/>
          <w:color w:val="1F1F1F"/>
        </w:rPr>
      </w:pPr>
      <w:r>
        <w:rPr>
          <w:rFonts w:ascii="Google Sans" w:hAnsi="Google Sans" w:eastAsia="Google Sans" w:cs="Google Sans"/>
          <w:color w:val="1F1F1F"/>
        </w:rPr>
        <w:t>Un pagamento online in ambito PSD2 non è un'operazione atomica, ma un'orchestrazione complessa di chiamate API e protocolli di sicurezza che coinvolge più domini di fiducia.</w:t>
      </w:r>
      <w:r>
        <w:rPr>
          <w:rFonts w:ascii="Google Sans" w:hAnsi="Google Sans" w:eastAsia="Google Sans" w:cs="Google Sans"/>
          <w:color w:val="444746"/>
          <w:sz w:val="24"/>
          <w:szCs w:val="24"/>
          <w:vertAlign w:val="superscript"/>
        </w:rPr>
        <w:t>2</w:t>
      </w:r>
      <w:r>
        <w:rPr>
          <w:rFonts w:ascii="Google Sans" w:hAnsi="Google Sans" w:eastAsia="Google Sans" w:cs="Google Sans"/>
          <w:color w:val="1F1F1F"/>
        </w:rPr>
        <w:t xml:space="preserve"> Analizziamo il percorso tecnico di una transazione e-commerce standard effettuata con carta di credito integrata con 3DS 2.0.</w:t>
      </w:r>
    </w:p>
    <w:p xmlns:wp14="http://schemas.microsoft.com/office/word/2010/wordml" w:rsidR="00DE45A6" w:rsidP="65CA3BC1" w:rsidRDefault="003E5FE0" w14:paraId="598CD4F2" wp14:textId="77777777">
      <w:pPr>
        <w:pStyle w:val="Titolo3"/>
        <w:rPr>
          <w:rFonts w:ascii="Google Sans" w:hAnsi="Google Sans" w:eastAsia="Google Sans" w:cs="Google Sans"/>
          <w:color w:val="1F1F1F"/>
        </w:rPr>
      </w:pPr>
      <w:r w:rsidR="553C1913">
        <w:rPr/>
        <w:t>Step 1: Caricamento del Merchant e Tokenizzazione</w:t>
      </w:r>
    </w:p>
    <w:p xmlns:wp14="http://schemas.microsoft.com/office/word/2010/wordml" w:rsidR="00DE45A6" w:rsidRDefault="003E5FE0" w14:paraId="52279B56"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Quando l'utente inserisce i dati della carta sul sito di un esercente che utilizza un gateway come Stripe o PayPal, i dati sensibili non toccano mai direttamente i server del commerciante.</w:t>
      </w:r>
      <w:r>
        <w:rPr>
          <w:rFonts w:ascii="Google Sans" w:hAnsi="Google Sans" w:eastAsia="Google Sans" w:cs="Google Sans"/>
          <w:color w:val="444746"/>
          <w:sz w:val="24"/>
          <w:szCs w:val="24"/>
          <w:vertAlign w:val="superscript"/>
        </w:rPr>
        <w:t>14</w:t>
      </w:r>
      <w:r>
        <w:rPr>
          <w:rFonts w:ascii="Google Sans" w:hAnsi="Google Sans" w:eastAsia="Google Sans" w:cs="Google Sans"/>
          <w:color w:val="1F1F1F"/>
        </w:rPr>
        <w:t xml:space="preserve"> Questo avviene attraverso la </w:t>
      </w:r>
      <w:r>
        <w:rPr>
          <w:rFonts w:ascii="Google Sans" w:hAnsi="Google Sans" w:eastAsia="Google Sans" w:cs="Google Sans"/>
          <w:b/>
          <w:bCs/>
          <w:color w:val="1F1F1F"/>
        </w:rPr>
        <w:t>tokenizzazione</w:t>
      </w:r>
      <w:r>
        <w:rPr>
          <w:rFonts w:ascii="Google Sans" w:hAnsi="Google Sans" w:eastAsia="Google Sans" w:cs="Google Sans"/>
          <w:color w:val="1F1F1F"/>
        </w:rPr>
        <w:t>: il campo di input della carta è solitamente un elemento protetto (come un iframe o un web component) fornito dal gateway.</w:t>
      </w:r>
      <w:r>
        <w:rPr>
          <w:rFonts w:ascii="Google Sans" w:hAnsi="Google Sans" w:eastAsia="Google Sans" w:cs="Google Sans"/>
          <w:color w:val="444746"/>
          <w:sz w:val="24"/>
          <w:szCs w:val="24"/>
          <w:vertAlign w:val="superscript"/>
        </w:rPr>
        <w:t>8</w:t>
      </w:r>
      <w:r>
        <w:rPr>
          <w:rFonts w:ascii="Google Sans" w:hAnsi="Google Sans" w:eastAsia="Google Sans" w:cs="Google Sans"/>
          <w:color w:val="1F1F1F"/>
        </w:rPr>
        <w:t xml:space="preserve"> Il browser invia i dati direttamente al gateway, che restituisce al merchant un "token" univoco. Questo processo riduce drasticamente l'ambito di conformità PCI-DSS dell'esercente e protegge l'utente in caso di data breach del sito e-commerce.</w:t>
      </w:r>
      <w:r>
        <w:rPr>
          <w:rFonts w:ascii="Google Sans" w:hAnsi="Google Sans" w:eastAsia="Google Sans" w:cs="Google Sans"/>
          <w:color w:val="444746"/>
          <w:sz w:val="24"/>
          <w:szCs w:val="24"/>
          <w:vertAlign w:val="superscript"/>
        </w:rPr>
        <w:t>8</w:t>
      </w:r>
    </w:p>
    <w:p xmlns:wp14="http://schemas.microsoft.com/office/word/2010/wordml" w:rsidR="00DE45A6" w:rsidP="65CA3BC1" w:rsidRDefault="003E5FE0" w14:paraId="7E7F6607" wp14:textId="77777777">
      <w:pPr>
        <w:pStyle w:val="Titolo3"/>
        <w:rPr>
          <w:rFonts w:ascii="Google Sans" w:hAnsi="Google Sans" w:eastAsia="Google Sans" w:cs="Google Sans"/>
          <w:color w:val="1F1F1F"/>
        </w:rPr>
      </w:pPr>
      <w:r w:rsidR="553C1913">
        <w:rPr/>
        <w:t>Step 2: Richiesta di Autenticazione (</w:t>
      </w:r>
      <w:r w:rsidR="553C1913">
        <w:rPr/>
        <w:t>AReq</w:t>
      </w:r>
      <w:r w:rsidR="553C1913">
        <w:rPr/>
        <w:t>)</w:t>
      </w:r>
    </w:p>
    <w:p xmlns:wp14="http://schemas.microsoft.com/office/word/2010/wordml" w:rsidR="00DE45A6" w:rsidRDefault="003E5FE0" w14:paraId="541AC53A"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Il merchant invia una richiesta di pagamento al proprio acquirer (la banca dell'esercente), che a sua volta contatta il directory server del circuito (Visa o Mastercard).</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Viene generata una "Authentication Request" (AReq) inviata all'Access Control Server (ACS) della banca emittente.</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In questa fase, vengono trasmessi i metadati necessari per la Risk-Based Authentication: dati sul browser, impostazioni della lingua, fuso orario, risoluzione dello schermo e dati storici dell'utente.</w:t>
      </w:r>
      <w:r>
        <w:rPr>
          <w:rFonts w:ascii="Google Sans" w:hAnsi="Google Sans" w:eastAsia="Google Sans" w:cs="Google Sans"/>
          <w:color w:val="444746"/>
          <w:sz w:val="24"/>
          <w:szCs w:val="24"/>
          <w:vertAlign w:val="superscript"/>
        </w:rPr>
        <w:t>15</w:t>
      </w:r>
    </w:p>
    <w:p xmlns:wp14="http://schemas.microsoft.com/office/word/2010/wordml" w:rsidR="00DE45A6" w:rsidP="65CA3BC1" w:rsidRDefault="003E5FE0" w14:paraId="5CFA3AC7" wp14:textId="77777777">
      <w:pPr>
        <w:pStyle w:val="Titolo3"/>
        <w:rPr>
          <w:rFonts w:ascii="Google Sans" w:hAnsi="Google Sans" w:eastAsia="Google Sans" w:cs="Google Sans"/>
          <w:color w:val="1F1F1F"/>
        </w:rPr>
      </w:pPr>
      <w:r w:rsidR="553C1913">
        <w:rPr/>
        <w:t>Step 3: Scelta del Percorso (</w:t>
      </w:r>
      <w:r w:rsidR="553C1913">
        <w:rPr/>
        <w:t>Frictionless</w:t>
      </w:r>
      <w:r w:rsidR="553C1913">
        <w:rPr/>
        <w:t xml:space="preserve"> vs Challenge)</w:t>
      </w:r>
    </w:p>
    <w:p xmlns:wp14="http://schemas.microsoft.com/office/word/2010/wordml" w:rsidR="00DE45A6" w:rsidRDefault="003E5FE0" w14:paraId="0AB158C6" wp14:textId="77777777">
      <w:pPr>
        <w:pBdr>
          <w:top w:val="nil"/>
          <w:left w:val="nil"/>
          <w:bottom w:val="nil"/>
          <w:right w:val="nil"/>
          <w:between w:val="nil"/>
        </w:pBdr>
        <w:spacing w:after="12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L'ACS della banca emittente analizza il rischio della transazione utilizzando motori di intelligenza artificiale.</w:t>
      </w:r>
      <w:r>
        <w:rPr>
          <w:rFonts w:ascii="Google Sans" w:hAnsi="Google Sans" w:eastAsia="Google Sans" w:cs="Google Sans"/>
          <w:color w:val="444746"/>
          <w:sz w:val="24"/>
          <w:szCs w:val="24"/>
          <w:vertAlign w:val="superscript"/>
        </w:rPr>
        <w:t>8</w:t>
      </w:r>
    </w:p>
    <w:p xmlns:wp14="http://schemas.microsoft.com/office/word/2010/wordml" w:rsidR="00DE45A6" w:rsidRDefault="003E5FE0" w14:paraId="4ACCBC77" wp14:textId="77777777">
      <w:pPr>
        <w:numPr>
          <w:ilvl w:val="0"/>
          <w:numId w:val="5"/>
        </w:numPr>
        <w:pBdr>
          <w:top w:val="nil"/>
          <w:left w:val="nil"/>
          <w:bottom w:val="nil"/>
          <w:right w:val="nil"/>
          <w:between w:val="nil"/>
        </w:pBdr>
        <w:spacing w:line="275" w:lineRule="auto"/>
      </w:pPr>
      <w:r>
        <w:rPr>
          <w:rFonts w:ascii="Google Sans" w:hAnsi="Google Sans" w:eastAsia="Google Sans" w:cs="Google Sans"/>
          <w:b/>
          <w:bCs/>
          <w:color w:val="1F1F1F"/>
        </w:rPr>
        <w:t>Frictionless Flow:</w:t>
      </w:r>
      <w:r>
        <w:rPr>
          <w:rFonts w:ascii="Google Sans" w:hAnsi="Google Sans" w:eastAsia="Google Sans" w:cs="Google Sans"/>
          <w:color w:val="1F1F1F"/>
        </w:rPr>
        <w:t xml:space="preserve"> Se l'analisi del rischio è favorevole, la banca risponde con una "Authentication Response" (ARes) positiva. L'utente non vede alcuna interruzione e viene reindirizzato direttamente alla pagina di conferma dell'ordine.</w:t>
      </w:r>
      <w:r>
        <w:rPr>
          <w:rFonts w:ascii="Google Sans" w:hAnsi="Google Sans" w:eastAsia="Google Sans" w:cs="Google Sans"/>
          <w:color w:val="444746"/>
          <w:sz w:val="24"/>
          <w:szCs w:val="24"/>
          <w:vertAlign w:val="superscript"/>
        </w:rPr>
        <w:t>15</w:t>
      </w:r>
    </w:p>
    <w:p xmlns:wp14="http://schemas.microsoft.com/office/word/2010/wordml" w:rsidR="00DE45A6" w:rsidRDefault="003E5FE0" w14:paraId="44ED5117" wp14:textId="77777777">
      <w:pPr>
        <w:numPr>
          <w:ilvl w:val="0"/>
          <w:numId w:val="5"/>
        </w:numPr>
        <w:pBdr>
          <w:top w:val="nil"/>
          <w:left w:val="nil"/>
          <w:bottom w:val="nil"/>
          <w:right w:val="nil"/>
          <w:between w:val="nil"/>
        </w:pBdr>
        <w:spacing w:after="120" w:line="275" w:lineRule="auto"/>
      </w:pPr>
      <w:r>
        <w:rPr>
          <w:rFonts w:ascii="Google Sans" w:hAnsi="Google Sans" w:eastAsia="Google Sans" w:cs="Google Sans"/>
          <w:b/>
          <w:bCs/>
          <w:color w:val="1F1F1F"/>
        </w:rPr>
        <w:t>Challenge Flow:</w:t>
      </w:r>
      <w:r>
        <w:rPr>
          <w:rFonts w:ascii="Google Sans" w:hAnsi="Google Sans" w:eastAsia="Google Sans" w:cs="Google Sans"/>
          <w:color w:val="1F1F1F"/>
        </w:rPr>
        <w:t xml:space="preserve"> Se il rischio è elevato o la normativa lo impone, la banca risponde richiedendo una verifica aggiuntiva.</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Il browser dell'utente apre una finestra di dialogo protetta dalla banca emittente.</w:t>
      </w:r>
    </w:p>
    <w:p xmlns:wp14="http://schemas.microsoft.com/office/word/2010/wordml" w:rsidR="00DE45A6" w:rsidP="65CA3BC1" w:rsidRDefault="003E5FE0" w14:paraId="1CC997C9" wp14:textId="77777777">
      <w:pPr>
        <w:pStyle w:val="Titolo3"/>
        <w:rPr>
          <w:rFonts w:ascii="Google Sans" w:hAnsi="Google Sans" w:eastAsia="Google Sans" w:cs="Google Sans"/>
          <w:color w:val="1F1F1F"/>
        </w:rPr>
      </w:pPr>
      <w:r w:rsidR="553C1913">
        <w:rPr/>
        <w:t>Step 4: Esecuzione della SCA e Dynamic Linking</w:t>
      </w:r>
    </w:p>
    <w:p xmlns:wp14="http://schemas.microsoft.com/office/word/2010/wordml" w:rsidR="00DE45A6" w:rsidRDefault="003E5FE0" w14:paraId="37C78938"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In un moderno scenario mobile-first, l'utente riceve una notifica push sul proprio smartphone.</w:t>
      </w:r>
      <w:r>
        <w:rPr>
          <w:rFonts w:ascii="Google Sans" w:hAnsi="Google Sans" w:eastAsia="Google Sans" w:cs="Google Sans"/>
          <w:color w:val="444746"/>
          <w:sz w:val="24"/>
          <w:szCs w:val="24"/>
          <w:vertAlign w:val="superscript"/>
        </w:rPr>
        <w:t>10</w:t>
      </w:r>
      <w:r>
        <w:rPr>
          <w:rFonts w:ascii="Google Sans" w:hAnsi="Google Sans" w:eastAsia="Google Sans" w:cs="Google Sans"/>
          <w:color w:val="1F1F1F"/>
        </w:rPr>
        <w:t xml:space="preserve"> Aprendo l'app bancaria, l'utente autentica la propria identità tramite inerenza (impronta digitale o Face ID).</w:t>
      </w:r>
      <w:r>
        <w:rPr>
          <w:rFonts w:ascii="Google Sans" w:hAnsi="Google Sans" w:eastAsia="Google Sans" w:cs="Google Sans"/>
          <w:color w:val="444746"/>
          <w:sz w:val="24"/>
          <w:szCs w:val="24"/>
          <w:vertAlign w:val="superscript"/>
        </w:rPr>
        <w:t>10</w:t>
      </w:r>
      <w:r>
        <w:rPr>
          <w:rFonts w:ascii="Google Sans" w:hAnsi="Google Sans" w:eastAsia="Google Sans" w:cs="Google Sans"/>
          <w:color w:val="1F1F1F"/>
        </w:rPr>
        <w:t xml:space="preserve"> Tecnicamente, il dispositivo mobile firma digitalmente una sfida (challenge) crittografica inviata dalla banca, incorporando l'importo e il nome del merchant per soddisfare il requisito del Dynamic Linking.</w:t>
      </w:r>
      <w:r>
        <w:rPr>
          <w:rFonts w:ascii="Google Sans" w:hAnsi="Google Sans" w:eastAsia="Google Sans" w:cs="Google Sans"/>
          <w:color w:val="444746"/>
          <w:sz w:val="24"/>
          <w:szCs w:val="24"/>
          <w:vertAlign w:val="superscript"/>
        </w:rPr>
        <w:t>13</w:t>
      </w:r>
    </w:p>
    <w:p xmlns:wp14="http://schemas.microsoft.com/office/word/2010/wordml" w:rsidR="00DE45A6" w:rsidP="65CA3BC1" w:rsidRDefault="003E5FE0" w14:paraId="2A9E9E55" wp14:textId="77777777">
      <w:pPr>
        <w:pStyle w:val="Titolo3"/>
        <w:rPr>
          <w:rFonts w:ascii="Google Sans" w:hAnsi="Google Sans" w:eastAsia="Google Sans" w:cs="Google Sans"/>
          <w:color w:val="1F1F1F"/>
        </w:rPr>
      </w:pPr>
      <w:r w:rsidR="553C1913">
        <w:rPr/>
        <w:t>Step 5: Autorizzazione Finale e Clearing</w:t>
      </w:r>
    </w:p>
    <w:p xmlns:wp14="http://schemas.microsoft.com/office/word/2010/wordml" w:rsidR="00DE45A6" w:rsidRDefault="003E5FE0" w14:paraId="35335E4B"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Una volta validata l'autenticazione, la banca emittente invia un messaggio di successo attraverso il circuito al gateway dell'esercente.</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Solo a questo punto avviene l'autorizzazione finanziaria vera e propria: la banca blocca l'importo sul conto dell'utente.</w:t>
      </w:r>
      <w:r>
        <w:rPr>
          <w:rFonts w:ascii="Google Sans" w:hAnsi="Google Sans" w:eastAsia="Google Sans" w:cs="Google Sans"/>
          <w:color w:val="444746"/>
          <w:sz w:val="24"/>
          <w:szCs w:val="24"/>
          <w:vertAlign w:val="superscript"/>
        </w:rPr>
        <w:t>16</w:t>
      </w:r>
      <w:r>
        <w:rPr>
          <w:rFonts w:ascii="Google Sans" w:hAnsi="Google Sans" w:eastAsia="Google Sans" w:cs="Google Sans"/>
          <w:color w:val="1F1F1F"/>
        </w:rPr>
        <w:t xml:space="preserve"> L'intero processo, sebbene coinvolga decine di server in tutto il mondo, si conclude tipicamente in meno di 5 secondi.</w:t>
      </w:r>
      <w:r>
        <w:rPr>
          <w:rFonts w:ascii="Google Sans" w:hAnsi="Google Sans" w:eastAsia="Google Sans" w:cs="Google Sans"/>
          <w:color w:val="444746"/>
          <w:sz w:val="24"/>
          <w:szCs w:val="24"/>
          <w:vertAlign w:val="superscript"/>
        </w:rPr>
        <w:t>16</w:t>
      </w:r>
    </w:p>
    <w:p xmlns:wp14="http://schemas.microsoft.com/office/word/2010/wordml" w:rsidR="00DE45A6" w:rsidP="65CA3BC1" w:rsidRDefault="003E5FE0" w14:paraId="4751F107" wp14:textId="77777777">
      <w:pPr>
        <w:pStyle w:val="Titolo2"/>
        <w:rPr>
          <w:rFonts w:ascii="Google Sans" w:hAnsi="Google Sans" w:eastAsia="Google Sans" w:cs="Google Sans"/>
          <w:color w:val="1F1F1F"/>
        </w:rPr>
      </w:pPr>
      <w:r w:rsidR="553C1913">
        <w:rPr/>
        <w:t>Innovazioni Tecnologiche: Embedded Finance e Pagamenti Istantanei</w:t>
      </w:r>
    </w:p>
    <w:p xmlns:wp14="http://schemas.microsoft.com/office/word/2010/wordml" w:rsidR="00DE45A6" w:rsidRDefault="003E5FE0" w14:paraId="393862F2"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 PSD2 ha agito come catalizzatore per nuovi modelli di business che vanno oltre il semplice home banking, portando alla nascita dell'Embedded Finance.</w:t>
      </w:r>
      <w:r>
        <w:rPr>
          <w:rFonts w:ascii="Google Sans" w:hAnsi="Google Sans" w:eastAsia="Google Sans" w:cs="Google Sans"/>
          <w:color w:val="444746"/>
          <w:sz w:val="24"/>
          <w:szCs w:val="24"/>
          <w:vertAlign w:val="superscript"/>
        </w:rPr>
        <w:t>7</w:t>
      </w:r>
      <w:r>
        <w:rPr>
          <w:rFonts w:ascii="Google Sans" w:hAnsi="Google Sans" w:eastAsia="Google Sans" w:cs="Google Sans"/>
          <w:color w:val="1F1F1F"/>
        </w:rPr>
        <w:t xml:space="preserve"> Questo termine indica l'integrazione nativa di servizi finanziari all'interno di applicazioni non finanziarie, trasformando ogni software in una potenziale piattaforma bancaria.</w:t>
      </w:r>
      <w:r>
        <w:rPr>
          <w:rFonts w:ascii="Google Sans" w:hAnsi="Google Sans" w:eastAsia="Google Sans" w:cs="Google Sans"/>
          <w:color w:val="444746"/>
          <w:sz w:val="24"/>
          <w:szCs w:val="24"/>
          <w:vertAlign w:val="superscript"/>
        </w:rPr>
        <w:t>42</w:t>
      </w:r>
    </w:p>
    <w:p xmlns:wp14="http://schemas.microsoft.com/office/word/2010/wordml" w:rsidR="00DE45A6" w:rsidP="65CA3BC1" w:rsidRDefault="003E5FE0" w14:paraId="5B9623C8" wp14:textId="77777777">
      <w:pPr>
        <w:pStyle w:val="Titolo3"/>
        <w:rPr>
          <w:rFonts w:ascii="Google Sans" w:hAnsi="Google Sans" w:eastAsia="Google Sans" w:cs="Google Sans"/>
          <w:color w:val="1F1F1F"/>
        </w:rPr>
      </w:pPr>
      <w:r w:rsidR="553C1913">
        <w:rPr/>
        <w:t>Embedded Finance: Meccanismi e Casi d'Uso</w:t>
      </w:r>
    </w:p>
    <w:p xmlns:wp14="http://schemas.microsoft.com/office/word/2010/wordml" w:rsidR="00DE45A6" w:rsidRDefault="003E5FE0" w14:paraId="0126C7ED"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L'Embedded Finance è resa possibile dalla modularità delle API PSD2, che permettono di "spacchettare" i servizi bancari tradizionali in componenti atomici pronti per essere integrati.</w:t>
      </w:r>
      <w:r>
        <w:rPr>
          <w:rFonts w:ascii="Google Sans" w:hAnsi="Google Sans" w:eastAsia="Google Sans" w:cs="Google Sans"/>
          <w:color w:val="444746"/>
          <w:sz w:val="24"/>
          <w:szCs w:val="24"/>
          <w:vertAlign w:val="superscript"/>
        </w:rPr>
        <w:t>7</w:t>
      </w:r>
    </w:p>
    <w:p xmlns:wp14="http://schemas.microsoft.com/office/word/2010/wordml" w:rsidR="00DE45A6" w:rsidRDefault="00DE45A6" w14:paraId="0A37501D"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p>
    <w:tbl>
      <w:tblPr>
        <w:tblStyle w:val="a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xmlns:wp14="http://schemas.microsoft.com/office/word/2010/wordml" w:rsidR="00DE45A6" w14:paraId="4C1200B1"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534C889"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Modello</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7B7F2BD"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Descrizione Tecnica</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49E503EC"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Esempio Pratico</w:t>
            </w:r>
          </w:p>
        </w:tc>
      </w:tr>
      <w:tr xmlns:wp14="http://schemas.microsoft.com/office/word/2010/wordml" w:rsidR="00DE45A6" w14:paraId="1348F9A7"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420A1ACB"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Embedded Payments</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66EFCA49"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Pagamenti invisibili gestiti in background tramite token e API PISP</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05AEF80"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Uber: il pagamento avviene automaticamente al termine della corsa </w:t>
            </w:r>
            <w:r>
              <w:rPr>
                <w:rFonts w:ascii="Google Sans" w:hAnsi="Google Sans" w:eastAsia="Google Sans" w:cs="Google Sans"/>
                <w:color w:val="444746"/>
                <w:sz w:val="24"/>
                <w:szCs w:val="24"/>
                <w:vertAlign w:val="superscript"/>
              </w:rPr>
              <w:t>42</w:t>
            </w:r>
          </w:p>
        </w:tc>
      </w:tr>
      <w:tr xmlns:wp14="http://schemas.microsoft.com/office/word/2010/wordml" w:rsidR="00DE45A6" w14:paraId="7B5CEAB0"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9AA6D06"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Embedded Lending</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A749FAF"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Credito concesso istantaneamente al punto vendita (BNPL) tramite analisi Open Banking</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D3F5E3B"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Klarna o Shopify Capital: finanziamenti basati sui flussi di cassa in tempo reale </w:t>
            </w:r>
            <w:r>
              <w:rPr>
                <w:rFonts w:ascii="Google Sans" w:hAnsi="Google Sans" w:eastAsia="Google Sans" w:cs="Google Sans"/>
                <w:color w:val="444746"/>
                <w:sz w:val="24"/>
                <w:szCs w:val="24"/>
                <w:vertAlign w:val="superscript"/>
              </w:rPr>
              <w:t>43</w:t>
            </w:r>
          </w:p>
        </w:tc>
      </w:tr>
      <w:tr xmlns:wp14="http://schemas.microsoft.com/office/word/2010/wordml" w:rsidR="00DE45A6" w14:paraId="4D719D61"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13366D3D"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Banking-as-a-Service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664F46CA"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Infrastruttura bancaria completa offerta tramite API a brand non bancari</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1278A5D2"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Apple Card: esperienza Apple su infrastruttura bancaria Goldman Sachs </w:t>
            </w:r>
            <w:r>
              <w:rPr>
                <w:rFonts w:ascii="Google Sans" w:hAnsi="Google Sans" w:eastAsia="Google Sans" w:cs="Google Sans"/>
                <w:color w:val="444746"/>
                <w:sz w:val="24"/>
                <w:szCs w:val="24"/>
                <w:vertAlign w:val="superscript"/>
              </w:rPr>
              <w:t>43</w:t>
            </w:r>
          </w:p>
        </w:tc>
      </w:tr>
      <w:tr xmlns:wp14="http://schemas.microsoft.com/office/word/2010/wordml" w:rsidR="00DE45A6" w14:paraId="27D92D65"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CD74ECF"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Embedded Insurance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68201B51"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Assicurazione venduta come addon digitale durante un processo di acquisto</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18736C33"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Amazon Pay che offre estensioni di garanzia con un clic </w:t>
            </w:r>
            <w:r>
              <w:rPr>
                <w:rFonts w:ascii="Google Sans" w:hAnsi="Google Sans" w:eastAsia="Google Sans" w:cs="Google Sans"/>
                <w:color w:val="444746"/>
                <w:sz w:val="24"/>
                <w:szCs w:val="24"/>
                <w:vertAlign w:val="superscript"/>
              </w:rPr>
              <w:t>43</w:t>
            </w:r>
          </w:p>
        </w:tc>
      </w:tr>
    </w:tbl>
    <w:p xmlns:wp14="http://schemas.microsoft.com/office/word/2010/wordml" w:rsidR="00DE45A6" w:rsidRDefault="003E5FE0" w14:paraId="73EF88FF"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Dal punto di vista tecnico, l'Embedded Finance si basa pesantemente sull'uso di SDK (Software Development Kits) che i fornitori di Banking-as-a-Service (BaaS) mettono a disposizione degli sviluppatori.</w:t>
      </w:r>
      <w:r>
        <w:rPr>
          <w:rFonts w:ascii="Google Sans" w:hAnsi="Google Sans" w:eastAsia="Google Sans" w:cs="Google Sans"/>
          <w:color w:val="444746"/>
          <w:sz w:val="24"/>
          <w:szCs w:val="24"/>
          <w:vertAlign w:val="superscript"/>
        </w:rPr>
        <w:t>43</w:t>
      </w:r>
      <w:r>
        <w:rPr>
          <w:rFonts w:ascii="Google Sans" w:hAnsi="Google Sans" w:eastAsia="Google Sans" w:cs="Google Sans"/>
          <w:color w:val="1F1F1F"/>
        </w:rPr>
        <w:t xml:space="preserve"> Questi kit gestiscono internamente la complessità della conformità PSD2, della crittografia e della gestione delle sessioni, permettendo all'azienda ospite di concentrarsi sull'esperienza utente.</w:t>
      </w:r>
      <w:r>
        <w:rPr>
          <w:rFonts w:ascii="Google Sans" w:hAnsi="Google Sans" w:eastAsia="Google Sans" w:cs="Google Sans"/>
          <w:color w:val="444746"/>
          <w:sz w:val="24"/>
          <w:szCs w:val="24"/>
          <w:vertAlign w:val="superscript"/>
        </w:rPr>
        <w:t>42</w:t>
      </w:r>
    </w:p>
    <w:p xmlns:wp14="http://schemas.microsoft.com/office/word/2010/wordml" w:rsidR="00DE45A6" w:rsidP="65CA3BC1" w:rsidRDefault="003E5FE0" w14:paraId="2E08E628" wp14:textId="77777777">
      <w:pPr>
        <w:pStyle w:val="Titolo3"/>
        <w:rPr>
          <w:rFonts w:ascii="Google Sans" w:hAnsi="Google Sans" w:eastAsia="Google Sans" w:cs="Google Sans"/>
          <w:color w:val="1F1F1F"/>
        </w:rPr>
      </w:pPr>
      <w:r w:rsidR="553C1913">
        <w:rPr/>
        <w:t>Pagamenti Istantanei e Architettura Real-Time</w:t>
      </w:r>
    </w:p>
    <w:p xmlns:wp14="http://schemas.microsoft.com/office/word/2010/wordml" w:rsidR="00DE45A6" w:rsidRDefault="003E5FE0" w14:paraId="1B0DA8EA"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Parallelamente alla PSD2, l'area SEPA ha visto l'implementazione del protocollo SCT Inst (SEPA Instant Credit Transfer), che permette il trasferimento di fondi in meno di 10 secondi, 24 ore su 24, 365 giorni l'anno.</w:t>
      </w:r>
      <w:r>
        <w:rPr>
          <w:rFonts w:ascii="Google Sans" w:hAnsi="Google Sans" w:eastAsia="Google Sans" w:cs="Google Sans"/>
          <w:color w:val="444746"/>
          <w:sz w:val="24"/>
          <w:szCs w:val="24"/>
          <w:vertAlign w:val="superscript"/>
        </w:rPr>
        <w:t>38</w:t>
      </w:r>
      <w:r>
        <w:rPr>
          <w:rFonts w:ascii="Google Sans" w:hAnsi="Google Sans" w:eastAsia="Google Sans" w:cs="Google Sans"/>
          <w:color w:val="1F1F1F"/>
        </w:rPr>
        <w:t xml:space="preserve"> L'unione di API PISP e pagamenti istantanei crea una minaccia tecnologica diretta ai circuiti di carte tradizionali: un commerciante può ricevere il denaro sul proprio conto quasi istantaneamente, riducendo le commissioni di transazione e il rischio di chargeback, poiché i bonifici istantanei sono definitivi e non stornabili.</w:t>
      </w:r>
      <w:r>
        <w:rPr>
          <w:rFonts w:ascii="Google Sans" w:hAnsi="Google Sans" w:eastAsia="Google Sans" w:cs="Google Sans"/>
          <w:color w:val="444746"/>
          <w:sz w:val="24"/>
          <w:szCs w:val="24"/>
          <w:vertAlign w:val="superscript"/>
        </w:rPr>
        <w:t>2</w:t>
      </w:r>
    </w:p>
    <w:p xmlns:wp14="http://schemas.microsoft.com/office/word/2010/wordml" w:rsidR="00DE45A6" w:rsidP="65CA3BC1" w:rsidRDefault="003E5FE0" w14:paraId="2616A3D3" wp14:textId="283DB230">
      <w:pPr>
        <w:pStyle w:val="Titolo2"/>
        <w:spacing w:before="0" w:after="120" w:line="275" w:lineRule="auto"/>
        <w:rPr>
          <w:rFonts w:ascii="Google Sans" w:hAnsi="Google Sans" w:eastAsia="Google Sans" w:cs="Google Sans"/>
          <w:color w:val="1F1F1F"/>
        </w:rPr>
      </w:pPr>
    </w:p>
    <w:p xmlns:wp14="http://schemas.microsoft.com/office/word/2010/wordml" w:rsidR="00DE45A6" w:rsidP="65CA3BC1" w:rsidRDefault="003E5FE0" w14:paraId="4D13D226" wp14:textId="29203CCD">
      <w:pPr>
        <w:spacing w:before="0" w:after="120" w:line="275" w:lineRule="auto"/>
      </w:pPr>
      <w:r>
        <w:br w:type="page"/>
      </w:r>
    </w:p>
    <w:p xmlns:wp14="http://schemas.microsoft.com/office/word/2010/wordml" w:rsidR="00DE45A6" w:rsidRDefault="003E5FE0" w14:paraId="3EB3805E" wp14:textId="558D838A">
      <w:pPr>
        <w:pStyle w:val="Titolo2"/>
        <w:spacing w:before="0" w:after="120" w:line="275" w:lineRule="auto"/>
        <w:rPr>
          <w:rFonts w:ascii="Google Sans" w:hAnsi="Google Sans" w:eastAsia="Google Sans" w:cs="Google Sans"/>
          <w:color w:val="1F1F1F"/>
        </w:rPr>
      </w:pPr>
      <w:r w:rsidRPr="65CA3BC1" w:rsidR="553C1913">
        <w:rPr>
          <w:rFonts w:ascii="Google Sans" w:hAnsi="Google Sans" w:eastAsia="Google Sans" w:cs="Google Sans"/>
          <w:color w:val="1F1F1F"/>
        </w:rPr>
        <w:t>Sicurezza Informatica e Anti-</w:t>
      </w:r>
      <w:r w:rsidRPr="65CA3BC1" w:rsidR="553C1913">
        <w:rPr>
          <w:rFonts w:ascii="Google Sans" w:hAnsi="Google Sans" w:eastAsia="Google Sans" w:cs="Google Sans"/>
          <w:color w:val="1F1F1F"/>
        </w:rPr>
        <w:t>Fraud</w:t>
      </w:r>
      <w:r w:rsidRPr="65CA3BC1" w:rsidR="553C1913">
        <w:rPr>
          <w:rFonts w:ascii="Google Sans" w:hAnsi="Google Sans" w:eastAsia="Google Sans" w:cs="Google Sans"/>
          <w:color w:val="1F1F1F"/>
        </w:rPr>
        <w:t xml:space="preserve"> Monitoring</w:t>
      </w:r>
    </w:p>
    <w:p xmlns:wp14="http://schemas.microsoft.com/office/word/2010/wordml" w:rsidR="00DE45A6" w:rsidRDefault="003E5FE0" w14:paraId="7ADE925A"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L'apertura dei sistemi bancari attraverso le API ha aumentato la superficie di attacco, richiedendo alle istituzioni finanziarie di adottare strategie di sicurezza "zero-trust".</w:t>
      </w:r>
      <w:r>
        <w:rPr>
          <w:rFonts w:ascii="Google Sans" w:hAnsi="Google Sans" w:eastAsia="Google Sans" w:cs="Google Sans"/>
          <w:color w:val="444746"/>
          <w:sz w:val="24"/>
          <w:szCs w:val="24"/>
          <w:vertAlign w:val="superscript"/>
        </w:rPr>
        <w:t>3</w:t>
      </w:r>
      <w:r>
        <w:rPr>
          <w:rFonts w:ascii="Google Sans" w:hAnsi="Google Sans" w:eastAsia="Google Sans" w:cs="Google Sans"/>
          <w:color w:val="1F1F1F"/>
        </w:rPr>
        <w:t xml:space="preserve"> La sicurezza informatica nella PSD2 non è più una questione di perimetri fisici, ma di protezione dei dati in transito e verifica continua dell'identità.</w:t>
      </w:r>
      <w:r>
        <w:rPr>
          <w:rFonts w:ascii="Google Sans" w:hAnsi="Google Sans" w:eastAsia="Google Sans" w:cs="Google Sans"/>
          <w:color w:val="444746"/>
          <w:sz w:val="24"/>
          <w:szCs w:val="24"/>
          <w:vertAlign w:val="superscript"/>
        </w:rPr>
        <w:t>4</w:t>
      </w:r>
    </w:p>
    <w:p xmlns:wp14="http://schemas.microsoft.com/office/word/2010/wordml" w:rsidR="00DE45A6" w:rsidP="65CA3BC1" w:rsidRDefault="003E5FE0" w14:paraId="531244D2" wp14:textId="77777777">
      <w:pPr>
        <w:pStyle w:val="Titolo3"/>
        <w:rPr>
          <w:rFonts w:ascii="Google Sans" w:hAnsi="Google Sans" w:eastAsia="Google Sans" w:cs="Google Sans"/>
          <w:color w:val="1F1F1F"/>
        </w:rPr>
      </w:pPr>
      <w:r w:rsidR="553C1913">
        <w:rPr/>
        <w:t>Tecniche di Monitoraggio Avanzate e Machine Learning</w:t>
      </w:r>
    </w:p>
    <w:p xmlns:wp14="http://schemas.microsoft.com/office/word/2010/wordml" w:rsidR="00DE45A6" w:rsidRDefault="003E5FE0" w14:paraId="28390D97"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 PSD2 impone ai PSP di implementare meccanismi di monitoraggio delle transazioni per individuare tentativi di frode legati alla compromissione delle credenziali.</w:t>
      </w:r>
      <w:r>
        <w:rPr>
          <w:rFonts w:ascii="Google Sans" w:hAnsi="Google Sans" w:eastAsia="Google Sans" w:cs="Google Sans"/>
          <w:color w:val="444746"/>
          <w:sz w:val="24"/>
          <w:szCs w:val="24"/>
          <w:vertAlign w:val="superscript"/>
        </w:rPr>
        <w:t>6</w:t>
      </w:r>
      <w:r>
        <w:rPr>
          <w:rFonts w:ascii="Google Sans" w:hAnsi="Google Sans" w:eastAsia="Google Sans" w:cs="Google Sans"/>
          <w:color w:val="1F1F1F"/>
        </w:rPr>
        <w:t xml:space="preserve"> Questo viene realizzato tecnicamente attraverso motori di analisi che operano in tempo reale, spesso basati su modelli di Machine Learning che apprendono continuamente dai nuovi pattern di attacco.</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0FF4319A"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Questi sistemi analizzano diverse dimensioni:</w:t>
      </w:r>
    </w:p>
    <w:p xmlns:wp14="http://schemas.microsoft.com/office/word/2010/wordml" w:rsidR="00DE45A6" w:rsidRDefault="003E5FE0" w14:paraId="69B19DA2" wp14:textId="77777777">
      <w:pPr>
        <w:numPr>
          <w:ilvl w:val="0"/>
          <w:numId w:val="6"/>
        </w:numPr>
        <w:pBdr>
          <w:top w:val="nil"/>
          <w:left w:val="nil"/>
          <w:bottom w:val="nil"/>
          <w:right w:val="nil"/>
          <w:between w:val="nil"/>
        </w:pBdr>
        <w:spacing w:line="275" w:lineRule="auto"/>
      </w:pPr>
      <w:r>
        <w:rPr>
          <w:rFonts w:ascii="Google Sans" w:hAnsi="Google Sans" w:eastAsia="Google Sans" w:cs="Google Sans"/>
          <w:b/>
          <w:bCs/>
          <w:color w:val="1F1F1F"/>
        </w:rPr>
        <w:t>Dati comportamentali:</w:t>
      </w:r>
      <w:r>
        <w:rPr>
          <w:rFonts w:ascii="Google Sans" w:hAnsi="Google Sans" w:eastAsia="Google Sans" w:cs="Google Sans"/>
          <w:color w:val="1F1F1F"/>
        </w:rPr>
        <w:t xml:space="preserve"> Come l'utente muove il mouse, la velocità di digitazione, e le modalità di interazione con l'app.</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682372E5" wp14:textId="77777777">
      <w:pPr>
        <w:numPr>
          <w:ilvl w:val="0"/>
          <w:numId w:val="6"/>
        </w:numPr>
        <w:pBdr>
          <w:top w:val="nil"/>
          <w:left w:val="nil"/>
          <w:bottom w:val="nil"/>
          <w:right w:val="nil"/>
          <w:between w:val="nil"/>
        </w:pBdr>
        <w:spacing w:line="275" w:lineRule="auto"/>
      </w:pPr>
      <w:r>
        <w:rPr>
          <w:rFonts w:ascii="Google Sans" w:hAnsi="Google Sans" w:eastAsia="Google Sans" w:cs="Google Sans"/>
          <w:b/>
          <w:bCs/>
          <w:color w:val="1F1F1F"/>
        </w:rPr>
        <w:t>Fingerprinting del dispositivo:</w:t>
      </w:r>
      <w:r>
        <w:rPr>
          <w:rFonts w:ascii="Google Sans" w:hAnsi="Google Sans" w:eastAsia="Google Sans" w:cs="Google Sans"/>
          <w:color w:val="1F1F1F"/>
        </w:rPr>
        <w:t xml:space="preserve"> Analisi di hardware, sistema operativo, versioni dei plugin e configurazioni di rete per rilevare emulatori o dispositivi associati a frodi note.</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3CF0AA92" wp14:textId="77777777">
      <w:pPr>
        <w:numPr>
          <w:ilvl w:val="0"/>
          <w:numId w:val="6"/>
        </w:numPr>
        <w:pBdr>
          <w:top w:val="nil"/>
          <w:left w:val="nil"/>
          <w:bottom w:val="nil"/>
          <w:right w:val="nil"/>
          <w:between w:val="nil"/>
        </w:pBdr>
        <w:spacing w:line="275" w:lineRule="auto"/>
      </w:pPr>
      <w:r>
        <w:rPr>
          <w:rFonts w:ascii="Google Sans" w:hAnsi="Google Sans" w:eastAsia="Google Sans" w:cs="Google Sans"/>
          <w:b/>
          <w:bCs/>
          <w:color w:val="1F1F1F"/>
        </w:rPr>
        <w:t>Geolocalizzazione e IP Intelligence:</w:t>
      </w:r>
      <w:r>
        <w:rPr>
          <w:rFonts w:ascii="Google Sans" w:hAnsi="Google Sans" w:eastAsia="Google Sans" w:cs="Google Sans"/>
          <w:color w:val="1F1F1F"/>
        </w:rPr>
        <w:t xml:space="preserve"> Confronto tra la posizione dichiarata della transazione e la posizione reale del dispositivo, rilevando l'uso di VPN sospette o proxy anonimi.</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2B64633F" wp14:textId="77777777">
      <w:pPr>
        <w:numPr>
          <w:ilvl w:val="0"/>
          <w:numId w:val="6"/>
        </w:numPr>
        <w:pBdr>
          <w:top w:val="nil"/>
          <w:left w:val="nil"/>
          <w:bottom w:val="nil"/>
          <w:right w:val="nil"/>
          <w:between w:val="nil"/>
        </w:pBdr>
        <w:spacing w:after="120" w:line="275" w:lineRule="auto"/>
      </w:pPr>
      <w:r>
        <w:rPr>
          <w:rFonts w:ascii="Google Sans" w:hAnsi="Google Sans" w:eastAsia="Google Sans" w:cs="Google Sans"/>
          <w:b/>
          <w:bCs/>
          <w:color w:val="1F1F1F"/>
        </w:rPr>
        <w:t>Analisi della velocità (Velocity Checks):</w:t>
      </w:r>
      <w:r>
        <w:rPr>
          <w:rFonts w:ascii="Google Sans" w:hAnsi="Google Sans" w:eastAsia="Google Sans" w:cs="Google Sans"/>
          <w:color w:val="1F1F1F"/>
        </w:rPr>
        <w:t xml:space="preserve"> Monitoraggio della frequenza delle transazioni o dei tentativi di login per bloccare attacchi automatizzati di tipo "credential stuffing".</w:t>
      </w:r>
      <w:r>
        <w:rPr>
          <w:rFonts w:ascii="Google Sans" w:hAnsi="Google Sans" w:eastAsia="Google Sans" w:cs="Google Sans"/>
          <w:color w:val="444746"/>
          <w:sz w:val="24"/>
          <w:szCs w:val="24"/>
          <w:vertAlign w:val="superscript"/>
        </w:rPr>
        <w:t>6</w:t>
      </w:r>
    </w:p>
    <w:p xmlns:wp14="http://schemas.microsoft.com/office/word/2010/wordml" w:rsidR="00DE45A6" w:rsidP="65CA3BC1" w:rsidRDefault="003E5FE0" w14:paraId="31893DE4" wp14:textId="77777777">
      <w:pPr>
        <w:pStyle w:val="Titolo3"/>
        <w:rPr>
          <w:rFonts w:ascii="Google Sans" w:hAnsi="Google Sans" w:eastAsia="Google Sans" w:cs="Google Sans"/>
          <w:color w:val="1F1F1F"/>
        </w:rPr>
      </w:pPr>
      <w:r w:rsidR="553C1913">
        <w:rPr/>
        <w:t>Crittografia e Tokenizzazione nel Post-PSD2</w:t>
      </w:r>
    </w:p>
    <w:p xmlns:wp14="http://schemas.microsoft.com/office/word/2010/wordml" w:rsidR="00DE45A6" w:rsidRDefault="003E5FE0" w14:paraId="1EBC7D0B"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 crittografia rimane il baluardo fondamentale. Oltre al TLS per i dati in movimento, la PSD2 incoraggia l'uso della crittografia "at-rest" per i dati memorizzati e la pseudonimizzazione dei dati condivisi con le TPP per rispettare il GDPR.</w:t>
      </w:r>
      <w:r>
        <w:rPr>
          <w:rFonts w:ascii="Google Sans" w:hAnsi="Google Sans" w:eastAsia="Google Sans" w:cs="Google Sans"/>
          <w:color w:val="444746"/>
          <w:sz w:val="24"/>
          <w:szCs w:val="24"/>
          <w:vertAlign w:val="superscript"/>
        </w:rPr>
        <w:t>6</w:t>
      </w:r>
      <w:r>
        <w:rPr>
          <w:rFonts w:ascii="Google Sans" w:hAnsi="Google Sans" w:eastAsia="Google Sans" w:cs="Google Sans"/>
          <w:color w:val="1F1F1F"/>
        </w:rPr>
        <w:t xml:space="preserve"> La tokenizzazione, originariamente concepita per i numeri di carta (PAN), si sta estendendo ad altri identificatori finanziari, rendendo i dati scambiati tra API privi di valore intrinseco se intercettati da un attaccante.</w:t>
      </w:r>
      <w:r>
        <w:rPr>
          <w:rFonts w:ascii="Google Sans" w:hAnsi="Google Sans" w:eastAsia="Google Sans" w:cs="Google Sans"/>
          <w:color w:val="444746"/>
          <w:sz w:val="24"/>
          <w:szCs w:val="24"/>
          <w:vertAlign w:val="superscript"/>
        </w:rPr>
        <w:t>8</w:t>
      </w:r>
    </w:p>
    <w:p xmlns:wp14="http://schemas.microsoft.com/office/word/2010/wordml" w:rsidR="00DE45A6" w:rsidP="65CA3BC1" w:rsidRDefault="003E5FE0" w14:paraId="13202094" wp14:textId="77777777">
      <w:pPr>
        <w:pStyle w:val="Titolo3"/>
        <w:rPr>
          <w:rFonts w:ascii="Google Sans" w:hAnsi="Google Sans" w:eastAsia="Google Sans" w:cs="Google Sans"/>
          <w:color w:val="1F1F1F"/>
        </w:rPr>
      </w:pPr>
      <w:r w:rsidR="553C1913">
        <w:rPr/>
        <w:t>Cybercrime e Rischi Tecnologici: L'Evoluzione delle Minacce</w:t>
      </w:r>
    </w:p>
    <w:p xmlns:wp14="http://schemas.microsoft.com/office/word/2010/wordml" w:rsidR="00DE45A6" w:rsidRDefault="003E5FE0" w14:paraId="4C8745C5"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Con l'irrobustimento delle difese tecniche, i criminali informatici hanno spostato il loro obiettivo verso l'anello più debole della catena: l'utente umano e l'infrastruttura di comunicazione di base.</w:t>
      </w:r>
      <w:r>
        <w:rPr>
          <w:rFonts w:ascii="Google Sans" w:hAnsi="Google Sans" w:eastAsia="Google Sans" w:cs="Google Sans"/>
          <w:color w:val="444746"/>
          <w:sz w:val="24"/>
          <w:szCs w:val="24"/>
          <w:vertAlign w:val="superscript"/>
        </w:rPr>
        <w:t>9</w:t>
      </w:r>
      <w:r>
        <w:rPr>
          <w:rFonts w:ascii="Google Sans" w:hAnsi="Google Sans" w:eastAsia="Google Sans" w:cs="Google Sans"/>
          <w:color w:val="1F1F1F"/>
        </w:rPr>
        <w:t xml:space="preserve"> La PSD2 ha reso i "furti di password" meno efficaci, portando alla nascita di attacchi molto più sofisticati che mirano a bypassare direttamente la SCA.</w:t>
      </w:r>
      <w:r>
        <w:rPr>
          <w:rFonts w:ascii="Google Sans" w:hAnsi="Google Sans" w:eastAsia="Google Sans" w:cs="Google Sans"/>
          <w:color w:val="444746"/>
          <w:sz w:val="24"/>
          <w:szCs w:val="24"/>
          <w:vertAlign w:val="superscript"/>
        </w:rPr>
        <w:t>49</w:t>
      </w:r>
    </w:p>
    <w:p xmlns:wp14="http://schemas.microsoft.com/office/word/2010/wordml" w:rsidR="00DE45A6" w:rsidP="65CA3BC1" w:rsidRDefault="003E5FE0" w14:paraId="1CDBCC95" wp14:textId="77777777">
      <w:pPr>
        <w:pStyle w:val="Titolo3"/>
        <w:rPr>
          <w:rFonts w:ascii="Google Sans" w:hAnsi="Google Sans" w:eastAsia="Google Sans" w:cs="Google Sans"/>
          <w:color w:val="1F1F1F"/>
        </w:rPr>
      </w:pPr>
      <w:r w:rsidR="553C1913">
        <w:rPr/>
        <w:t>Phishing 2.0 e Proxy-</w:t>
      </w:r>
      <w:r w:rsidR="553C1913">
        <w:rPr/>
        <w:t>based</w:t>
      </w:r>
      <w:r w:rsidR="553C1913">
        <w:rPr/>
        <w:t xml:space="preserve"> Attacks (</w:t>
      </w:r>
      <w:r w:rsidR="553C1913">
        <w:rPr/>
        <w:t>AitM</w:t>
      </w:r>
      <w:r w:rsidR="553C1913">
        <w:rPr/>
        <w:t>)</w:t>
      </w:r>
    </w:p>
    <w:p xmlns:wp14="http://schemas.microsoft.com/office/word/2010/wordml" w:rsidR="00DE45A6" w:rsidRDefault="003E5FE0" w14:paraId="08870F30"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Il phishing si è evoluto in quello che gli esperti definiscono "Phishing 2.0" o attacchi Adversary-in-the-Middle (AitM).</w:t>
      </w:r>
      <w:r>
        <w:rPr>
          <w:rFonts w:ascii="Google Sans" w:hAnsi="Google Sans" w:eastAsia="Google Sans" w:cs="Google Sans"/>
          <w:color w:val="444746"/>
          <w:sz w:val="24"/>
          <w:szCs w:val="24"/>
          <w:vertAlign w:val="superscript"/>
        </w:rPr>
        <w:t>52</w:t>
      </w:r>
      <w:r>
        <w:rPr>
          <w:rFonts w:ascii="Google Sans" w:hAnsi="Google Sans" w:eastAsia="Google Sans" w:cs="Google Sans"/>
          <w:color w:val="1F1F1F"/>
        </w:rPr>
        <w:t xml:space="preserve"> Invece di creare un sito falso che copia l'estetica della banca, gli attaccanti utilizzano strumenti come EvilProxy o Starkiller per creare un proxy trasparente tra l'utente e la vera banca.</w:t>
      </w:r>
      <w:r>
        <w:rPr>
          <w:rFonts w:ascii="Google Sans" w:hAnsi="Google Sans" w:eastAsia="Google Sans" w:cs="Google Sans"/>
          <w:color w:val="444746"/>
          <w:sz w:val="24"/>
          <w:szCs w:val="24"/>
          <w:vertAlign w:val="superscript"/>
        </w:rPr>
        <w:t>52</w:t>
      </w:r>
    </w:p>
    <w:p xmlns:wp14="http://schemas.microsoft.com/office/word/2010/wordml" w:rsidR="00DE45A6" w:rsidRDefault="003E5FE0" w14:paraId="65190553"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Il meccanismo tecnico è il seguente:</w:t>
      </w:r>
    </w:p>
    <w:p xmlns:wp14="http://schemas.microsoft.com/office/word/2010/wordml" w:rsidR="00DE45A6" w:rsidRDefault="003E5FE0" w14:paraId="60498CF4" wp14:textId="77777777">
      <w:pPr>
        <w:numPr>
          <w:ilvl w:val="0"/>
          <w:numId w:val="7"/>
        </w:numPr>
        <w:pBdr>
          <w:top w:val="nil"/>
          <w:left w:val="nil"/>
          <w:bottom w:val="nil"/>
          <w:right w:val="nil"/>
          <w:between w:val="nil"/>
        </w:pBdr>
        <w:spacing w:line="275" w:lineRule="auto"/>
      </w:pPr>
      <w:r>
        <w:rPr>
          <w:rFonts w:ascii="Google Sans" w:hAnsi="Google Sans" w:eastAsia="Google Sans" w:cs="Google Sans"/>
          <w:b/>
          <w:bCs/>
          <w:color w:val="1F1F1F"/>
        </w:rPr>
        <w:t>Lure:</w:t>
      </w:r>
      <w:r>
        <w:rPr>
          <w:rFonts w:ascii="Google Sans" w:hAnsi="Google Sans" w:eastAsia="Google Sans" w:cs="Google Sans"/>
          <w:color w:val="1F1F1F"/>
        </w:rPr>
        <w:t xml:space="preserve"> La vittima clicca su un link che sembra portare al sito della banca.</w:t>
      </w:r>
      <w:r>
        <w:rPr>
          <w:rFonts w:ascii="Google Sans" w:hAnsi="Google Sans" w:eastAsia="Google Sans" w:cs="Google Sans"/>
          <w:color w:val="444746"/>
          <w:sz w:val="24"/>
          <w:szCs w:val="24"/>
          <w:vertAlign w:val="superscript"/>
        </w:rPr>
        <w:t>53</w:t>
      </w:r>
    </w:p>
    <w:p xmlns:wp14="http://schemas.microsoft.com/office/word/2010/wordml" w:rsidR="00DE45A6" w:rsidRDefault="003E5FE0" w14:paraId="6091BF82" wp14:textId="77777777">
      <w:pPr>
        <w:numPr>
          <w:ilvl w:val="0"/>
          <w:numId w:val="7"/>
        </w:numPr>
        <w:pBdr>
          <w:top w:val="nil"/>
          <w:left w:val="nil"/>
          <w:bottom w:val="nil"/>
          <w:right w:val="nil"/>
          <w:between w:val="nil"/>
        </w:pBdr>
        <w:spacing w:line="275" w:lineRule="auto"/>
      </w:pPr>
      <w:r>
        <w:rPr>
          <w:rFonts w:ascii="Google Sans" w:hAnsi="Google Sans" w:eastAsia="Google Sans" w:cs="Google Sans"/>
          <w:b/>
          <w:bCs/>
          <w:color w:val="1F1F1F"/>
        </w:rPr>
        <w:t>Proxying:</w:t>
      </w:r>
      <w:r>
        <w:rPr>
          <w:rFonts w:ascii="Google Sans" w:hAnsi="Google Sans" w:eastAsia="Google Sans" w:cs="Google Sans"/>
          <w:color w:val="1F1F1F"/>
        </w:rPr>
        <w:t xml:space="preserve"> Il server dell'attaccante inoltra la richiesta al vero sito della banca e mostra la risposta alla vittima.</w:t>
      </w:r>
      <w:r>
        <w:rPr>
          <w:rFonts w:ascii="Google Sans" w:hAnsi="Google Sans" w:eastAsia="Google Sans" w:cs="Google Sans"/>
          <w:color w:val="444746"/>
          <w:sz w:val="24"/>
          <w:szCs w:val="24"/>
          <w:vertAlign w:val="superscript"/>
        </w:rPr>
        <w:t>52</w:t>
      </w:r>
    </w:p>
    <w:p xmlns:wp14="http://schemas.microsoft.com/office/word/2010/wordml" w:rsidR="00DE45A6" w:rsidRDefault="003E5FE0" w14:paraId="75A32511" wp14:textId="77777777">
      <w:pPr>
        <w:numPr>
          <w:ilvl w:val="0"/>
          <w:numId w:val="7"/>
        </w:numPr>
        <w:pBdr>
          <w:top w:val="nil"/>
          <w:left w:val="nil"/>
          <w:bottom w:val="nil"/>
          <w:right w:val="nil"/>
          <w:between w:val="nil"/>
        </w:pBdr>
        <w:spacing w:line="275" w:lineRule="auto"/>
      </w:pPr>
      <w:r>
        <w:rPr>
          <w:rFonts w:ascii="Google Sans" w:hAnsi="Google Sans" w:eastAsia="Google Sans" w:cs="Google Sans"/>
          <w:b/>
          <w:bCs/>
          <w:color w:val="1F1F1F"/>
        </w:rPr>
        <w:t>Intercettazione SCA:</w:t>
      </w:r>
      <w:r>
        <w:rPr>
          <w:rFonts w:ascii="Google Sans" w:hAnsi="Google Sans" w:eastAsia="Google Sans" w:cs="Google Sans"/>
          <w:color w:val="1F1F1F"/>
        </w:rPr>
        <w:t xml:space="preserve"> Quando l'utente inserisce le credenziali e il codice OTP (ricevuto tramite SMS o app), l'attaccante li intercetta e li usa in tempo reale sul sito legittimo.</w:t>
      </w:r>
      <w:r>
        <w:rPr>
          <w:rFonts w:ascii="Google Sans" w:hAnsi="Google Sans" w:eastAsia="Google Sans" w:cs="Google Sans"/>
          <w:color w:val="444746"/>
          <w:sz w:val="24"/>
          <w:szCs w:val="24"/>
          <w:vertAlign w:val="superscript"/>
        </w:rPr>
        <w:t>52</w:t>
      </w:r>
    </w:p>
    <w:p xmlns:wp14="http://schemas.microsoft.com/office/word/2010/wordml" w:rsidR="00DE45A6" w:rsidRDefault="003E5FE0" w14:paraId="61501DB9" wp14:textId="77777777">
      <w:pPr>
        <w:numPr>
          <w:ilvl w:val="0"/>
          <w:numId w:val="7"/>
        </w:numPr>
        <w:pBdr>
          <w:top w:val="nil"/>
          <w:left w:val="nil"/>
          <w:bottom w:val="nil"/>
          <w:right w:val="nil"/>
          <w:between w:val="nil"/>
        </w:pBdr>
        <w:spacing w:after="120" w:line="275" w:lineRule="auto"/>
      </w:pPr>
      <w:r>
        <w:rPr>
          <w:rFonts w:ascii="Google Sans" w:hAnsi="Google Sans" w:eastAsia="Google Sans" w:cs="Google Sans"/>
          <w:b/>
          <w:bCs/>
          <w:color w:val="1F1F1F"/>
        </w:rPr>
        <w:t>Session Hijacking:</w:t>
      </w:r>
      <w:r>
        <w:rPr>
          <w:rFonts w:ascii="Google Sans" w:hAnsi="Google Sans" w:eastAsia="Google Sans" w:cs="Google Sans"/>
          <w:color w:val="1F1F1F"/>
        </w:rPr>
        <w:t xml:space="preserve"> L'obiettivo finale non è solo la password, ma il "session token" o il cookie di sessione.</w:t>
      </w:r>
      <w:r>
        <w:rPr>
          <w:rFonts w:ascii="Google Sans" w:hAnsi="Google Sans" w:eastAsia="Google Sans" w:cs="Google Sans"/>
          <w:color w:val="444746"/>
          <w:sz w:val="24"/>
          <w:szCs w:val="24"/>
          <w:vertAlign w:val="superscript"/>
        </w:rPr>
        <w:t>52</w:t>
      </w:r>
      <w:r>
        <w:rPr>
          <w:rFonts w:ascii="Google Sans" w:hAnsi="Google Sans" w:eastAsia="Google Sans" w:cs="Google Sans"/>
          <w:color w:val="1F1F1F"/>
        </w:rPr>
        <w:t xml:space="preserve"> Una volta ottenuto il token di sessione già autenticato tramite SCA, l'attaccante può operare sul conto senza dover ripetere l'autenticazione per un certo periodo.</w:t>
      </w:r>
      <w:r>
        <w:rPr>
          <w:rFonts w:ascii="Google Sans" w:hAnsi="Google Sans" w:eastAsia="Google Sans" w:cs="Google Sans"/>
          <w:color w:val="444746"/>
          <w:sz w:val="24"/>
          <w:szCs w:val="24"/>
          <w:vertAlign w:val="superscript"/>
        </w:rPr>
        <w:t>52</w:t>
      </w:r>
    </w:p>
    <w:p xmlns:wp14="http://schemas.microsoft.com/office/word/2010/wordml" w:rsidR="00DE45A6" w:rsidP="65CA3BC1" w:rsidRDefault="003E5FE0" w14:paraId="62854D73" wp14:textId="77777777">
      <w:pPr>
        <w:pStyle w:val="Titolo3"/>
        <w:rPr>
          <w:rFonts w:ascii="Google Sans" w:hAnsi="Google Sans" w:eastAsia="Google Sans" w:cs="Google Sans"/>
          <w:color w:val="1F1F1F"/>
        </w:rPr>
      </w:pPr>
      <w:r w:rsidR="553C1913">
        <w:rPr/>
        <w:t>SIM Swap: La Compromissione del Canale SMS</w:t>
      </w:r>
    </w:p>
    <w:p xmlns:wp14="http://schemas.microsoft.com/office/word/2010/wordml" w:rsidR="00DE45A6" w:rsidRDefault="003E5FE0" w14:paraId="61BB7A63"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Il SIM Swapping è un attacco che sfrutta le debolezze nei processi di verifica dei gestori di telefonia mobile.</w:t>
      </w:r>
      <w:r>
        <w:rPr>
          <w:rFonts w:ascii="Google Sans" w:hAnsi="Google Sans" w:eastAsia="Google Sans" w:cs="Google Sans"/>
          <w:color w:val="444746"/>
          <w:sz w:val="24"/>
          <w:szCs w:val="24"/>
          <w:vertAlign w:val="superscript"/>
        </w:rPr>
        <w:t>48</w:t>
      </w:r>
      <w:r>
        <w:rPr>
          <w:rFonts w:ascii="Google Sans" w:hAnsi="Google Sans" w:eastAsia="Google Sans" w:cs="Google Sans"/>
          <w:color w:val="1F1F1F"/>
        </w:rPr>
        <w:t xml:space="preserve"> Poiché molti sistemi SCA utilizzano ancora l'SMS come secondo fattore (possessione), rubare il numero di telefono equivale a rubare l'identità digitale dell'utente.</w:t>
      </w:r>
      <w:r>
        <w:rPr>
          <w:rFonts w:ascii="Google Sans" w:hAnsi="Google Sans" w:eastAsia="Google Sans" w:cs="Google Sans"/>
          <w:color w:val="444746"/>
          <w:sz w:val="24"/>
          <w:szCs w:val="24"/>
          <w:vertAlign w:val="superscript"/>
        </w:rPr>
        <w:t>9</w:t>
      </w:r>
    </w:p>
    <w:p xmlns:wp14="http://schemas.microsoft.com/office/word/2010/wordml" w:rsidR="00DE45A6" w:rsidRDefault="003E5FE0" w14:paraId="62EE6EE4"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Il processo non è puramente tecnico, ma si basa sull'ingegneria sociale:</w:t>
      </w:r>
    </w:p>
    <w:p xmlns:wp14="http://schemas.microsoft.com/office/word/2010/wordml" w:rsidR="00DE45A6" w:rsidRDefault="003E5FE0" w14:paraId="78FAAB67" wp14:textId="77777777">
      <w:pPr>
        <w:numPr>
          <w:ilvl w:val="0"/>
          <w:numId w:val="8"/>
        </w:numPr>
        <w:pBdr>
          <w:top w:val="nil"/>
          <w:left w:val="nil"/>
          <w:bottom w:val="nil"/>
          <w:right w:val="nil"/>
          <w:between w:val="nil"/>
        </w:pBdr>
        <w:spacing w:line="275" w:lineRule="auto"/>
      </w:pPr>
      <w:r>
        <w:rPr>
          <w:rFonts w:ascii="Google Sans" w:hAnsi="Google Sans" w:eastAsia="Google Sans" w:cs="Google Sans"/>
          <w:b/>
          <w:bCs/>
          <w:color w:val="1F1F1F"/>
        </w:rPr>
        <w:t>Raccolta Dati:</w:t>
      </w:r>
      <w:r>
        <w:rPr>
          <w:rFonts w:ascii="Google Sans" w:hAnsi="Google Sans" w:eastAsia="Google Sans" w:cs="Google Sans"/>
          <w:color w:val="1F1F1F"/>
        </w:rPr>
        <w:t xml:space="preserve"> L'attaccante ottiene dati personali della vittima (nome, codice fiscale, data di nascita) tramite phishing o data breach precedenti.</w:t>
      </w:r>
      <w:r>
        <w:rPr>
          <w:rFonts w:ascii="Google Sans" w:hAnsi="Google Sans" w:eastAsia="Google Sans" w:cs="Google Sans"/>
          <w:color w:val="444746"/>
          <w:sz w:val="24"/>
          <w:szCs w:val="24"/>
          <w:vertAlign w:val="superscript"/>
        </w:rPr>
        <w:t>48</w:t>
      </w:r>
    </w:p>
    <w:p xmlns:wp14="http://schemas.microsoft.com/office/word/2010/wordml" w:rsidR="00DE45A6" w:rsidRDefault="003E5FE0" w14:paraId="03E6E89E" wp14:textId="77777777">
      <w:pPr>
        <w:numPr>
          <w:ilvl w:val="0"/>
          <w:numId w:val="8"/>
        </w:numPr>
        <w:pBdr>
          <w:top w:val="nil"/>
          <w:left w:val="nil"/>
          <w:bottom w:val="nil"/>
          <w:right w:val="nil"/>
          <w:between w:val="nil"/>
        </w:pBdr>
        <w:spacing w:line="275" w:lineRule="auto"/>
      </w:pPr>
      <w:r>
        <w:rPr>
          <w:rFonts w:ascii="Google Sans" w:hAnsi="Google Sans" w:eastAsia="Google Sans" w:cs="Google Sans"/>
          <w:b/>
          <w:bCs/>
          <w:color w:val="1F1F1F"/>
        </w:rPr>
        <w:t>Impersonificazione:</w:t>
      </w:r>
      <w:r>
        <w:rPr>
          <w:rFonts w:ascii="Google Sans" w:hAnsi="Google Sans" w:eastAsia="Google Sans" w:cs="Google Sans"/>
          <w:color w:val="1F1F1F"/>
        </w:rPr>
        <w:t xml:space="preserve"> L'attaccante contatta il provider telefonico fingendosi la vittima e dichiarando di aver smarrito la SIM, chiedendo la portabilità su una nuova scheda in suo possesso.</w:t>
      </w:r>
      <w:r>
        <w:rPr>
          <w:rFonts w:ascii="Google Sans" w:hAnsi="Google Sans" w:eastAsia="Google Sans" w:cs="Google Sans"/>
          <w:color w:val="444746"/>
          <w:sz w:val="24"/>
          <w:szCs w:val="24"/>
          <w:vertAlign w:val="superscript"/>
        </w:rPr>
        <w:t>48</w:t>
      </w:r>
    </w:p>
    <w:p xmlns:wp14="http://schemas.microsoft.com/office/word/2010/wordml" w:rsidR="00DE45A6" w:rsidRDefault="003E5FE0" w14:paraId="1B74E022" wp14:textId="77777777">
      <w:pPr>
        <w:numPr>
          <w:ilvl w:val="0"/>
          <w:numId w:val="8"/>
        </w:numPr>
        <w:pBdr>
          <w:top w:val="nil"/>
          <w:left w:val="nil"/>
          <w:bottom w:val="nil"/>
          <w:right w:val="nil"/>
          <w:between w:val="nil"/>
        </w:pBdr>
        <w:spacing w:line="275" w:lineRule="auto"/>
      </w:pPr>
      <w:r>
        <w:rPr>
          <w:rFonts w:ascii="Google Sans" w:hAnsi="Google Sans" w:eastAsia="Google Sans" w:cs="Google Sans"/>
          <w:b/>
          <w:bCs/>
          <w:color w:val="1F1F1F"/>
        </w:rPr>
        <w:t>Acquisizione del numero:</w:t>
      </w:r>
      <w:r>
        <w:rPr>
          <w:rFonts w:ascii="Google Sans" w:hAnsi="Google Sans" w:eastAsia="Google Sans" w:cs="Google Sans"/>
          <w:color w:val="1F1F1F"/>
        </w:rPr>
        <w:t xml:space="preserve"> Una volta attivata la nuova SIM, la vittima perde il segnale e l'attaccante inizia a ricevere tutti gli SMS di autenticazione e i link di reset delle password.</w:t>
      </w:r>
      <w:r>
        <w:rPr>
          <w:rFonts w:ascii="Google Sans" w:hAnsi="Google Sans" w:eastAsia="Google Sans" w:cs="Google Sans"/>
          <w:color w:val="444746"/>
          <w:sz w:val="24"/>
          <w:szCs w:val="24"/>
          <w:vertAlign w:val="superscript"/>
        </w:rPr>
        <w:t>17</w:t>
      </w:r>
    </w:p>
    <w:p xmlns:wp14="http://schemas.microsoft.com/office/word/2010/wordml" w:rsidR="00DE45A6" w:rsidRDefault="003E5FE0" w14:paraId="4F650091" wp14:textId="77777777">
      <w:pPr>
        <w:numPr>
          <w:ilvl w:val="0"/>
          <w:numId w:val="8"/>
        </w:numPr>
        <w:pBdr>
          <w:top w:val="nil"/>
          <w:left w:val="nil"/>
          <w:bottom w:val="nil"/>
          <w:right w:val="nil"/>
          <w:between w:val="nil"/>
        </w:pBdr>
        <w:spacing w:after="120" w:line="275" w:lineRule="auto"/>
      </w:pPr>
      <w:r>
        <w:rPr>
          <w:rFonts w:ascii="Google Sans" w:hAnsi="Google Sans" w:eastAsia="Google Sans" w:cs="Google Sans"/>
          <w:b/>
          <w:bCs/>
          <w:color w:val="1F1F1F"/>
        </w:rPr>
        <w:t>Svuotamento dei conti:</w:t>
      </w:r>
      <w:r>
        <w:rPr>
          <w:rFonts w:ascii="Google Sans" w:hAnsi="Google Sans" w:eastAsia="Google Sans" w:cs="Google Sans"/>
          <w:color w:val="1F1F1F"/>
        </w:rPr>
        <w:t xml:space="preserve"> Con il controllo dell'SMS, l'attaccante può autorizzare bonifici istantanei prima che la vittima si renda conto del disservizio telefonico.</w:t>
      </w:r>
      <w:r>
        <w:rPr>
          <w:rFonts w:ascii="Google Sans" w:hAnsi="Google Sans" w:eastAsia="Google Sans" w:cs="Google Sans"/>
          <w:color w:val="444746"/>
          <w:sz w:val="24"/>
          <w:szCs w:val="24"/>
          <w:vertAlign w:val="superscript"/>
        </w:rPr>
        <w:t>9</w:t>
      </w:r>
    </w:p>
    <w:p xmlns:wp14="http://schemas.microsoft.com/office/word/2010/wordml" w:rsidR="00DE45A6" w:rsidP="65CA3BC1" w:rsidRDefault="003E5FE0" w14:paraId="028448F8" wp14:textId="77777777">
      <w:pPr>
        <w:pStyle w:val="Titolo3"/>
        <w:rPr>
          <w:rFonts w:ascii="Google Sans" w:hAnsi="Google Sans" w:eastAsia="Google Sans" w:cs="Google Sans"/>
          <w:color w:val="1F1F1F"/>
        </w:rPr>
      </w:pPr>
      <w:r w:rsidR="553C1913">
        <w:rPr/>
        <w:t>Social Engineering e Furto di Identità Digitale</w:t>
      </w:r>
    </w:p>
    <w:p xmlns:wp14="http://schemas.microsoft.com/office/word/2010/wordml" w:rsidR="00DE45A6" w:rsidRDefault="003E5FE0" w14:paraId="709A149E"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L'ingegneria sociale rimane la minaccia più pervasiva. Attacchi di "vishing" (phishing vocale) utilizzano l'intelligenza artificiale per clonare la voce di funzionari bancari o dirigenti aziendali (Deepfakes), inducendo dipendenti o clienti a autorizzare transazioni fraudolente.</w:t>
      </w:r>
      <w:r>
        <w:rPr>
          <w:rFonts w:ascii="Google Sans" w:hAnsi="Google Sans" w:eastAsia="Google Sans" w:cs="Google Sans"/>
          <w:color w:val="444746"/>
          <w:sz w:val="24"/>
          <w:szCs w:val="24"/>
          <w:vertAlign w:val="superscript"/>
        </w:rPr>
        <w:t>9</w:t>
      </w:r>
      <w:r>
        <w:rPr>
          <w:rFonts w:ascii="Google Sans" w:hAnsi="Google Sans" w:eastAsia="Google Sans" w:cs="Google Sans"/>
          <w:color w:val="1F1F1F"/>
        </w:rPr>
        <w:t xml:space="preserve"> In molti casi, l'utente viene convinto a validare una notifica push sulla propria app bancaria, credendo di "annullare" una frode immaginaria, mentre in realtà sta confermando un pagamento reale avviato dall'attaccante.</w:t>
      </w:r>
      <w:r>
        <w:rPr>
          <w:rFonts w:ascii="Google Sans" w:hAnsi="Google Sans" w:eastAsia="Google Sans" w:cs="Google Sans"/>
          <w:color w:val="444746"/>
          <w:sz w:val="24"/>
          <w:szCs w:val="24"/>
          <w:vertAlign w:val="superscript"/>
        </w:rPr>
        <w:t>9</w:t>
      </w:r>
    </w:p>
    <w:p xmlns:wp14="http://schemas.microsoft.com/office/word/2010/wordml" w:rsidR="00DE45A6" w:rsidRDefault="00DE45A6" w14:paraId="5DAB6C7B"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p>
    <w:tbl>
      <w:tblPr>
        <w:tblStyle w:val="a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120"/>
        <w:gridCol w:w="3120"/>
        <w:gridCol w:w="3120"/>
      </w:tblGrid>
      <w:tr xmlns:wp14="http://schemas.microsoft.com/office/word/2010/wordml" w:rsidR="00DE45A6" w14:paraId="7BDC56BB"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42DBD9F5"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Tipologia di Attacco</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02899FEC"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Meccanismo Principale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B92F5CF"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Obiettivo Tecnico</w:t>
            </w:r>
          </w:p>
        </w:tc>
      </w:tr>
      <w:tr xmlns:wp14="http://schemas.microsoft.com/office/word/2010/wordml" w:rsidR="00DE45A6" w14:paraId="70C04211"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4CA75E15"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Phishing AitM</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665BE2DD"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Reverse Proxy in tempo reale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497FD0A5"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Furto di Session Cookies e Tokens </w:t>
            </w:r>
            <w:r>
              <w:rPr>
                <w:rFonts w:ascii="Google Sans" w:hAnsi="Google Sans" w:eastAsia="Google Sans" w:cs="Google Sans"/>
                <w:color w:val="444746"/>
                <w:sz w:val="24"/>
                <w:szCs w:val="24"/>
                <w:vertAlign w:val="superscript"/>
              </w:rPr>
              <w:t>52</w:t>
            </w:r>
          </w:p>
        </w:tc>
      </w:tr>
      <w:tr xmlns:wp14="http://schemas.microsoft.com/office/word/2010/wordml" w:rsidR="00DE45A6" w14:paraId="37A19806"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0CFBD946"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SIM Swap</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9E45758"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Ingegneria sociale su telco</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5AB7A1D0"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Intercettazione SMS-OTP </w:t>
            </w:r>
            <w:r>
              <w:rPr>
                <w:rFonts w:ascii="Google Sans" w:hAnsi="Google Sans" w:eastAsia="Google Sans" w:cs="Google Sans"/>
                <w:color w:val="444746"/>
                <w:sz w:val="24"/>
                <w:szCs w:val="24"/>
                <w:vertAlign w:val="superscript"/>
              </w:rPr>
              <w:t>49</w:t>
            </w:r>
          </w:p>
        </w:tc>
      </w:tr>
      <w:tr xmlns:wp14="http://schemas.microsoft.com/office/word/2010/wordml" w:rsidR="00DE45A6" w14:paraId="633EA028"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52C6893E"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Credential Stuffing</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316E814"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Automazione con liste di password rubate</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3EE07E60"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Accesso ad account con password riutilizzate </w:t>
            </w:r>
            <w:r>
              <w:rPr>
                <w:rFonts w:ascii="Google Sans" w:hAnsi="Google Sans" w:eastAsia="Google Sans" w:cs="Google Sans"/>
                <w:color w:val="444746"/>
                <w:sz w:val="24"/>
                <w:szCs w:val="24"/>
                <w:vertAlign w:val="superscript"/>
              </w:rPr>
              <w:t>6</w:t>
            </w:r>
          </w:p>
        </w:tc>
      </w:tr>
      <w:tr xmlns:wp14="http://schemas.microsoft.com/office/word/2010/wordml" w:rsidR="00DE45A6" w14:paraId="07FDBF0F" wp14:textId="77777777">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7AA8B2E9" wp14:textId="77777777">
            <w:pPr>
              <w:pBdr>
                <w:top w:val="nil"/>
                <w:left w:val="nil"/>
                <w:bottom w:val="nil"/>
                <w:right w:val="nil"/>
                <w:between w:val="nil"/>
              </w:pBdr>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Pr>
              <w:t>Deepfake Vishing</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267D4EE" wp14:textId="77777777">
            <w:pPr>
              <w:pBdr>
                <w:top w:val="nil"/>
                <w:left w:val="nil"/>
                <w:bottom w:val="nil"/>
                <w:right w:val="nil"/>
                <w:between w:val="nil"/>
              </w:pBdr>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Clonazione vocale tramite AI</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DE45A6" w:rsidRDefault="003E5FE0" w14:paraId="2C808B34" wp14:textId="77777777">
            <w:pPr>
              <w:pBdr>
                <w:top w:val="nil"/>
                <w:left w:val="nil"/>
                <w:bottom w:val="nil"/>
                <w:right w:val="nil"/>
                <w:between w:val="nil"/>
              </w:pBdr>
              <w:spacing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 xml:space="preserve">Autorizzazione manuale forzata tramite SCA </w:t>
            </w:r>
            <w:r>
              <w:rPr>
                <w:rFonts w:ascii="Google Sans" w:hAnsi="Google Sans" w:eastAsia="Google Sans" w:cs="Google Sans"/>
                <w:color w:val="444746"/>
                <w:sz w:val="24"/>
                <w:szCs w:val="24"/>
                <w:vertAlign w:val="superscript"/>
              </w:rPr>
              <w:t>50</w:t>
            </w:r>
          </w:p>
        </w:tc>
      </w:tr>
    </w:tbl>
    <w:p xmlns:wp14="http://schemas.microsoft.com/office/word/2010/wordml" w:rsidR="00DE45A6" w:rsidP="65CA3BC1" w:rsidRDefault="003E5FE0" w14:paraId="5F8E77FC" wp14:textId="578386AA">
      <w:pPr>
        <w:pStyle w:val="Titolo2"/>
        <w:spacing w:before="0" w:after="120" w:line="275" w:lineRule="auto"/>
        <w:rPr>
          <w:rFonts w:ascii="Google Sans" w:hAnsi="Google Sans" w:eastAsia="Google Sans" w:cs="Google Sans"/>
          <w:color w:val="1F1F1F"/>
        </w:rPr>
      </w:pPr>
    </w:p>
    <w:p xmlns:wp14="http://schemas.microsoft.com/office/word/2010/wordml" w:rsidR="00DE45A6" w:rsidP="65CA3BC1" w:rsidRDefault="003E5FE0" w14:paraId="33789E67" wp14:textId="6C011A28">
      <w:pPr>
        <w:spacing w:before="0" w:after="120" w:line="275" w:lineRule="auto"/>
      </w:pPr>
      <w:r>
        <w:br w:type="page"/>
      </w:r>
    </w:p>
    <w:p xmlns:wp14="http://schemas.microsoft.com/office/word/2010/wordml" w:rsidR="00DE45A6" w:rsidRDefault="003E5FE0" w14:paraId="6E06981A" wp14:textId="70FB049F">
      <w:pPr>
        <w:pStyle w:val="Titolo2"/>
        <w:spacing w:before="0" w:after="120" w:line="275" w:lineRule="auto"/>
        <w:rPr>
          <w:rFonts w:ascii="Google Sans" w:hAnsi="Google Sans" w:eastAsia="Google Sans" w:cs="Google Sans"/>
          <w:color w:val="1F1F1F"/>
        </w:rPr>
      </w:pPr>
      <w:r w:rsidRPr="65CA3BC1" w:rsidR="553C1913">
        <w:rPr>
          <w:rFonts w:ascii="Google Sans" w:hAnsi="Google Sans" w:eastAsia="Google Sans" w:cs="Google Sans"/>
          <w:color w:val="1F1F1F"/>
        </w:rPr>
        <w:t>Implementazione in Italia: Il Ruolo di CBI Globe e dei Provider Nazionali</w:t>
      </w:r>
    </w:p>
    <w:p xmlns:wp14="http://schemas.microsoft.com/office/word/2010/wordml" w:rsidR="00DE45A6" w:rsidRDefault="003E5FE0" w14:paraId="1417142E"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In Italia, l'adeguamento tecnologico alla PSD2 ha visto la nascita di infrastrutture collaborative per supportare le banche, specialmente quelle di dimensioni minori, nella gestione delle API e della sicurezza.</w:t>
      </w:r>
      <w:r>
        <w:rPr>
          <w:rFonts w:ascii="Google Sans" w:hAnsi="Google Sans" w:eastAsia="Google Sans" w:cs="Google Sans"/>
          <w:color w:val="444746"/>
          <w:sz w:val="24"/>
          <w:szCs w:val="24"/>
          <w:vertAlign w:val="superscript"/>
        </w:rPr>
        <w:t>56</w:t>
      </w:r>
    </w:p>
    <w:p xmlns:wp14="http://schemas.microsoft.com/office/word/2010/wordml" w:rsidR="00DE45A6" w:rsidP="65CA3BC1" w:rsidRDefault="003E5FE0" w14:paraId="3A1CA7C3" wp14:textId="77777777">
      <w:pPr>
        <w:pStyle w:val="Titolo3"/>
        <w:rPr>
          <w:rFonts w:ascii="Google Sans" w:hAnsi="Google Sans" w:eastAsia="Google Sans" w:cs="Google Sans"/>
          <w:color w:val="1F1F1F"/>
        </w:rPr>
      </w:pPr>
      <w:r w:rsidR="553C1913">
        <w:rPr/>
        <w:t>CBI Globe: Il Gateway Italiano per l'Open Banking</w:t>
      </w:r>
    </w:p>
    <w:p xmlns:wp14="http://schemas.microsoft.com/office/word/2010/wordml" w:rsidR="00DE45A6" w:rsidRDefault="003E5FE0" w14:paraId="00DD6E23"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CBI Globe è la piattaforma di RegTech sviluppata da CBI S.c.p.a. (consortium di banche italiane) che funge da gateway centralizzato per oltre l'80% dell'industria finanziaria nazionale.</w:t>
      </w:r>
      <w:r>
        <w:rPr>
          <w:rFonts w:ascii="Google Sans" w:hAnsi="Google Sans" w:eastAsia="Google Sans" w:cs="Google Sans"/>
          <w:color w:val="444746"/>
          <w:sz w:val="24"/>
          <w:szCs w:val="24"/>
          <w:vertAlign w:val="superscript"/>
        </w:rPr>
        <w:t>56</w:t>
      </w:r>
      <w:r>
        <w:rPr>
          <w:rFonts w:ascii="Google Sans" w:hAnsi="Google Sans" w:eastAsia="Google Sans" w:cs="Google Sans"/>
          <w:color w:val="1F1F1F"/>
        </w:rPr>
        <w:t xml:space="preserve"> Tecnicamente, CBI Globe standardizza le API di centinaia di banche diverse, fornendo alle TPP un unico punto di accesso per raggiungere la quasi totalità dei conti correnti italiani.</w:t>
      </w:r>
      <w:r>
        <w:rPr>
          <w:rFonts w:ascii="Google Sans" w:hAnsi="Google Sans" w:eastAsia="Google Sans" w:cs="Google Sans"/>
          <w:color w:val="444746"/>
          <w:sz w:val="24"/>
          <w:szCs w:val="24"/>
          <w:vertAlign w:val="superscript"/>
        </w:rPr>
        <w:t>30</w:t>
      </w:r>
    </w:p>
    <w:p xmlns:wp14="http://schemas.microsoft.com/office/word/2010/wordml" w:rsidR="00DE45A6" w:rsidRDefault="003E5FE0" w14:paraId="34DCB6CF"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I vantaggi architetturali di CBI Globe includono:</w:t>
      </w:r>
    </w:p>
    <w:p xmlns:wp14="http://schemas.microsoft.com/office/word/2010/wordml" w:rsidR="00DE45A6" w:rsidRDefault="003E5FE0" w14:paraId="0D3336F7" wp14:textId="77777777">
      <w:pPr>
        <w:numPr>
          <w:ilvl w:val="0"/>
          <w:numId w:val="9"/>
        </w:numPr>
        <w:pBdr>
          <w:top w:val="nil"/>
          <w:left w:val="nil"/>
          <w:bottom w:val="nil"/>
          <w:right w:val="nil"/>
          <w:between w:val="nil"/>
        </w:pBdr>
        <w:spacing w:line="275" w:lineRule="auto"/>
      </w:pPr>
      <w:r>
        <w:rPr>
          <w:rFonts w:ascii="Google Sans" w:hAnsi="Google Sans" w:eastAsia="Google Sans" w:cs="Google Sans"/>
          <w:b/>
          <w:bCs/>
          <w:color w:val="1F1F1F"/>
        </w:rPr>
        <w:t>Standardizzazione dei flussi SCA:</w:t>
      </w:r>
      <w:r>
        <w:rPr>
          <w:rFonts w:ascii="Google Sans" w:hAnsi="Google Sans" w:eastAsia="Google Sans" w:cs="Google Sans"/>
          <w:color w:val="1F1F1F"/>
        </w:rPr>
        <w:t xml:space="preserve"> Gestione uniforme dei diversi metodi di autenticazione (redirect, decoupled, embedded) adottati dalle varie banche.</w:t>
      </w:r>
      <w:r>
        <w:rPr>
          <w:rFonts w:ascii="Google Sans" w:hAnsi="Google Sans" w:eastAsia="Google Sans" w:cs="Google Sans"/>
          <w:color w:val="444746"/>
          <w:sz w:val="24"/>
          <w:szCs w:val="24"/>
          <w:vertAlign w:val="superscript"/>
        </w:rPr>
        <w:t>30</w:t>
      </w:r>
    </w:p>
    <w:p xmlns:wp14="http://schemas.microsoft.com/office/word/2010/wordml" w:rsidR="00DE45A6" w:rsidRDefault="003E5FE0" w14:paraId="0132EC9F" wp14:textId="77777777">
      <w:pPr>
        <w:numPr>
          <w:ilvl w:val="0"/>
          <w:numId w:val="9"/>
        </w:numPr>
        <w:pBdr>
          <w:top w:val="nil"/>
          <w:left w:val="nil"/>
          <w:bottom w:val="nil"/>
          <w:right w:val="nil"/>
          <w:between w:val="nil"/>
        </w:pBdr>
        <w:spacing w:line="275" w:lineRule="auto"/>
      </w:pPr>
      <w:r>
        <w:rPr>
          <w:rFonts w:ascii="Google Sans" w:hAnsi="Google Sans" w:eastAsia="Google Sans" w:cs="Google Sans"/>
          <w:b/>
          <w:bCs/>
          <w:color w:val="1F1F1F"/>
        </w:rPr>
        <w:t>Gestione centralizzata dei certificati eIDAS:</w:t>
      </w:r>
      <w:r>
        <w:rPr>
          <w:rFonts w:ascii="Google Sans" w:hAnsi="Google Sans" w:eastAsia="Google Sans" w:cs="Google Sans"/>
          <w:color w:val="1F1F1F"/>
        </w:rPr>
        <w:t xml:space="preserve"> Verifica in tempo reale della validità dei certificati delle TPP che tentano l'accesso alle API.</w:t>
      </w:r>
      <w:r>
        <w:rPr>
          <w:rFonts w:ascii="Google Sans" w:hAnsi="Google Sans" w:eastAsia="Google Sans" w:cs="Google Sans"/>
          <w:color w:val="444746"/>
          <w:sz w:val="24"/>
          <w:szCs w:val="24"/>
          <w:vertAlign w:val="superscript"/>
        </w:rPr>
        <w:t>30</w:t>
      </w:r>
    </w:p>
    <w:p xmlns:wp14="http://schemas.microsoft.com/office/word/2010/wordml" w:rsidR="00DE45A6" w:rsidRDefault="003E5FE0" w14:paraId="6C603239" wp14:textId="77777777">
      <w:pPr>
        <w:numPr>
          <w:ilvl w:val="0"/>
          <w:numId w:val="9"/>
        </w:numPr>
        <w:pBdr>
          <w:top w:val="nil"/>
          <w:left w:val="nil"/>
          <w:bottom w:val="nil"/>
          <w:right w:val="nil"/>
          <w:between w:val="nil"/>
        </w:pBdr>
        <w:spacing w:after="120" w:line="275" w:lineRule="auto"/>
      </w:pPr>
      <w:r>
        <w:rPr>
          <w:rFonts w:ascii="Google Sans" w:hAnsi="Google Sans" w:eastAsia="Google Sans" w:cs="Google Sans"/>
          <w:b/>
          <w:bCs/>
          <w:color w:val="1F1F1F"/>
        </w:rPr>
        <w:t>Monitoraggio delle minacce:</w:t>
      </w:r>
      <w:r>
        <w:rPr>
          <w:rFonts w:ascii="Google Sans" w:hAnsi="Google Sans" w:eastAsia="Google Sans" w:cs="Google Sans"/>
          <w:color w:val="1F1F1F"/>
        </w:rPr>
        <w:t xml:space="preserve"> Un livello aggiuntivo di rilevamento delle frodi che analizza le chiamate API a livello aggregato per identificare attacchi su larga scala.</w:t>
      </w:r>
      <w:r>
        <w:rPr>
          <w:rFonts w:ascii="Google Sans" w:hAnsi="Google Sans" w:eastAsia="Google Sans" w:cs="Google Sans"/>
          <w:color w:val="444746"/>
          <w:sz w:val="24"/>
          <w:szCs w:val="24"/>
          <w:vertAlign w:val="superscript"/>
        </w:rPr>
        <w:t>30</w:t>
      </w:r>
    </w:p>
    <w:p xmlns:wp14="http://schemas.microsoft.com/office/word/2010/wordml" w:rsidR="00DE45A6" w:rsidP="65CA3BC1" w:rsidRDefault="003E5FE0" w14:paraId="3611BE55" wp14:textId="77777777">
      <w:pPr>
        <w:pStyle w:val="Titolo3"/>
        <w:rPr>
          <w:rFonts w:ascii="Google Sans" w:hAnsi="Google Sans" w:eastAsia="Google Sans" w:cs="Google Sans"/>
          <w:color w:val="1F1F1F"/>
        </w:rPr>
      </w:pPr>
      <w:r w:rsidR="553C1913">
        <w:rPr/>
        <w:t>SPID e CIE: L'Integrazione con l'Identità Digitale Nazionale</w:t>
      </w:r>
    </w:p>
    <w:p xmlns:wp14="http://schemas.microsoft.com/office/word/2010/wordml" w:rsidR="00DE45A6" w:rsidRDefault="003E5FE0" w14:paraId="68767851"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Sebbene la PSD2 non obblighi all'uso di identità digitali governative, in Italia lo SPID (Sistema Pubblico di Identità Digitale) e la CIE (Carta d'Identità Elettronica) sono stati discussi come potenziali fattori di autenticazione forte.</w:t>
      </w:r>
      <w:r>
        <w:rPr>
          <w:rFonts w:ascii="Google Sans" w:hAnsi="Google Sans" w:eastAsia="Google Sans" w:cs="Google Sans"/>
          <w:color w:val="444746"/>
          <w:sz w:val="24"/>
          <w:szCs w:val="24"/>
          <w:vertAlign w:val="superscript"/>
        </w:rPr>
        <w:t>59</w:t>
      </w:r>
      <w:r>
        <w:rPr>
          <w:rFonts w:ascii="Google Sans" w:hAnsi="Google Sans" w:eastAsia="Google Sans" w:cs="Google Sans"/>
          <w:color w:val="1F1F1F"/>
        </w:rPr>
        <w:t xml:space="preserve"> La CIE 3.0, grazie al chip NFC e ai suoi 3 livelli di sicurezza, risponde perfettamente ai requisiti di "possesso" e "conoscenza" (PIN), offrendo una base tecnologica sovrana per l'accesso ai servizi finanziari e la firma di transazioni digitali in conformità con il regolamento eIDAS.</w:t>
      </w:r>
      <w:r>
        <w:rPr>
          <w:rFonts w:ascii="Google Sans" w:hAnsi="Google Sans" w:eastAsia="Google Sans" w:cs="Google Sans"/>
          <w:color w:val="444746"/>
          <w:sz w:val="24"/>
          <w:szCs w:val="24"/>
          <w:vertAlign w:val="superscript"/>
        </w:rPr>
        <w:t>59</w:t>
      </w:r>
    </w:p>
    <w:p xmlns:wp14="http://schemas.microsoft.com/office/word/2010/wordml" w:rsidR="00DE45A6" w:rsidP="65CA3BC1" w:rsidRDefault="003E5FE0" w14:paraId="5D14C75D" wp14:textId="09892310">
      <w:pPr>
        <w:pStyle w:val="Titolo2"/>
        <w:spacing w:before="0" w:after="120" w:line="275" w:lineRule="auto"/>
        <w:rPr>
          <w:rFonts w:ascii="Google Sans" w:hAnsi="Google Sans" w:eastAsia="Google Sans" w:cs="Google Sans"/>
          <w:color w:val="1F1F1F"/>
        </w:rPr>
      </w:pPr>
    </w:p>
    <w:p xmlns:wp14="http://schemas.microsoft.com/office/word/2010/wordml" w:rsidR="00DE45A6" w:rsidP="65CA3BC1" w:rsidRDefault="003E5FE0" w14:paraId="05242831" wp14:textId="27C21590">
      <w:pPr>
        <w:spacing w:before="0" w:after="120" w:line="275" w:lineRule="auto"/>
      </w:pPr>
      <w:r>
        <w:br w:type="page"/>
      </w:r>
    </w:p>
    <w:p xmlns:wp14="http://schemas.microsoft.com/office/word/2010/wordml" w:rsidR="00DE45A6" w:rsidRDefault="003E5FE0" w14:paraId="49FB539E" wp14:textId="59FC60B7">
      <w:pPr>
        <w:pStyle w:val="Titolo2"/>
        <w:spacing w:before="0" w:after="120" w:line="275" w:lineRule="auto"/>
        <w:rPr>
          <w:rFonts w:ascii="Google Sans" w:hAnsi="Google Sans" w:eastAsia="Google Sans" w:cs="Google Sans"/>
          <w:color w:val="1F1F1F"/>
        </w:rPr>
      </w:pPr>
      <w:r w:rsidRPr="65CA3BC1" w:rsidR="553C1913">
        <w:rPr>
          <w:rFonts w:ascii="Google Sans" w:hAnsi="Google Sans" w:eastAsia="Google Sans" w:cs="Google Sans"/>
          <w:color w:val="1F1F1F"/>
        </w:rPr>
        <w:t>Conclusioni: L'Anello Debole e la Strategia Futura (PSD3)</w:t>
      </w:r>
    </w:p>
    <w:p xmlns:wp14="http://schemas.microsoft.com/office/word/2010/wordml" w:rsidR="00DE45A6" w:rsidRDefault="003E5FE0" w14:paraId="66C10F7A" wp14:textId="77777777">
      <w:pPr>
        <w:pBdr>
          <w:top w:val="nil"/>
          <w:left w:val="nil"/>
          <w:bottom w:val="nil"/>
          <w:right w:val="nil"/>
          <w:between w:val="nil"/>
        </w:pBdr>
        <w:spacing w:after="240" w:line="275" w:lineRule="auto"/>
        <w:rPr>
          <w:rFonts w:ascii="Google Sans" w:hAnsi="Google Sans" w:eastAsia="Google Sans" w:cs="Google Sans"/>
          <w:color w:val="444746"/>
          <w:sz w:val="24"/>
          <w:szCs w:val="24"/>
          <w:vertAlign w:val="superscript"/>
        </w:rPr>
      </w:pPr>
      <w:r>
        <w:rPr>
          <w:rFonts w:ascii="Google Sans" w:hAnsi="Google Sans" w:eastAsia="Google Sans" w:cs="Google Sans"/>
          <w:color w:val="1F1F1F"/>
        </w:rPr>
        <w:t>L'analisi tecnica della PSD2 rivela un sistema dove la complessità tecnologica ha raggiunto livelli senza precedenti per proteggere il consumatore.</w:t>
      </w:r>
      <w:r>
        <w:rPr>
          <w:rFonts w:ascii="Google Sans" w:hAnsi="Google Sans" w:eastAsia="Google Sans" w:cs="Google Sans"/>
          <w:color w:val="444746"/>
          <w:sz w:val="24"/>
          <w:szCs w:val="24"/>
          <w:vertAlign w:val="superscript"/>
        </w:rPr>
        <w:t>1</w:t>
      </w:r>
      <w:r>
        <w:rPr>
          <w:rFonts w:ascii="Google Sans" w:hAnsi="Google Sans" w:eastAsia="Google Sans" w:cs="Google Sans"/>
          <w:color w:val="1F1F1F"/>
        </w:rPr>
        <w:t xml:space="preserve"> Tuttavia, emerge una verità fondamentale: mentre i protocolli crittografici come mTLS e FAPI sono pressoché inviolabili con le tecnologie attuali, la sicurezza complessiva decade a causa delle vulnerabilità umane e delle debolezze nei canali di comunicazione legacy come l'SMS.</w:t>
      </w:r>
      <w:r>
        <w:rPr>
          <w:rFonts w:ascii="Google Sans" w:hAnsi="Google Sans" w:eastAsia="Google Sans" w:cs="Google Sans"/>
          <w:color w:val="444746"/>
          <w:sz w:val="24"/>
          <w:szCs w:val="24"/>
          <w:vertAlign w:val="superscript"/>
        </w:rPr>
        <w:t>17</w:t>
      </w:r>
    </w:p>
    <w:p xmlns:wp14="http://schemas.microsoft.com/office/word/2010/wordml" w:rsidR="00DE45A6" w:rsidRDefault="003E5FE0" w14:paraId="7C4E6F67" wp14:textId="77777777">
      <w:pPr>
        <w:pBdr>
          <w:top w:val="nil"/>
          <w:left w:val="nil"/>
          <w:bottom w:val="nil"/>
          <w:right w:val="nil"/>
          <w:between w:val="nil"/>
        </w:pBdr>
        <w:spacing w:after="120" w:line="275" w:lineRule="auto"/>
        <w:rPr>
          <w:rFonts w:ascii="Google Sans" w:hAnsi="Google Sans" w:eastAsia="Google Sans" w:cs="Google Sans"/>
          <w:color w:val="1F1F1F"/>
        </w:rPr>
      </w:pPr>
      <w:r>
        <w:rPr>
          <w:rFonts w:ascii="Google Sans" w:hAnsi="Google Sans" w:eastAsia="Google Sans" w:cs="Google Sans"/>
          <w:color w:val="1F1F1F"/>
        </w:rPr>
        <w:t>Le lezioni apprese dall'implementazione tecnica della PSD2 stanno già guidando lo sviluppo della PSD3 e del Payment Services Regulation (PSR).</w:t>
      </w:r>
      <w:r>
        <w:rPr>
          <w:rFonts w:ascii="Google Sans" w:hAnsi="Google Sans" w:eastAsia="Google Sans" w:cs="Google Sans"/>
          <w:color w:val="444746"/>
          <w:sz w:val="24"/>
          <w:szCs w:val="24"/>
          <w:vertAlign w:val="superscript"/>
        </w:rPr>
        <w:t>2</w:t>
      </w:r>
      <w:r>
        <w:rPr>
          <w:rFonts w:ascii="Google Sans" w:hAnsi="Google Sans" w:eastAsia="Google Sans" w:cs="Google Sans"/>
          <w:color w:val="1F1F1F"/>
        </w:rPr>
        <w:t xml:space="preserve"> La direzione futura prevede:</w:t>
      </w:r>
    </w:p>
    <w:p xmlns:wp14="http://schemas.microsoft.com/office/word/2010/wordml" w:rsidR="00DE45A6" w:rsidRDefault="003E5FE0" w14:paraId="28A825DB" wp14:textId="77777777">
      <w:pPr>
        <w:numPr>
          <w:ilvl w:val="0"/>
          <w:numId w:val="10"/>
        </w:numPr>
        <w:pBdr>
          <w:top w:val="nil"/>
          <w:left w:val="nil"/>
          <w:bottom w:val="nil"/>
          <w:right w:val="nil"/>
          <w:between w:val="nil"/>
        </w:pBdr>
        <w:spacing w:line="275" w:lineRule="auto"/>
      </w:pPr>
      <w:r>
        <w:rPr>
          <w:rFonts w:ascii="Google Sans" w:hAnsi="Google Sans" w:eastAsia="Google Sans" w:cs="Google Sans"/>
          <w:b/>
          <w:bCs/>
          <w:color w:val="1F1F1F"/>
        </w:rPr>
        <w:t>Abbandono degli SMS:</w:t>
      </w:r>
      <w:r>
        <w:rPr>
          <w:rFonts w:ascii="Google Sans" w:hAnsi="Google Sans" w:eastAsia="Google Sans" w:cs="Google Sans"/>
          <w:color w:val="1F1F1F"/>
        </w:rPr>
        <w:t xml:space="preserve"> Spostamento definitivo verso autenticatori hardware o app-based resistenti al phishing.</w:t>
      </w:r>
      <w:r>
        <w:rPr>
          <w:rFonts w:ascii="Google Sans" w:hAnsi="Google Sans" w:eastAsia="Google Sans" w:cs="Google Sans"/>
          <w:color w:val="444746"/>
          <w:sz w:val="24"/>
          <w:szCs w:val="24"/>
          <w:vertAlign w:val="superscript"/>
        </w:rPr>
        <w:t>17</w:t>
      </w:r>
    </w:p>
    <w:p xmlns:wp14="http://schemas.microsoft.com/office/word/2010/wordml" w:rsidR="00DE45A6" w:rsidRDefault="003E5FE0" w14:paraId="7073A8DD" wp14:textId="77777777">
      <w:pPr>
        <w:numPr>
          <w:ilvl w:val="0"/>
          <w:numId w:val="10"/>
        </w:numPr>
        <w:pBdr>
          <w:top w:val="nil"/>
          <w:left w:val="nil"/>
          <w:bottom w:val="nil"/>
          <w:right w:val="nil"/>
          <w:between w:val="nil"/>
        </w:pBdr>
        <w:spacing w:line="275" w:lineRule="auto"/>
      </w:pPr>
      <w:r>
        <w:rPr>
          <w:rFonts w:ascii="Google Sans" w:hAnsi="Google Sans" w:eastAsia="Google Sans" w:cs="Google Sans"/>
          <w:b/>
          <w:bCs/>
          <w:color w:val="1F1F1F"/>
        </w:rPr>
        <w:t>Miglioramento delle API:</w:t>
      </w:r>
      <w:r>
        <w:rPr>
          <w:rFonts w:ascii="Google Sans" w:hAnsi="Google Sans" w:eastAsia="Google Sans" w:cs="Google Sans"/>
          <w:color w:val="1F1F1F"/>
        </w:rPr>
        <w:t xml:space="preserve"> Eliminazione degli ostacoli tecnici (frizioni) che ancora oggi limitano l'adozione dell'Open Banking da parte degli utenti finali.</w:t>
      </w:r>
      <w:r>
        <w:rPr>
          <w:rFonts w:ascii="Google Sans" w:hAnsi="Google Sans" w:eastAsia="Google Sans" w:cs="Google Sans"/>
          <w:color w:val="444746"/>
          <w:sz w:val="24"/>
          <w:szCs w:val="24"/>
          <w:vertAlign w:val="superscript"/>
        </w:rPr>
        <w:t>7</w:t>
      </w:r>
    </w:p>
    <w:p xmlns:wp14="http://schemas.microsoft.com/office/word/2010/wordml" w:rsidR="00DE45A6" w:rsidRDefault="003E5FE0" w14:paraId="5850FFFC" wp14:textId="77777777">
      <w:pPr>
        <w:numPr>
          <w:ilvl w:val="0"/>
          <w:numId w:val="10"/>
        </w:numPr>
        <w:pBdr>
          <w:top w:val="nil"/>
          <w:left w:val="nil"/>
          <w:bottom w:val="nil"/>
          <w:right w:val="nil"/>
          <w:between w:val="nil"/>
        </w:pBdr>
        <w:spacing w:line="275" w:lineRule="auto"/>
      </w:pPr>
      <w:r>
        <w:rPr>
          <w:rFonts w:ascii="Google Sans" w:hAnsi="Google Sans" w:eastAsia="Google Sans" w:cs="Google Sans"/>
          <w:b/>
          <w:bCs/>
          <w:color w:val="1F1F1F"/>
        </w:rPr>
        <w:t>Collaborazione sui Dati delle Frodi:</w:t>
      </w:r>
      <w:r>
        <w:rPr>
          <w:rFonts w:ascii="Google Sans" w:hAnsi="Google Sans" w:eastAsia="Google Sans" w:cs="Google Sans"/>
          <w:color w:val="1F1F1F"/>
        </w:rPr>
        <w:t xml:space="preserve"> Obbligo per i PSP di condividere tra loro informazioni tecniche sulle frodi rilevate per creare una difesa collettiva più efficace.</w:t>
      </w:r>
      <w:r>
        <w:rPr>
          <w:rFonts w:ascii="Google Sans" w:hAnsi="Google Sans" w:eastAsia="Google Sans" w:cs="Google Sans"/>
          <w:color w:val="444746"/>
          <w:sz w:val="24"/>
          <w:szCs w:val="24"/>
          <w:vertAlign w:val="superscript"/>
        </w:rPr>
        <w:t>6</w:t>
      </w:r>
    </w:p>
    <w:p xmlns:wp14="http://schemas.microsoft.com/office/word/2010/wordml" w:rsidR="00DE45A6" w:rsidRDefault="003E5FE0" w14:paraId="3EC46723" wp14:textId="77777777">
      <w:pPr>
        <w:numPr>
          <w:ilvl w:val="0"/>
          <w:numId w:val="10"/>
        </w:numPr>
        <w:pBdr>
          <w:top w:val="nil"/>
          <w:left w:val="nil"/>
          <w:bottom w:val="nil"/>
          <w:right w:val="nil"/>
          <w:between w:val="nil"/>
        </w:pBdr>
        <w:spacing w:after="120" w:line="275" w:lineRule="auto"/>
      </w:pPr>
      <w:r>
        <w:rPr>
          <w:rFonts w:ascii="Google Sans" w:hAnsi="Google Sans" w:eastAsia="Google Sans" w:cs="Google Sans"/>
          <w:b/>
          <w:bCs/>
          <w:color w:val="1F1F1F"/>
        </w:rPr>
        <w:t>Verifica del Beneficiario:</w:t>
      </w:r>
      <w:r>
        <w:rPr>
          <w:rFonts w:ascii="Google Sans" w:hAnsi="Google Sans" w:eastAsia="Google Sans" w:cs="Google Sans"/>
          <w:color w:val="1F1F1F"/>
        </w:rPr>
        <w:t xml:space="preserve"> Implementazione di sistemi di "Confirmation of Payee" per garantire che l'IBAN inserito corrisponda effettivamente al nome del destinatario, prevenendo truffe basate sull'inganno visivo.</w:t>
      </w:r>
      <w:r>
        <w:rPr>
          <w:rFonts w:ascii="Google Sans" w:hAnsi="Google Sans" w:eastAsia="Google Sans" w:cs="Google Sans"/>
          <w:color w:val="444746"/>
          <w:sz w:val="24"/>
          <w:szCs w:val="24"/>
          <w:vertAlign w:val="superscript"/>
        </w:rPr>
        <w:t>57</w:t>
      </w:r>
    </w:p>
    <w:p xmlns:wp14="http://schemas.microsoft.com/office/word/2010/wordml" w:rsidR="00DE45A6" w:rsidRDefault="003E5FE0" w14:paraId="699BE3F9" wp14:textId="77777777">
      <w:pPr>
        <w:pBdr>
          <w:top w:val="nil"/>
          <w:left w:val="nil"/>
          <w:bottom w:val="nil"/>
          <w:right w:val="nil"/>
          <w:between w:val="nil"/>
        </w:pBdr>
        <w:spacing w:before="240" w:after="255" w:line="275" w:lineRule="auto"/>
        <w:rPr>
          <w:rFonts w:ascii="Google Sans" w:hAnsi="Google Sans" w:eastAsia="Google Sans" w:cs="Google Sans"/>
          <w:color w:val="444746"/>
          <w:sz w:val="24"/>
          <w:szCs w:val="24"/>
          <w:vertAlign w:val="superscript"/>
        </w:rPr>
      </w:pPr>
      <w:r w:rsidRPr="65CA3BC1" w:rsidR="553C1913">
        <w:rPr>
          <w:rFonts w:ascii="Google Sans" w:hAnsi="Google Sans" w:eastAsia="Google Sans" w:cs="Google Sans"/>
          <w:color w:val="1F1F1F"/>
        </w:rPr>
        <w:t>In conclusione, la PSD2 ha trasformato la banca da una fortezza chiusa a un nodo di rete aperto. La sfida tecnologica dei prossimi anni non sarà solo crittografare i dati, ma rendere i flussi finanziari intelligenti, trasparenti e, soprattutto, resistenti alle manipolazioni di un crimine informatico sempre più industrializzato.</w:t>
      </w:r>
      <w:r w:rsidRPr="65CA3BC1" w:rsidR="553C1913">
        <w:rPr>
          <w:rFonts w:ascii="Google Sans" w:hAnsi="Google Sans" w:eastAsia="Google Sans" w:cs="Google Sans"/>
          <w:color w:val="444746"/>
          <w:sz w:val="24"/>
          <w:szCs w:val="24"/>
          <w:vertAlign w:val="superscript"/>
        </w:rPr>
        <w:t>4</w:t>
      </w:r>
    </w:p>
    <w:p w:rsidR="65CA3BC1" w:rsidP="65CA3BC1" w:rsidRDefault="65CA3BC1" w14:paraId="1E9128F8" w14:textId="11958897">
      <w:pPr>
        <w:pStyle w:val="Titolo4"/>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255" w:afterAutospacing="off" w:line="259" w:lineRule="auto"/>
        <w:ind w:left="0" w:right="0"/>
        <w:jc w:val="left"/>
        <w:rPr>
          <w:rFonts w:ascii="Google Sans" w:hAnsi="Google Sans" w:eastAsia="Google Sans" w:cs="Google Sans"/>
        </w:rPr>
      </w:pPr>
    </w:p>
    <w:p w:rsidR="65CA3BC1" w:rsidRDefault="65CA3BC1" w14:paraId="0651DDB0" w14:textId="60202EBC">
      <w:r>
        <w:br w:type="page"/>
      </w:r>
    </w:p>
    <w:p w:rsidR="247556B7" w:rsidP="65CA3BC1" w:rsidRDefault="247556B7" w14:paraId="514367E2" w14:textId="3A21E0F5">
      <w:pPr>
        <w:pStyle w:val="Titolo4"/>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255" w:afterAutospacing="off" w:line="259" w:lineRule="auto"/>
        <w:ind w:left="0" w:right="0"/>
        <w:jc w:val="left"/>
      </w:pPr>
      <w:r w:rsidRPr="65CA3BC1" w:rsidR="247556B7">
        <w:rPr>
          <w:rFonts w:ascii="Google Sans" w:hAnsi="Google Sans" w:eastAsia="Google Sans" w:cs="Google Sans"/>
        </w:rPr>
        <w:t>Sitografia</w:t>
      </w:r>
    </w:p>
    <w:p xmlns:wp14="http://schemas.microsoft.com/office/word/2010/wordml" w:rsidR="00DE45A6" w:rsidP="65CA3BC1" w:rsidRDefault="003E5FE0" w14:paraId="7BE0CEAE" wp14:textId="42D9BE50">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Basics | </w:t>
      </w:r>
      <w:r w:rsidRPr="65CA3BC1" w:rsidR="553C1913">
        <w:rPr>
          <w:rFonts w:ascii="Google Sans" w:hAnsi="Google Sans" w:eastAsia="Google Sans" w:cs="Google Sans"/>
          <w:sz w:val="24"/>
          <w:szCs w:val="24"/>
        </w:rPr>
        <w:t>SecureAuth</w:t>
      </w:r>
      <w:r w:rsidRPr="65CA3BC1" w:rsidR="553C1913">
        <w:rPr>
          <w:rFonts w:ascii="Google Sans" w:hAnsi="Google Sans" w:eastAsia="Google Sans" w:cs="Google Sans"/>
          <w:sz w:val="24"/>
          <w:szCs w:val="24"/>
        </w:rPr>
        <w:t xml:space="preserve"> Connect Product Docs </w:t>
      </w:r>
      <w:hyperlink r:id="R043843c5d9fa4995">
        <w:r w:rsidRPr="65CA3BC1" w:rsidR="553C1913">
          <w:rPr>
            <w:rFonts w:ascii="Google Sans" w:hAnsi="Google Sans" w:eastAsia="Google Sans" w:cs="Google Sans"/>
            <w:color w:val="0000EE"/>
            <w:sz w:val="24"/>
            <w:szCs w:val="24"/>
            <w:u w:val="single"/>
          </w:rPr>
          <w:t>https://docs.secureauth.com/iam/open-banking-concepts-and-terms</w:t>
        </w:r>
      </w:hyperlink>
    </w:p>
    <w:p xmlns:wp14="http://schemas.microsoft.com/office/word/2010/wordml" w:rsidR="00DE45A6" w:rsidP="65CA3BC1" w:rsidRDefault="003E5FE0" w14:paraId="3D8D1C0F" wp14:textId="194426D9">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PSD2 </w:t>
      </w:r>
      <w:r w:rsidRPr="65CA3BC1" w:rsidR="553C1913">
        <w:rPr>
          <w:rFonts w:ascii="Google Sans" w:hAnsi="Google Sans" w:eastAsia="Google Sans" w:cs="Google Sans"/>
          <w:sz w:val="24"/>
          <w:szCs w:val="24"/>
        </w:rPr>
        <w:t>everything</w:t>
      </w:r>
      <w:r w:rsidRPr="65CA3BC1" w:rsidR="553C1913">
        <w:rPr>
          <w:rFonts w:ascii="Google Sans" w:hAnsi="Google Sans" w:eastAsia="Google Sans" w:cs="Google Sans"/>
          <w:sz w:val="24"/>
          <w:szCs w:val="24"/>
        </w:rPr>
        <w:t xml:space="preserve"> to know for compliance - </w:t>
      </w:r>
      <w:r w:rsidRPr="65CA3BC1" w:rsidR="553C1913">
        <w:rPr>
          <w:rFonts w:ascii="Google Sans" w:hAnsi="Google Sans" w:eastAsia="Google Sans" w:cs="Google Sans"/>
          <w:sz w:val="24"/>
          <w:szCs w:val="24"/>
        </w:rPr>
        <w:t>Adyen</w:t>
      </w:r>
      <w:r w:rsidRPr="65CA3BC1" w:rsidR="553C1913">
        <w:rPr>
          <w:rFonts w:ascii="Google Sans" w:hAnsi="Google Sans" w:eastAsia="Google Sans" w:cs="Google Sans"/>
          <w:sz w:val="24"/>
          <w:szCs w:val="24"/>
        </w:rPr>
        <w:t xml:space="preserve"> </w:t>
      </w:r>
      <w:hyperlink r:id="R62335c0d9d90483e">
        <w:r w:rsidRPr="65CA3BC1" w:rsidR="553C1913">
          <w:rPr>
            <w:rFonts w:ascii="Google Sans" w:hAnsi="Google Sans" w:eastAsia="Google Sans" w:cs="Google Sans"/>
            <w:color w:val="0000EE"/>
            <w:sz w:val="24"/>
            <w:szCs w:val="24"/>
            <w:u w:val="single"/>
          </w:rPr>
          <w:t>https://www.adyen.com/knowledge-hub/psd2</w:t>
        </w:r>
      </w:hyperlink>
    </w:p>
    <w:p xmlns:wp14="http://schemas.microsoft.com/office/word/2010/wordml" w:rsidR="00DE45A6" w:rsidP="65CA3BC1" w:rsidRDefault="003E5FE0" w14:paraId="23AD5735" wp14:textId="5934055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w:t>
      </w:r>
      <w:r w:rsidRPr="65CA3BC1" w:rsidR="553C1913">
        <w:rPr>
          <w:rFonts w:ascii="Google Sans" w:hAnsi="Google Sans" w:eastAsia="Google Sans" w:cs="Google Sans"/>
          <w:sz w:val="24"/>
          <w:szCs w:val="24"/>
        </w:rPr>
        <w:t>Regulations</w:t>
      </w:r>
      <w:r w:rsidRPr="65CA3BC1" w:rsidR="553C1913">
        <w:rPr>
          <w:rFonts w:ascii="Google Sans" w:hAnsi="Google Sans" w:eastAsia="Google Sans" w:cs="Google Sans"/>
          <w:sz w:val="24"/>
          <w:szCs w:val="24"/>
        </w:rPr>
        <w:t xml:space="preserve"> &amp; API Security - </w:t>
      </w:r>
      <w:r w:rsidRPr="65CA3BC1" w:rsidR="553C1913">
        <w:rPr>
          <w:rFonts w:ascii="Google Sans" w:hAnsi="Google Sans" w:eastAsia="Google Sans" w:cs="Google Sans"/>
          <w:sz w:val="24"/>
          <w:szCs w:val="24"/>
        </w:rPr>
        <w:t>Wallarm</w:t>
      </w:r>
      <w:r w:rsidRPr="65CA3BC1" w:rsidR="553C1913">
        <w:rPr>
          <w:rFonts w:ascii="Google Sans" w:hAnsi="Google Sans" w:eastAsia="Google Sans" w:cs="Google Sans"/>
          <w:sz w:val="24"/>
          <w:szCs w:val="24"/>
        </w:rPr>
        <w:t xml:space="preserve"> </w:t>
      </w:r>
      <w:hyperlink r:id="Re9c2d1f22f304d38">
        <w:r w:rsidRPr="65CA3BC1" w:rsidR="553C1913">
          <w:rPr>
            <w:rFonts w:ascii="Google Sans" w:hAnsi="Google Sans" w:eastAsia="Google Sans" w:cs="Google Sans"/>
            <w:color w:val="0000EE"/>
            <w:sz w:val="24"/>
            <w:szCs w:val="24"/>
            <w:u w:val="single"/>
          </w:rPr>
          <w:t>https://hubspot.wallarm.com/hubfs/Open%20Banking%20Regulations%20and%20API%20Security.pdf</w:t>
        </w:r>
      </w:hyperlink>
    </w:p>
    <w:p xmlns:wp14="http://schemas.microsoft.com/office/word/2010/wordml" w:rsidR="00DE45A6" w:rsidP="65CA3BC1" w:rsidRDefault="003E5FE0" w14:paraId="6C74F918" wp14:textId="775FB259">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PSD2, and How Does </w:t>
      </w:r>
      <w:r w:rsidRPr="65CA3BC1" w:rsidR="553C1913">
        <w:rPr>
          <w:rFonts w:ascii="Google Sans" w:hAnsi="Google Sans" w:eastAsia="Google Sans" w:cs="Google Sans"/>
          <w:sz w:val="24"/>
          <w:szCs w:val="24"/>
        </w:rPr>
        <w:t>It</w:t>
      </w:r>
      <w:r w:rsidRPr="65CA3BC1" w:rsidR="553C1913">
        <w:rPr>
          <w:rFonts w:ascii="Google Sans" w:hAnsi="Google Sans" w:eastAsia="Google Sans" w:cs="Google Sans"/>
          <w:sz w:val="24"/>
          <w:szCs w:val="24"/>
        </w:rPr>
        <w:t xml:space="preserve"> Work? - </w:t>
      </w:r>
      <w:r w:rsidRPr="65CA3BC1" w:rsidR="553C1913">
        <w:rPr>
          <w:rFonts w:ascii="Google Sans" w:hAnsi="Google Sans" w:eastAsia="Google Sans" w:cs="Google Sans"/>
          <w:sz w:val="24"/>
          <w:szCs w:val="24"/>
        </w:rPr>
        <w:t>Curity</w:t>
      </w:r>
      <w:r w:rsidRPr="65CA3BC1" w:rsidR="553C1913">
        <w:rPr>
          <w:rFonts w:ascii="Google Sans" w:hAnsi="Google Sans" w:eastAsia="Google Sans" w:cs="Google Sans"/>
          <w:sz w:val="24"/>
          <w:szCs w:val="24"/>
        </w:rPr>
        <w:t xml:space="preserve"> Identity Server </w:t>
      </w:r>
      <w:hyperlink r:id="Rc9523271efcd4100">
        <w:r w:rsidRPr="65CA3BC1" w:rsidR="553C1913">
          <w:rPr>
            <w:rFonts w:ascii="Google Sans" w:hAnsi="Google Sans" w:eastAsia="Google Sans" w:cs="Google Sans"/>
            <w:color w:val="0000EE"/>
            <w:sz w:val="24"/>
            <w:szCs w:val="24"/>
            <w:u w:val="single"/>
          </w:rPr>
          <w:t>https://curity.io/resources/learn/what-is-psd2/</w:t>
        </w:r>
      </w:hyperlink>
    </w:p>
    <w:p xmlns:wp14="http://schemas.microsoft.com/office/word/2010/wordml" w:rsidR="00DE45A6" w:rsidP="65CA3BC1" w:rsidRDefault="003E5FE0" w14:paraId="2B7AA0BD" wp14:textId="05219D08">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Security </w:t>
      </w:r>
      <w:r w:rsidRPr="65CA3BC1" w:rsidR="553C1913">
        <w:rPr>
          <w:rFonts w:ascii="Google Sans" w:hAnsi="Google Sans" w:eastAsia="Google Sans" w:cs="Google Sans"/>
          <w:sz w:val="24"/>
          <w:szCs w:val="24"/>
        </w:rPr>
        <w:t>Profile</w:t>
      </w:r>
      <w:r w:rsidRPr="65CA3BC1" w:rsidR="553C1913">
        <w:rPr>
          <w:rFonts w:ascii="Google Sans" w:hAnsi="Google Sans" w:eastAsia="Google Sans" w:cs="Google Sans"/>
          <w:sz w:val="24"/>
          <w:szCs w:val="24"/>
        </w:rPr>
        <w:t xml:space="preserve"> - Developer Zone - </w:t>
      </w:r>
      <w:r w:rsidRPr="65CA3BC1" w:rsidR="553C1913">
        <w:rPr>
          <w:rFonts w:ascii="Google Sans" w:hAnsi="Google Sans" w:eastAsia="Google Sans" w:cs="Google Sans"/>
          <w:sz w:val="24"/>
          <w:szCs w:val="24"/>
        </w:rPr>
        <w:t>Confluence</w:t>
      </w:r>
      <w:r w:rsidRPr="65CA3BC1" w:rsidR="553C1913">
        <w:rPr>
          <w:rFonts w:ascii="Google Sans" w:hAnsi="Google Sans" w:eastAsia="Google Sans" w:cs="Google Sans"/>
          <w:sz w:val="24"/>
          <w:szCs w:val="24"/>
        </w:rPr>
        <w:t xml:space="preserve"> </w:t>
      </w:r>
      <w:hyperlink r:id="R930137f682064610">
        <w:r w:rsidRPr="65CA3BC1" w:rsidR="553C1913">
          <w:rPr>
            <w:rFonts w:ascii="Google Sans" w:hAnsi="Google Sans" w:eastAsia="Google Sans" w:cs="Google Sans"/>
            <w:color w:val="0000EE"/>
            <w:sz w:val="24"/>
            <w:szCs w:val="24"/>
            <w:u w:val="single"/>
          </w:rPr>
          <w:t>https://openbanking.atlassian.net/wiki/spaces/DZ/pages/83919096/Open+Banking+Security+Profile+-+Implementer+s+Draft+v1.1.2</w:t>
        </w:r>
      </w:hyperlink>
    </w:p>
    <w:p xmlns:wp14="http://schemas.microsoft.com/office/word/2010/wordml" w:rsidR="00DE45A6" w:rsidP="65CA3BC1" w:rsidRDefault="003E5FE0" w14:paraId="0C85F537" wp14:textId="279767AC">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PSD2? </w:t>
      </w:r>
      <w:r w:rsidRPr="65CA3BC1" w:rsidR="553C1913">
        <w:rPr>
          <w:rFonts w:ascii="Google Sans" w:hAnsi="Google Sans" w:eastAsia="Google Sans" w:cs="Google Sans"/>
          <w:sz w:val="24"/>
          <w:szCs w:val="24"/>
        </w:rPr>
        <w:t>Here's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businesses </w:t>
      </w:r>
      <w:r w:rsidRPr="65CA3BC1" w:rsidR="553C1913">
        <w:rPr>
          <w:rFonts w:ascii="Google Sans" w:hAnsi="Google Sans" w:eastAsia="Google Sans" w:cs="Google Sans"/>
          <w:sz w:val="24"/>
          <w:szCs w:val="24"/>
        </w:rPr>
        <w:t>need</w:t>
      </w:r>
      <w:r w:rsidRPr="65CA3BC1" w:rsidR="553C1913">
        <w:rPr>
          <w:rFonts w:ascii="Google Sans" w:hAnsi="Google Sans" w:eastAsia="Google Sans" w:cs="Google Sans"/>
          <w:sz w:val="24"/>
          <w:szCs w:val="24"/>
        </w:rPr>
        <w:t xml:space="preserve"> to know - Stripe </w:t>
      </w:r>
      <w:hyperlink r:id="R8fecdbc508b24d02">
        <w:r w:rsidRPr="65CA3BC1" w:rsidR="553C1913">
          <w:rPr>
            <w:rFonts w:ascii="Google Sans" w:hAnsi="Google Sans" w:eastAsia="Google Sans" w:cs="Google Sans"/>
            <w:color w:val="0000EE"/>
            <w:sz w:val="24"/>
            <w:szCs w:val="24"/>
            <w:u w:val="single"/>
          </w:rPr>
          <w:t>https://stripe.com/resources/more/what-is-psd2-here-is-what-businesses-need-to-know</w:t>
        </w:r>
      </w:hyperlink>
    </w:p>
    <w:p xmlns:wp14="http://schemas.microsoft.com/office/word/2010/wordml" w:rsidR="00DE45A6" w:rsidP="65CA3BC1" w:rsidRDefault="003E5FE0" w14:paraId="5DD7FF2C" wp14:textId="7841AA2E">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APIs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as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Catalysts</w:t>
      </w:r>
      <w:r w:rsidRPr="65CA3BC1" w:rsidR="553C1913">
        <w:rPr>
          <w:rFonts w:ascii="Google Sans" w:hAnsi="Google Sans" w:eastAsia="Google Sans" w:cs="Google Sans"/>
          <w:sz w:val="24"/>
          <w:szCs w:val="24"/>
        </w:rPr>
        <w:t xml:space="preserve">: A </w:t>
      </w:r>
      <w:r w:rsidRPr="65CA3BC1" w:rsidR="553C1913">
        <w:rPr>
          <w:rFonts w:ascii="Google Sans" w:hAnsi="Google Sans" w:eastAsia="Google Sans" w:cs="Google Sans"/>
          <w:sz w:val="24"/>
          <w:szCs w:val="24"/>
        </w:rPr>
        <w:t>Bank's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View</w:t>
      </w:r>
      <w:r w:rsidRPr="65CA3BC1" w:rsidR="553C1913">
        <w:rPr>
          <w:rFonts w:ascii="Google Sans" w:hAnsi="Google Sans" w:eastAsia="Google Sans" w:cs="Google Sans"/>
          <w:sz w:val="24"/>
          <w:szCs w:val="24"/>
        </w:rPr>
        <w:t xml:space="preserve"> on Open and Embedded Finance - CIO </w:t>
      </w:r>
      <w:r w:rsidRPr="65CA3BC1" w:rsidR="553C1913">
        <w:rPr>
          <w:rFonts w:ascii="Google Sans" w:hAnsi="Google Sans" w:eastAsia="Google Sans" w:cs="Google Sans"/>
          <w:sz w:val="24"/>
          <w:szCs w:val="24"/>
        </w:rPr>
        <w:t>TechWorld</w:t>
      </w:r>
      <w:r w:rsidRPr="65CA3BC1" w:rsidR="553C1913">
        <w:rPr>
          <w:rFonts w:ascii="Google Sans" w:hAnsi="Google Sans" w:eastAsia="Google Sans" w:cs="Google Sans"/>
          <w:sz w:val="24"/>
          <w:szCs w:val="24"/>
        </w:rPr>
        <w:t xml:space="preserve"> </w:t>
      </w:r>
      <w:hyperlink r:id="Re94c73e1a662494c">
        <w:r w:rsidRPr="65CA3BC1" w:rsidR="553C1913">
          <w:rPr>
            <w:rFonts w:ascii="Google Sans" w:hAnsi="Google Sans" w:eastAsia="Google Sans" w:cs="Google Sans"/>
            <w:color w:val="0000EE"/>
            <w:sz w:val="24"/>
            <w:szCs w:val="24"/>
            <w:u w:val="single"/>
          </w:rPr>
          <w:t>https://ciotechworld.com/apis-as-catalysts-a-banks-view-on-open-and-embedded-finance/</w:t>
        </w:r>
      </w:hyperlink>
    </w:p>
    <w:p xmlns:wp14="http://schemas.microsoft.com/office/word/2010/wordml" w:rsidR="00DE45A6" w:rsidP="65CA3BC1" w:rsidRDefault="003E5FE0" w14:paraId="76CB1AA8" wp14:textId="51A9B592">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Tokenization</w:t>
      </w:r>
      <w:r w:rsidRPr="65CA3BC1" w:rsidR="553C1913">
        <w:rPr>
          <w:rFonts w:ascii="Google Sans" w:hAnsi="Google Sans" w:eastAsia="Google Sans" w:cs="Google Sans"/>
          <w:sz w:val="24"/>
          <w:szCs w:val="24"/>
        </w:rPr>
        <w:t xml:space="preserve"> in Finance: How AI </w:t>
      </w:r>
      <w:r w:rsidRPr="65CA3BC1" w:rsidR="553C1913">
        <w:rPr>
          <w:rFonts w:ascii="Google Sans" w:hAnsi="Google Sans" w:eastAsia="Google Sans" w:cs="Google Sans"/>
          <w:sz w:val="24"/>
          <w:szCs w:val="24"/>
        </w:rPr>
        <w:t>Enhances</w:t>
      </w:r>
      <w:r w:rsidRPr="65CA3BC1" w:rsidR="553C1913">
        <w:rPr>
          <w:rFonts w:ascii="Google Sans" w:hAnsi="Google Sans" w:eastAsia="Google Sans" w:cs="Google Sans"/>
          <w:sz w:val="24"/>
          <w:szCs w:val="24"/>
        </w:rPr>
        <w:t xml:space="preserve"> Security and </w:t>
      </w:r>
      <w:r w:rsidRPr="65CA3BC1" w:rsidR="553C1913">
        <w:rPr>
          <w:rFonts w:ascii="Google Sans" w:hAnsi="Google Sans" w:eastAsia="Google Sans" w:cs="Google Sans"/>
          <w:sz w:val="24"/>
          <w:szCs w:val="24"/>
        </w:rPr>
        <w:t>Transparency</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sifars-wordpress</w:t>
      </w:r>
      <w:r w:rsidRPr="65CA3BC1" w:rsidR="553C1913">
        <w:rPr>
          <w:rFonts w:ascii="Google Sans" w:hAnsi="Google Sans" w:eastAsia="Google Sans" w:cs="Google Sans"/>
          <w:sz w:val="24"/>
          <w:szCs w:val="24"/>
        </w:rPr>
        <w:t xml:space="preserve"> </w:t>
      </w:r>
      <w:hyperlink r:id="Ra3e7dea85ee14d33">
        <w:r w:rsidRPr="65CA3BC1" w:rsidR="553C1913">
          <w:rPr>
            <w:rFonts w:ascii="Google Sans" w:hAnsi="Google Sans" w:eastAsia="Google Sans" w:cs="Google Sans"/>
            <w:color w:val="0000EE"/>
            <w:sz w:val="24"/>
            <w:szCs w:val="24"/>
            <w:u w:val="single"/>
          </w:rPr>
          <w:t>https://www.sifars.com/en/blog/tokenization-in-finance-how-ai-enhances-security-and-transparency/</w:t>
        </w:r>
      </w:hyperlink>
    </w:p>
    <w:p xmlns:wp14="http://schemas.microsoft.com/office/word/2010/wordml" w:rsidR="00DE45A6" w:rsidP="65CA3BC1" w:rsidRDefault="003E5FE0" w14:paraId="14C1A2B1" wp14:textId="30C7BEBE">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The </w:t>
      </w:r>
      <w:r w:rsidRPr="65CA3BC1" w:rsidR="553C1913">
        <w:rPr>
          <w:rFonts w:ascii="Google Sans" w:hAnsi="Google Sans" w:eastAsia="Google Sans" w:cs="Google Sans"/>
          <w:sz w:val="24"/>
          <w:szCs w:val="24"/>
        </w:rPr>
        <w:t>Evolution</w:t>
      </w:r>
      <w:r w:rsidRPr="65CA3BC1" w:rsidR="553C1913">
        <w:rPr>
          <w:rFonts w:ascii="Google Sans" w:hAnsi="Google Sans" w:eastAsia="Google Sans" w:cs="Google Sans"/>
          <w:sz w:val="24"/>
          <w:szCs w:val="24"/>
        </w:rPr>
        <w:t xml:space="preserve"> of SIM Swapping </w:t>
      </w:r>
      <w:r w:rsidRPr="65CA3BC1" w:rsidR="553C1913">
        <w:rPr>
          <w:rFonts w:ascii="Google Sans" w:hAnsi="Google Sans" w:eastAsia="Google Sans" w:cs="Google Sans"/>
          <w:sz w:val="24"/>
          <w:szCs w:val="24"/>
        </w:rPr>
        <w:t>Fraud</w:t>
      </w:r>
      <w:r w:rsidRPr="65CA3BC1" w:rsidR="553C1913">
        <w:rPr>
          <w:rFonts w:ascii="Google Sans" w:hAnsi="Google Sans" w:eastAsia="Google Sans" w:cs="Google Sans"/>
          <w:sz w:val="24"/>
          <w:szCs w:val="24"/>
        </w:rPr>
        <w:t xml:space="preserve">: How </w:t>
      </w:r>
      <w:r w:rsidRPr="65CA3BC1" w:rsidR="553C1913">
        <w:rPr>
          <w:rFonts w:ascii="Google Sans" w:hAnsi="Google Sans" w:eastAsia="Google Sans" w:cs="Google Sans"/>
          <w:sz w:val="24"/>
          <w:szCs w:val="24"/>
        </w:rPr>
        <w:t>Fraudsters</w:t>
      </w:r>
      <w:r w:rsidRPr="65CA3BC1" w:rsidR="553C1913">
        <w:rPr>
          <w:rFonts w:ascii="Google Sans" w:hAnsi="Google Sans" w:eastAsia="Google Sans" w:cs="Google Sans"/>
          <w:sz w:val="24"/>
          <w:szCs w:val="24"/>
        </w:rPr>
        <w:t xml:space="preserve"> Bypass Security </w:t>
      </w:r>
      <w:r w:rsidRPr="65CA3BC1" w:rsidR="553C1913">
        <w:rPr>
          <w:rFonts w:ascii="Google Sans" w:hAnsi="Google Sans" w:eastAsia="Google Sans" w:cs="Google Sans"/>
          <w:sz w:val="24"/>
          <w:szCs w:val="24"/>
        </w:rPr>
        <w:t>Layers</w:t>
      </w:r>
      <w:r w:rsidRPr="65CA3BC1" w:rsidR="553C1913">
        <w:rPr>
          <w:rFonts w:ascii="Google Sans" w:hAnsi="Google Sans" w:eastAsia="Google Sans" w:cs="Google Sans"/>
          <w:sz w:val="24"/>
          <w:szCs w:val="24"/>
        </w:rPr>
        <w:t xml:space="preserve"> - Group-IB </w:t>
      </w:r>
      <w:hyperlink r:id="R724f2d3f6f8c4788">
        <w:r w:rsidRPr="65CA3BC1" w:rsidR="553C1913">
          <w:rPr>
            <w:rFonts w:ascii="Google Sans" w:hAnsi="Google Sans" w:eastAsia="Google Sans" w:cs="Google Sans"/>
            <w:color w:val="0000EE"/>
            <w:sz w:val="24"/>
            <w:szCs w:val="24"/>
            <w:u w:val="single"/>
          </w:rPr>
          <w:t>https://www.group-ib.com/blog/the-evolution-of-sim-swapping-fraud-how-fraudsters-bypass-security-layers/</w:t>
        </w:r>
      </w:hyperlink>
    </w:p>
    <w:p xmlns:wp14="http://schemas.microsoft.com/office/word/2010/wordml" w:rsidR="00DE45A6" w:rsidP="65CA3BC1" w:rsidRDefault="003E5FE0" w14:paraId="409988F4" wp14:textId="3FCE3C14">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PSD2 SCA Compliance - </w:t>
      </w:r>
      <w:r w:rsidRPr="65CA3BC1" w:rsidR="553C1913">
        <w:rPr>
          <w:rFonts w:ascii="Google Sans" w:hAnsi="Google Sans" w:eastAsia="Google Sans" w:cs="Google Sans"/>
          <w:sz w:val="24"/>
          <w:szCs w:val="24"/>
        </w:rPr>
        <w:t>GPayments</w:t>
      </w:r>
      <w:r w:rsidRPr="65CA3BC1" w:rsidR="553C1913">
        <w:rPr>
          <w:rFonts w:ascii="Google Sans" w:hAnsi="Google Sans" w:eastAsia="Google Sans" w:cs="Google Sans"/>
          <w:sz w:val="24"/>
          <w:szCs w:val="24"/>
        </w:rPr>
        <w:t xml:space="preserve"> </w:t>
      </w:r>
      <w:hyperlink r:id="R22053e7d31754510">
        <w:r w:rsidRPr="65CA3BC1" w:rsidR="553C1913">
          <w:rPr>
            <w:rFonts w:ascii="Google Sans" w:hAnsi="Google Sans" w:eastAsia="Google Sans" w:cs="Google Sans"/>
            <w:color w:val="0000EE"/>
            <w:sz w:val="24"/>
            <w:szCs w:val="24"/>
            <w:u w:val="single"/>
          </w:rPr>
          <w:t>https://www.gpayments.com/about/psd2-strong-customer-authentication-3d-secure-2/</w:t>
        </w:r>
      </w:hyperlink>
    </w:p>
    <w:p xmlns:wp14="http://schemas.microsoft.com/office/word/2010/wordml" w:rsidR="00DE45A6" w:rsidP="65CA3BC1" w:rsidRDefault="003E5FE0" w14:paraId="0ECACE74" wp14:textId="774CDEA1">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Information paper Strong Customer Authentication under Payment Services Directive 2 (PSD2) SWIFT </w:t>
      </w:r>
      <w:r w:rsidRPr="65CA3BC1" w:rsidR="553C1913">
        <w:rPr>
          <w:rFonts w:ascii="Google Sans" w:hAnsi="Google Sans" w:eastAsia="Google Sans" w:cs="Google Sans"/>
          <w:sz w:val="24"/>
          <w:szCs w:val="24"/>
        </w:rPr>
        <w:t>launches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advanced</w:t>
      </w:r>
      <w:r w:rsidRPr="65CA3BC1" w:rsidR="553C1913">
        <w:rPr>
          <w:rFonts w:ascii="Google Sans" w:hAnsi="Google Sans" w:eastAsia="Google Sans" w:cs="Google Sans"/>
          <w:sz w:val="24"/>
          <w:szCs w:val="24"/>
        </w:rPr>
        <w:t xml:space="preserve"> token </w:t>
      </w:r>
      <w:r w:rsidRPr="65CA3BC1" w:rsidR="553C1913">
        <w:rPr>
          <w:rFonts w:ascii="Google Sans" w:hAnsi="Google Sans" w:eastAsia="Google Sans" w:cs="Google Sans"/>
          <w:sz w:val="24"/>
          <w:szCs w:val="24"/>
        </w:rPr>
        <w:t>technol</w:t>
      </w:r>
      <w:r w:rsidRPr="65CA3BC1" w:rsidR="553C1913">
        <w:rPr>
          <w:rFonts w:ascii="Google Sans" w:hAnsi="Google Sans" w:eastAsia="Google Sans" w:cs="Google Sans"/>
          <w:sz w:val="24"/>
          <w:szCs w:val="24"/>
        </w:rPr>
        <w:t xml:space="preserve"> </w:t>
      </w:r>
      <w:hyperlink r:id="R719e36825e524cfc">
        <w:r w:rsidRPr="65CA3BC1" w:rsidR="553C1913">
          <w:rPr>
            <w:rFonts w:ascii="Google Sans" w:hAnsi="Google Sans" w:eastAsia="Google Sans" w:cs="Google Sans"/>
            <w:color w:val="0000EE"/>
            <w:sz w:val="24"/>
            <w:szCs w:val="24"/>
            <w:u w:val="single"/>
          </w:rPr>
          <w:t>https://www.swift.com/swift-resource/71316/download?language=en</w:t>
        </w:r>
      </w:hyperlink>
    </w:p>
    <w:p xmlns:wp14="http://schemas.microsoft.com/office/word/2010/wordml" w:rsidR="00DE45A6" w:rsidP="65CA3BC1" w:rsidRDefault="003E5FE0" w14:paraId="4F25274A" wp14:textId="0FF5AA4E">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Understanding</w:t>
      </w:r>
      <w:r w:rsidRPr="65CA3BC1" w:rsidR="553C1913">
        <w:rPr>
          <w:rFonts w:ascii="Google Sans" w:hAnsi="Google Sans" w:eastAsia="Google Sans" w:cs="Google Sans"/>
          <w:sz w:val="24"/>
          <w:szCs w:val="24"/>
        </w:rPr>
        <w:t xml:space="preserve"> Dynamic Linking in PSD2 | </w:t>
      </w:r>
      <w:r w:rsidRPr="65CA3BC1" w:rsidR="553C1913">
        <w:rPr>
          <w:rFonts w:ascii="Google Sans" w:hAnsi="Google Sans" w:eastAsia="Google Sans" w:cs="Google Sans"/>
          <w:sz w:val="24"/>
          <w:szCs w:val="24"/>
        </w:rPr>
        <w:t>Twilio</w:t>
      </w:r>
      <w:r w:rsidRPr="65CA3BC1" w:rsidR="553C1913">
        <w:rPr>
          <w:rFonts w:ascii="Google Sans" w:hAnsi="Google Sans" w:eastAsia="Google Sans" w:cs="Google Sans"/>
          <w:sz w:val="24"/>
          <w:szCs w:val="24"/>
        </w:rPr>
        <w:t xml:space="preserve"> </w:t>
      </w:r>
      <w:hyperlink r:id="Ra47553d5822b42c7">
        <w:r w:rsidRPr="65CA3BC1" w:rsidR="553C1913">
          <w:rPr>
            <w:rFonts w:ascii="Google Sans" w:hAnsi="Google Sans" w:eastAsia="Google Sans" w:cs="Google Sans"/>
            <w:color w:val="0000EE"/>
            <w:sz w:val="24"/>
            <w:szCs w:val="24"/>
            <w:u w:val="single"/>
          </w:rPr>
          <w:t>https://www.twilio.com/en-us/blog/insights/compliance/dynamic-linking-psd2</w:t>
        </w:r>
      </w:hyperlink>
    </w:p>
    <w:p xmlns:wp14="http://schemas.microsoft.com/office/word/2010/wordml" w:rsidR="00DE45A6" w:rsidP="65CA3BC1" w:rsidRDefault="003E5FE0" w14:paraId="06AE737F" wp14:textId="7EE941E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Dynamic Linking in PSD2? - Okay | </w:t>
      </w:r>
      <w:r w:rsidRPr="65CA3BC1" w:rsidR="553C1913">
        <w:rPr>
          <w:rFonts w:ascii="Google Sans" w:hAnsi="Google Sans" w:eastAsia="Google Sans" w:cs="Google Sans"/>
          <w:sz w:val="24"/>
          <w:szCs w:val="24"/>
        </w:rPr>
        <w:t>Frictionless</w:t>
      </w:r>
      <w:r w:rsidRPr="65CA3BC1" w:rsidR="553C1913">
        <w:rPr>
          <w:rFonts w:ascii="Google Sans" w:hAnsi="Google Sans" w:eastAsia="Google Sans" w:cs="Google Sans"/>
          <w:sz w:val="24"/>
          <w:szCs w:val="24"/>
        </w:rPr>
        <w:t xml:space="preserve"> &amp; Secure ... </w:t>
      </w:r>
      <w:hyperlink r:id="R703bdfc22e1c4e2b">
        <w:r w:rsidRPr="65CA3BC1" w:rsidR="553C1913">
          <w:rPr>
            <w:rFonts w:ascii="Google Sans" w:hAnsi="Google Sans" w:eastAsia="Google Sans" w:cs="Google Sans"/>
            <w:color w:val="0000EE"/>
            <w:sz w:val="24"/>
            <w:szCs w:val="24"/>
            <w:u w:val="single"/>
          </w:rPr>
          <w:t>https://okaythis.com/blog/what-is-dynamic-linking</w:t>
        </w:r>
      </w:hyperlink>
    </w:p>
    <w:p xmlns:wp14="http://schemas.microsoft.com/office/word/2010/wordml" w:rsidR="00DE45A6" w:rsidP="65CA3BC1" w:rsidRDefault="003E5FE0" w14:paraId="3E4D69A4" wp14:textId="5BE33352">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PSD2? A guide to PSD2 compliance | Stripe </w:t>
      </w:r>
      <w:hyperlink r:id="R5cfc8cd8ccf843b5">
        <w:r w:rsidRPr="65CA3BC1" w:rsidR="553C1913">
          <w:rPr>
            <w:rFonts w:ascii="Google Sans" w:hAnsi="Google Sans" w:eastAsia="Google Sans" w:cs="Google Sans"/>
            <w:color w:val="0000EE"/>
            <w:sz w:val="24"/>
            <w:szCs w:val="24"/>
            <w:u w:val="single"/>
          </w:rPr>
          <w:t>https://stripe.com/ae/resources/more/what-is-psd2-here-is-what-businesses-need-to-know</w:t>
        </w:r>
      </w:hyperlink>
    </w:p>
    <w:p xmlns:wp14="http://schemas.microsoft.com/office/word/2010/wordml" w:rsidR="00DE45A6" w:rsidP="65CA3BC1" w:rsidRDefault="003E5FE0" w14:paraId="03092908" wp14:textId="59FD899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3DS 2.0 - The Complete Guide | </w:t>
      </w:r>
      <w:r w:rsidRPr="65CA3BC1" w:rsidR="553C1913">
        <w:rPr>
          <w:rFonts w:ascii="Google Sans" w:hAnsi="Google Sans" w:eastAsia="Google Sans" w:cs="Google Sans"/>
          <w:sz w:val="24"/>
          <w:szCs w:val="24"/>
        </w:rPr>
        <w:t>Kount</w:t>
      </w:r>
      <w:r w:rsidRPr="65CA3BC1" w:rsidR="553C1913">
        <w:rPr>
          <w:rFonts w:ascii="Google Sans" w:hAnsi="Google Sans" w:eastAsia="Google Sans" w:cs="Google Sans"/>
          <w:sz w:val="24"/>
          <w:szCs w:val="24"/>
        </w:rPr>
        <w:t xml:space="preserve"> </w:t>
      </w:r>
      <w:hyperlink r:id="R2d8073b9b2014555">
        <w:r w:rsidRPr="65CA3BC1" w:rsidR="553C1913">
          <w:rPr>
            <w:rFonts w:ascii="Google Sans" w:hAnsi="Google Sans" w:eastAsia="Google Sans" w:cs="Google Sans"/>
            <w:color w:val="0000EE"/>
            <w:sz w:val="24"/>
            <w:szCs w:val="24"/>
            <w:u w:val="single"/>
          </w:rPr>
          <w:t>https://kount.com/blog/what-is-3d-secure-2</w:t>
        </w:r>
      </w:hyperlink>
    </w:p>
    <w:p xmlns:wp14="http://schemas.microsoft.com/office/word/2010/wordml" w:rsidR="00DE45A6" w:rsidP="65CA3BC1" w:rsidRDefault="003E5FE0" w14:paraId="085DD1AC" wp14:textId="0B89B5D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3D Secure Authentication: The Complete Guide - ACI Worldwide </w:t>
      </w:r>
      <w:hyperlink r:id="R7419b32f368241c2">
        <w:r w:rsidRPr="65CA3BC1" w:rsidR="553C1913">
          <w:rPr>
            <w:rFonts w:ascii="Google Sans" w:hAnsi="Google Sans" w:eastAsia="Google Sans" w:cs="Google Sans"/>
            <w:color w:val="0000EE"/>
            <w:sz w:val="24"/>
            <w:szCs w:val="24"/>
            <w:u w:val="single"/>
          </w:rPr>
          <w:t>https://www.aciworldwide.com/3d-secure-authentication</w:t>
        </w:r>
      </w:hyperlink>
    </w:p>
    <w:p xmlns:wp14="http://schemas.microsoft.com/office/word/2010/wordml" w:rsidR="00DE45A6" w:rsidP="65CA3BC1" w:rsidRDefault="003E5FE0" w14:paraId="404EC2DC" wp14:textId="066A2221">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SIM-swap </w:t>
      </w:r>
      <w:r w:rsidRPr="65CA3BC1" w:rsidR="553C1913">
        <w:rPr>
          <w:rFonts w:ascii="Google Sans" w:hAnsi="Google Sans" w:eastAsia="Google Sans" w:cs="Google Sans"/>
          <w:sz w:val="24"/>
          <w:szCs w:val="24"/>
        </w:rPr>
        <w:t>fraud</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Scam</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prevention</w:t>
      </w:r>
      <w:r w:rsidRPr="65CA3BC1" w:rsidR="553C1913">
        <w:rPr>
          <w:rFonts w:ascii="Google Sans" w:hAnsi="Google Sans" w:eastAsia="Google Sans" w:cs="Google Sans"/>
          <w:sz w:val="24"/>
          <w:szCs w:val="24"/>
        </w:rPr>
        <w:t xml:space="preserve"> guide - </w:t>
      </w:r>
      <w:r w:rsidRPr="65CA3BC1" w:rsidR="553C1913">
        <w:rPr>
          <w:rFonts w:ascii="Google Sans" w:hAnsi="Google Sans" w:eastAsia="Google Sans" w:cs="Google Sans"/>
          <w:sz w:val="24"/>
          <w:szCs w:val="24"/>
        </w:rPr>
        <w:t>Specops</w:t>
      </w:r>
      <w:r w:rsidRPr="65CA3BC1" w:rsidR="553C1913">
        <w:rPr>
          <w:rFonts w:ascii="Google Sans" w:hAnsi="Google Sans" w:eastAsia="Google Sans" w:cs="Google Sans"/>
          <w:sz w:val="24"/>
          <w:szCs w:val="24"/>
        </w:rPr>
        <w:t xml:space="preserve"> Software </w:t>
      </w:r>
      <w:hyperlink r:id="Rcbbc5843004c48a9">
        <w:r w:rsidRPr="65CA3BC1" w:rsidR="553C1913">
          <w:rPr>
            <w:rFonts w:ascii="Google Sans" w:hAnsi="Google Sans" w:eastAsia="Google Sans" w:cs="Google Sans"/>
            <w:color w:val="0000EE"/>
            <w:sz w:val="24"/>
            <w:szCs w:val="24"/>
            <w:u w:val="single"/>
          </w:rPr>
          <w:t>https://specopssoft.com/blog/sim-swap-fraud-prevention-guide-2025/</w:t>
        </w:r>
      </w:hyperlink>
    </w:p>
    <w:p xmlns:wp14="http://schemas.microsoft.com/office/word/2010/wordml" w:rsidR="00DE45A6" w:rsidP="65CA3BC1" w:rsidRDefault="003E5FE0" w14:paraId="359AF81C" wp14:textId="1CF5B02C">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Dynamic Linking with </w:t>
      </w:r>
      <w:r w:rsidRPr="65CA3BC1" w:rsidR="553C1913">
        <w:rPr>
          <w:rFonts w:ascii="Google Sans" w:hAnsi="Google Sans" w:eastAsia="Google Sans" w:cs="Google Sans"/>
          <w:sz w:val="24"/>
          <w:szCs w:val="24"/>
        </w:rPr>
        <w:t>Passkeys</w:t>
      </w:r>
      <w:r w:rsidRPr="65CA3BC1" w:rsidR="553C1913">
        <w:rPr>
          <w:rFonts w:ascii="Google Sans" w:hAnsi="Google Sans" w:eastAsia="Google Sans" w:cs="Google Sans"/>
          <w:sz w:val="24"/>
          <w:szCs w:val="24"/>
        </w:rPr>
        <w:t xml:space="preserve">: Secure Payment </w:t>
      </w:r>
      <w:r w:rsidRPr="65CA3BC1" w:rsidR="553C1913">
        <w:rPr>
          <w:rFonts w:ascii="Google Sans" w:hAnsi="Google Sans" w:eastAsia="Google Sans" w:cs="Google Sans"/>
          <w:sz w:val="24"/>
          <w:szCs w:val="24"/>
        </w:rPr>
        <w:t>Confirmation</w:t>
      </w:r>
      <w:r w:rsidRPr="65CA3BC1" w:rsidR="553C1913">
        <w:rPr>
          <w:rFonts w:ascii="Google Sans" w:hAnsi="Google Sans" w:eastAsia="Google Sans" w:cs="Google Sans"/>
          <w:sz w:val="24"/>
          <w:szCs w:val="24"/>
        </w:rPr>
        <w:t xml:space="preserve"> (SPC) - </w:t>
      </w:r>
      <w:r w:rsidRPr="65CA3BC1" w:rsidR="553C1913">
        <w:rPr>
          <w:rFonts w:ascii="Google Sans" w:hAnsi="Google Sans" w:eastAsia="Google Sans" w:cs="Google Sans"/>
          <w:sz w:val="24"/>
          <w:szCs w:val="24"/>
        </w:rPr>
        <w:t>Corbado</w:t>
      </w:r>
      <w:r w:rsidRPr="65CA3BC1" w:rsidR="553C1913">
        <w:rPr>
          <w:rFonts w:ascii="Google Sans" w:hAnsi="Google Sans" w:eastAsia="Google Sans" w:cs="Google Sans"/>
          <w:sz w:val="24"/>
          <w:szCs w:val="24"/>
        </w:rPr>
        <w:t xml:space="preserve"> </w:t>
      </w:r>
      <w:hyperlink r:id="R680100df0f5948d3">
        <w:r w:rsidRPr="65CA3BC1" w:rsidR="553C1913">
          <w:rPr>
            <w:rFonts w:ascii="Google Sans" w:hAnsi="Google Sans" w:eastAsia="Google Sans" w:cs="Google Sans"/>
            <w:color w:val="0000EE"/>
            <w:sz w:val="24"/>
            <w:szCs w:val="24"/>
            <w:u w:val="single"/>
          </w:rPr>
          <w:t>https://www.corbado.com/blog/dynamic-linking-passkeys-spc</w:t>
        </w:r>
      </w:hyperlink>
    </w:p>
    <w:p xmlns:wp14="http://schemas.microsoft.com/office/word/2010/wordml" w:rsidR="00DE45A6" w:rsidP="65CA3BC1" w:rsidRDefault="003E5FE0" w14:paraId="4659ABC6" wp14:textId="1A44F9FB">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2020_5366 </w:t>
      </w:r>
      <w:r w:rsidRPr="65CA3BC1" w:rsidR="553C1913">
        <w:rPr>
          <w:rFonts w:ascii="Google Sans" w:hAnsi="Google Sans" w:eastAsia="Google Sans" w:cs="Google Sans"/>
          <w:sz w:val="24"/>
          <w:szCs w:val="24"/>
        </w:rPr>
        <w:t>Clarification</w:t>
      </w:r>
      <w:r w:rsidRPr="65CA3BC1" w:rsidR="553C1913">
        <w:rPr>
          <w:rFonts w:ascii="Google Sans" w:hAnsi="Google Sans" w:eastAsia="Google Sans" w:cs="Google Sans"/>
          <w:sz w:val="24"/>
          <w:szCs w:val="24"/>
        </w:rPr>
        <w:t xml:space="preserve"> on </w:t>
      </w:r>
      <w:r w:rsidRPr="65CA3BC1" w:rsidR="553C1913">
        <w:rPr>
          <w:rFonts w:ascii="Google Sans" w:hAnsi="Google Sans" w:eastAsia="Google Sans" w:cs="Google Sans"/>
          <w:sz w:val="24"/>
          <w:szCs w:val="24"/>
        </w:rPr>
        <w:t>where</w:t>
      </w:r>
      <w:r w:rsidRPr="65CA3BC1" w:rsidR="553C1913">
        <w:rPr>
          <w:rFonts w:ascii="Google Sans" w:hAnsi="Google Sans" w:eastAsia="Google Sans" w:cs="Google Sans"/>
          <w:sz w:val="24"/>
          <w:szCs w:val="24"/>
        </w:rPr>
        <w:t xml:space="preserve"> the </w:t>
      </w:r>
      <w:r w:rsidRPr="65CA3BC1" w:rsidR="553C1913">
        <w:rPr>
          <w:rFonts w:ascii="Google Sans" w:hAnsi="Google Sans" w:eastAsia="Google Sans" w:cs="Google Sans"/>
          <w:sz w:val="24"/>
          <w:szCs w:val="24"/>
        </w:rPr>
        <w:t>creation</w:t>
      </w:r>
      <w:r w:rsidRPr="65CA3BC1" w:rsidR="553C1913">
        <w:rPr>
          <w:rFonts w:ascii="Google Sans" w:hAnsi="Google Sans" w:eastAsia="Google Sans" w:cs="Google Sans"/>
          <w:sz w:val="24"/>
          <w:szCs w:val="24"/>
        </w:rPr>
        <w:t xml:space="preserve"> of the authentication code with </w:t>
      </w:r>
      <w:r w:rsidRPr="65CA3BC1" w:rsidR="553C1913">
        <w:rPr>
          <w:rFonts w:ascii="Google Sans" w:hAnsi="Google Sans" w:eastAsia="Google Sans" w:cs="Google Sans"/>
          <w:sz w:val="24"/>
          <w:szCs w:val="24"/>
        </w:rPr>
        <w:t>dynamic</w:t>
      </w:r>
      <w:r w:rsidRPr="65CA3BC1" w:rsidR="553C1913">
        <w:rPr>
          <w:rFonts w:ascii="Google Sans" w:hAnsi="Google Sans" w:eastAsia="Google Sans" w:cs="Google Sans"/>
          <w:sz w:val="24"/>
          <w:szCs w:val="24"/>
        </w:rPr>
        <w:t xml:space="preserve"> linking for strong customer authentication (SCA) for </w:t>
      </w:r>
      <w:r w:rsidRPr="65CA3BC1" w:rsidR="553C1913">
        <w:rPr>
          <w:rFonts w:ascii="Google Sans" w:hAnsi="Google Sans" w:eastAsia="Google Sans" w:cs="Google Sans"/>
          <w:sz w:val="24"/>
          <w:szCs w:val="24"/>
        </w:rPr>
        <w:t>electronic</w:t>
      </w:r>
      <w:r w:rsidRPr="65CA3BC1" w:rsidR="553C1913">
        <w:rPr>
          <w:rFonts w:ascii="Google Sans" w:hAnsi="Google Sans" w:eastAsia="Google Sans" w:cs="Google Sans"/>
          <w:sz w:val="24"/>
          <w:szCs w:val="24"/>
        </w:rPr>
        <w:t xml:space="preserve"> remote payment </w:t>
      </w:r>
      <w:r w:rsidRPr="65CA3BC1" w:rsidR="553C1913">
        <w:rPr>
          <w:rFonts w:ascii="Google Sans" w:hAnsi="Google Sans" w:eastAsia="Google Sans" w:cs="Google Sans"/>
          <w:sz w:val="24"/>
          <w:szCs w:val="24"/>
        </w:rPr>
        <w:t>needs</w:t>
      </w:r>
      <w:r w:rsidRPr="65CA3BC1" w:rsidR="553C1913">
        <w:rPr>
          <w:rFonts w:ascii="Google Sans" w:hAnsi="Google Sans" w:eastAsia="Google Sans" w:cs="Google Sans"/>
          <w:sz w:val="24"/>
          <w:szCs w:val="24"/>
        </w:rPr>
        <w:t xml:space="preserve"> to be </w:t>
      </w:r>
      <w:r w:rsidRPr="65CA3BC1" w:rsidR="553C1913">
        <w:rPr>
          <w:rFonts w:ascii="Google Sans" w:hAnsi="Google Sans" w:eastAsia="Google Sans" w:cs="Google Sans"/>
          <w:sz w:val="24"/>
          <w:szCs w:val="24"/>
        </w:rPr>
        <w:t>done</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European</w:t>
      </w:r>
      <w:r w:rsidRPr="65CA3BC1" w:rsidR="553C1913">
        <w:rPr>
          <w:rFonts w:ascii="Google Sans" w:hAnsi="Google Sans" w:eastAsia="Google Sans" w:cs="Google Sans"/>
          <w:sz w:val="24"/>
          <w:szCs w:val="24"/>
        </w:rPr>
        <w:t xml:space="preserve"> Banking Authority </w:t>
      </w:r>
      <w:hyperlink r:id="R535d55f916704be5">
        <w:r w:rsidRPr="65CA3BC1" w:rsidR="553C1913">
          <w:rPr>
            <w:rFonts w:ascii="Google Sans" w:hAnsi="Google Sans" w:eastAsia="Google Sans" w:cs="Google Sans"/>
            <w:color w:val="0000EE"/>
            <w:sz w:val="24"/>
            <w:szCs w:val="24"/>
            <w:u w:val="single"/>
          </w:rPr>
          <w:t>https://www.eba.europa.eu/single-rule-book-qa/qna/view/publicId/2020_5366</w:t>
        </w:r>
      </w:hyperlink>
    </w:p>
    <w:p xmlns:wp14="http://schemas.microsoft.com/office/word/2010/wordml" w:rsidR="00DE45A6" w:rsidP="65CA3BC1" w:rsidRDefault="003E5FE0" w14:paraId="5A400B49" wp14:textId="33B380F4">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Response</w:t>
      </w:r>
      <w:r w:rsidRPr="65CA3BC1" w:rsidR="553C1913">
        <w:rPr>
          <w:rFonts w:ascii="Google Sans" w:hAnsi="Google Sans" w:eastAsia="Google Sans" w:cs="Google Sans"/>
          <w:sz w:val="24"/>
          <w:szCs w:val="24"/>
        </w:rPr>
        <w:t xml:space="preserve"> to </w:t>
      </w:r>
      <w:r w:rsidRPr="65CA3BC1" w:rsidR="553C1913">
        <w:rPr>
          <w:rFonts w:ascii="Google Sans" w:hAnsi="Google Sans" w:eastAsia="Google Sans" w:cs="Google Sans"/>
          <w:sz w:val="24"/>
          <w:szCs w:val="24"/>
        </w:rPr>
        <w:t>consultation</w:t>
      </w:r>
      <w:r w:rsidRPr="65CA3BC1" w:rsidR="553C1913">
        <w:rPr>
          <w:rFonts w:ascii="Google Sans" w:hAnsi="Google Sans" w:eastAsia="Google Sans" w:cs="Google Sans"/>
          <w:sz w:val="24"/>
          <w:szCs w:val="24"/>
        </w:rPr>
        <w:t xml:space="preserve"> on RTS </w:t>
      </w:r>
      <w:r w:rsidRPr="65CA3BC1" w:rsidR="553C1913">
        <w:rPr>
          <w:rFonts w:ascii="Google Sans" w:hAnsi="Google Sans" w:eastAsia="Google Sans" w:cs="Google Sans"/>
          <w:sz w:val="24"/>
          <w:szCs w:val="24"/>
        </w:rPr>
        <w:t>specifying</w:t>
      </w:r>
      <w:r w:rsidRPr="65CA3BC1" w:rsidR="553C1913">
        <w:rPr>
          <w:rFonts w:ascii="Google Sans" w:hAnsi="Google Sans" w:eastAsia="Google Sans" w:cs="Google Sans"/>
          <w:sz w:val="24"/>
          <w:szCs w:val="24"/>
        </w:rPr>
        <w:t xml:space="preserve"> the </w:t>
      </w:r>
      <w:r w:rsidRPr="65CA3BC1" w:rsidR="553C1913">
        <w:rPr>
          <w:rFonts w:ascii="Google Sans" w:hAnsi="Google Sans" w:eastAsia="Google Sans" w:cs="Google Sans"/>
          <w:sz w:val="24"/>
          <w:szCs w:val="24"/>
        </w:rPr>
        <w:t>requirements</w:t>
      </w:r>
      <w:r w:rsidRPr="65CA3BC1" w:rsidR="553C1913">
        <w:rPr>
          <w:rFonts w:ascii="Google Sans" w:hAnsi="Google Sans" w:eastAsia="Google Sans" w:cs="Google Sans"/>
          <w:sz w:val="24"/>
          <w:szCs w:val="24"/>
        </w:rPr>
        <w:t xml:space="preserve"> on strong customer authentication and common and secure </w:t>
      </w:r>
      <w:r w:rsidRPr="65CA3BC1" w:rsidR="553C1913">
        <w:rPr>
          <w:rFonts w:ascii="Google Sans" w:hAnsi="Google Sans" w:eastAsia="Google Sans" w:cs="Google Sans"/>
          <w:sz w:val="24"/>
          <w:szCs w:val="24"/>
        </w:rPr>
        <w:t>communication</w:t>
      </w:r>
      <w:r w:rsidRPr="65CA3BC1" w:rsidR="553C1913">
        <w:rPr>
          <w:rFonts w:ascii="Google Sans" w:hAnsi="Google Sans" w:eastAsia="Google Sans" w:cs="Google Sans"/>
          <w:sz w:val="24"/>
          <w:szCs w:val="24"/>
        </w:rPr>
        <w:t xml:space="preserve"> under PSD2 </w:t>
      </w:r>
      <w:hyperlink r:id="R327d7e382bc74b03">
        <w:r w:rsidRPr="65CA3BC1" w:rsidR="553C1913">
          <w:rPr>
            <w:rFonts w:ascii="Google Sans" w:hAnsi="Google Sans" w:eastAsia="Google Sans" w:cs="Google Sans"/>
            <w:color w:val="0000EE"/>
            <w:sz w:val="24"/>
            <w:szCs w:val="24"/>
            <w:u w:val="single"/>
          </w:rPr>
          <w:t>https://www.eba.europa.eu/eba-response/98</w:t>
        </w:r>
      </w:hyperlink>
    </w:p>
    <w:p xmlns:wp14="http://schemas.microsoft.com/office/word/2010/wordml" w:rsidR="00DE45A6" w:rsidP="65CA3BC1" w:rsidRDefault="003E5FE0" w14:paraId="3B3503F8" wp14:textId="1A3C7B1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3D Secure? The </w:t>
      </w:r>
      <w:r w:rsidRPr="65CA3BC1" w:rsidR="553C1913">
        <w:rPr>
          <w:rFonts w:ascii="Google Sans" w:hAnsi="Google Sans" w:eastAsia="Google Sans" w:cs="Google Sans"/>
          <w:sz w:val="24"/>
          <w:szCs w:val="24"/>
        </w:rPr>
        <w:t>Evolution</w:t>
      </w:r>
      <w:r w:rsidRPr="65CA3BC1" w:rsidR="553C1913">
        <w:rPr>
          <w:rFonts w:ascii="Google Sans" w:hAnsi="Google Sans" w:eastAsia="Google Sans" w:cs="Google Sans"/>
          <w:sz w:val="24"/>
          <w:szCs w:val="24"/>
        </w:rPr>
        <w:t xml:space="preserve"> from 1.0 to 2.0 - </w:t>
      </w:r>
      <w:r w:rsidRPr="65CA3BC1" w:rsidR="553C1913">
        <w:rPr>
          <w:rFonts w:ascii="Google Sans" w:hAnsi="Google Sans" w:eastAsia="Google Sans" w:cs="Google Sans"/>
          <w:sz w:val="24"/>
          <w:szCs w:val="24"/>
        </w:rPr>
        <w:t>PayPro</w:t>
      </w:r>
      <w:r w:rsidRPr="65CA3BC1" w:rsidR="553C1913">
        <w:rPr>
          <w:rFonts w:ascii="Google Sans" w:hAnsi="Google Sans" w:eastAsia="Google Sans" w:cs="Google Sans"/>
          <w:sz w:val="24"/>
          <w:szCs w:val="24"/>
        </w:rPr>
        <w:t xml:space="preserve"> Global </w:t>
      </w:r>
      <w:hyperlink r:id="Rc528d309cb7146d4">
        <w:r w:rsidRPr="65CA3BC1" w:rsidR="553C1913">
          <w:rPr>
            <w:rFonts w:ascii="Google Sans" w:hAnsi="Google Sans" w:eastAsia="Google Sans" w:cs="Google Sans"/>
            <w:color w:val="0000EE"/>
            <w:sz w:val="24"/>
            <w:szCs w:val="24"/>
            <w:u w:val="single"/>
          </w:rPr>
          <w:t>https://payproglobal.com/answers/what-is-3d-secure/</w:t>
        </w:r>
      </w:hyperlink>
    </w:p>
    <w:p xmlns:wp14="http://schemas.microsoft.com/office/word/2010/wordml" w:rsidR="00DE45A6" w:rsidP="65CA3BC1" w:rsidRDefault="003E5FE0" w14:paraId="5E6799F8" wp14:textId="274A79FD">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Learn</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the 3DS 1.0 </w:t>
      </w:r>
      <w:r w:rsidRPr="65CA3BC1" w:rsidR="553C1913">
        <w:rPr>
          <w:rFonts w:ascii="Google Sans" w:hAnsi="Google Sans" w:eastAsia="Google Sans" w:cs="Google Sans"/>
          <w:sz w:val="24"/>
          <w:szCs w:val="24"/>
        </w:rPr>
        <w:t>sunset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means</w:t>
      </w:r>
      <w:r w:rsidRPr="65CA3BC1" w:rsidR="553C1913">
        <w:rPr>
          <w:rFonts w:ascii="Google Sans" w:hAnsi="Google Sans" w:eastAsia="Google Sans" w:cs="Google Sans"/>
          <w:sz w:val="24"/>
          <w:szCs w:val="24"/>
        </w:rPr>
        <w:t xml:space="preserve"> for </w:t>
      </w:r>
      <w:r w:rsidRPr="65CA3BC1" w:rsidR="553C1913">
        <w:rPr>
          <w:rFonts w:ascii="Google Sans" w:hAnsi="Google Sans" w:eastAsia="Google Sans" w:cs="Google Sans"/>
          <w:sz w:val="24"/>
          <w:szCs w:val="24"/>
        </w:rPr>
        <w:t>merchants</w:t>
      </w:r>
      <w:r w:rsidRPr="65CA3BC1" w:rsidR="553C1913">
        <w:rPr>
          <w:rFonts w:ascii="Google Sans" w:hAnsi="Google Sans" w:eastAsia="Google Sans" w:cs="Google Sans"/>
          <w:sz w:val="24"/>
          <w:szCs w:val="24"/>
        </w:rPr>
        <w:t xml:space="preserve"> | Blog - Primer </w:t>
      </w:r>
      <w:hyperlink r:id="R06a458f57a0f49e4">
        <w:r w:rsidRPr="65CA3BC1" w:rsidR="553C1913">
          <w:rPr>
            <w:rFonts w:ascii="Google Sans" w:hAnsi="Google Sans" w:eastAsia="Google Sans" w:cs="Google Sans"/>
            <w:color w:val="0000EE"/>
            <w:sz w:val="24"/>
            <w:szCs w:val="24"/>
            <w:u w:val="single"/>
          </w:rPr>
          <w:t>https://primer.io/blog/3dsecure-1-sunset</w:t>
        </w:r>
      </w:hyperlink>
    </w:p>
    <w:p xmlns:wp14="http://schemas.microsoft.com/office/word/2010/wordml" w:rsidR="00DE45A6" w:rsidP="65CA3BC1" w:rsidRDefault="003E5FE0" w14:paraId="10403E15" wp14:textId="038D8C79">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SECURITY - Strong Customer Authentication (SCA) - Mastercard </w:t>
      </w:r>
      <w:hyperlink r:id="Re7d2863f879e4460">
        <w:r w:rsidRPr="65CA3BC1" w:rsidR="553C1913">
          <w:rPr>
            <w:rFonts w:ascii="Google Sans" w:hAnsi="Google Sans" w:eastAsia="Google Sans" w:cs="Google Sans"/>
            <w:color w:val="0000EE"/>
            <w:sz w:val="24"/>
            <w:szCs w:val="24"/>
            <w:u w:val="single"/>
          </w:rPr>
          <w:t>https://www.mastercard.com/gateway/payment-solutions/secure-payments/strong-customer-authentication.html</w:t>
        </w:r>
      </w:hyperlink>
    </w:p>
    <w:p xmlns:wp14="http://schemas.microsoft.com/office/word/2010/wordml" w:rsidR="00DE45A6" w:rsidP="65CA3BC1" w:rsidRDefault="003E5FE0" w14:paraId="6162219E" wp14:textId="0755A77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PSD2 &amp; Strong Customer Authentication </w:t>
      </w:r>
      <w:hyperlink r:id="R5f00bf8d6f034943">
        <w:r w:rsidRPr="65CA3BC1" w:rsidR="553C1913">
          <w:rPr>
            <w:rFonts w:ascii="Google Sans" w:hAnsi="Google Sans" w:eastAsia="Google Sans" w:cs="Google Sans"/>
            <w:color w:val="0000EE"/>
            <w:sz w:val="24"/>
            <w:szCs w:val="24"/>
            <w:u w:val="single"/>
          </w:rPr>
          <w:t>https://docs.thredd.com/psd/Content/PSD2/PSD2_Rules.htm</w:t>
        </w:r>
      </w:hyperlink>
    </w:p>
    <w:p xmlns:wp14="http://schemas.microsoft.com/office/word/2010/wordml" w:rsidR="00DE45A6" w:rsidP="65CA3BC1" w:rsidRDefault="003E5FE0" w14:paraId="519C5333" wp14:textId="2FD40BCC">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PSD2 Compliance - Q&amp;A - </w:t>
      </w:r>
      <w:r w:rsidRPr="65CA3BC1" w:rsidR="553C1913">
        <w:rPr>
          <w:rFonts w:ascii="Google Sans" w:hAnsi="Google Sans" w:eastAsia="Google Sans" w:cs="Google Sans"/>
          <w:sz w:val="24"/>
          <w:szCs w:val="24"/>
        </w:rPr>
        <w:t>OneSpan</w:t>
      </w:r>
      <w:r w:rsidRPr="65CA3BC1" w:rsidR="553C1913">
        <w:rPr>
          <w:rFonts w:ascii="Google Sans" w:hAnsi="Google Sans" w:eastAsia="Google Sans" w:cs="Google Sans"/>
          <w:sz w:val="24"/>
          <w:szCs w:val="24"/>
        </w:rPr>
        <w:t xml:space="preserve"> </w:t>
      </w:r>
      <w:hyperlink r:id="R6058f86cf19f4ef8">
        <w:r w:rsidRPr="65CA3BC1" w:rsidR="553C1913">
          <w:rPr>
            <w:rFonts w:ascii="Google Sans" w:hAnsi="Google Sans" w:eastAsia="Google Sans" w:cs="Google Sans"/>
            <w:color w:val="0000EE"/>
            <w:sz w:val="24"/>
            <w:szCs w:val="24"/>
            <w:u w:val="single"/>
          </w:rPr>
          <w:t>https://www.onespan.com/sites/default/files/2019-08/psd2-webinar-qa-with-answers-public-fme-v4_tcm42-56390.pdf</w:t>
        </w:r>
      </w:hyperlink>
    </w:p>
    <w:p xmlns:wp14="http://schemas.microsoft.com/office/word/2010/wordml" w:rsidR="00DE45A6" w:rsidP="65CA3BC1" w:rsidRDefault="003E5FE0" w14:paraId="7662A8C5" wp14:textId="0F28FD19">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How Open Banking </w:t>
      </w:r>
      <w:r w:rsidRPr="65CA3BC1" w:rsidR="553C1913">
        <w:rPr>
          <w:rFonts w:ascii="Google Sans" w:hAnsi="Google Sans" w:eastAsia="Google Sans" w:cs="Google Sans"/>
          <w:sz w:val="24"/>
          <w:szCs w:val="24"/>
        </w:rPr>
        <w:t>APIs</w:t>
      </w:r>
      <w:r w:rsidRPr="65CA3BC1" w:rsidR="553C1913">
        <w:rPr>
          <w:rFonts w:ascii="Google Sans" w:hAnsi="Google Sans" w:eastAsia="Google Sans" w:cs="Google Sans"/>
          <w:sz w:val="24"/>
          <w:szCs w:val="24"/>
        </w:rPr>
        <w:t xml:space="preserve"> Work: Benefits, Security &amp; Best Practices - DECTA </w:t>
      </w:r>
      <w:hyperlink r:id="R3fca4fbd3f4748b2">
        <w:r w:rsidRPr="65CA3BC1" w:rsidR="553C1913">
          <w:rPr>
            <w:rFonts w:ascii="Google Sans" w:hAnsi="Google Sans" w:eastAsia="Google Sans" w:cs="Google Sans"/>
            <w:color w:val="0000EE"/>
            <w:sz w:val="24"/>
            <w:szCs w:val="24"/>
            <w:u w:val="single"/>
          </w:rPr>
          <w:t>https://www.decta.com/company/media/how-open-banking-apis-work-benefits-security-and-best-practices</w:t>
        </w:r>
      </w:hyperlink>
    </w:p>
    <w:p xmlns:wp14="http://schemas.microsoft.com/office/word/2010/wordml" w:rsidR="00DE45A6" w:rsidP="65CA3BC1" w:rsidRDefault="003E5FE0" w14:paraId="4FB3A805" wp14:textId="7E9C7366">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are open banking </w:t>
      </w:r>
      <w:r w:rsidRPr="65CA3BC1" w:rsidR="553C1913">
        <w:rPr>
          <w:rFonts w:ascii="Google Sans" w:hAnsi="Google Sans" w:eastAsia="Google Sans" w:cs="Google Sans"/>
          <w:sz w:val="24"/>
          <w:szCs w:val="24"/>
        </w:rPr>
        <w:t>APIs</w:t>
      </w:r>
      <w:r w:rsidRPr="65CA3BC1" w:rsidR="553C1913">
        <w:rPr>
          <w:rFonts w:ascii="Google Sans" w:hAnsi="Google Sans" w:eastAsia="Google Sans" w:cs="Google Sans"/>
          <w:sz w:val="24"/>
          <w:szCs w:val="24"/>
        </w:rPr>
        <w:t xml:space="preserve">? Complete guide to </w:t>
      </w:r>
      <w:r w:rsidRPr="65CA3BC1" w:rsidR="553C1913">
        <w:rPr>
          <w:rFonts w:ascii="Google Sans" w:hAnsi="Google Sans" w:eastAsia="Google Sans" w:cs="Google Sans"/>
          <w:sz w:val="24"/>
          <w:szCs w:val="24"/>
        </w:rPr>
        <w:t>specifications</w:t>
      </w:r>
      <w:r w:rsidRPr="65CA3BC1" w:rsidR="553C1913">
        <w:rPr>
          <w:rFonts w:ascii="Google Sans" w:hAnsi="Google Sans" w:eastAsia="Google Sans" w:cs="Google Sans"/>
          <w:sz w:val="24"/>
          <w:szCs w:val="24"/>
        </w:rPr>
        <w:t xml:space="preserve"> and standards - </w:t>
      </w:r>
      <w:r w:rsidRPr="65CA3BC1" w:rsidR="553C1913">
        <w:rPr>
          <w:rFonts w:ascii="Google Sans" w:hAnsi="Google Sans" w:eastAsia="Google Sans" w:cs="Google Sans"/>
          <w:sz w:val="24"/>
          <w:szCs w:val="24"/>
        </w:rPr>
        <w:t>Tyk.io</w:t>
      </w:r>
      <w:r w:rsidRPr="65CA3BC1" w:rsidR="553C1913">
        <w:rPr>
          <w:rFonts w:ascii="Google Sans" w:hAnsi="Google Sans" w:eastAsia="Google Sans" w:cs="Google Sans"/>
          <w:sz w:val="24"/>
          <w:szCs w:val="24"/>
        </w:rPr>
        <w:t xml:space="preserve"> </w:t>
      </w:r>
      <w:hyperlink r:id="Rc63a399022ba4c5b">
        <w:r w:rsidRPr="65CA3BC1" w:rsidR="553C1913">
          <w:rPr>
            <w:rFonts w:ascii="Google Sans" w:hAnsi="Google Sans" w:eastAsia="Google Sans" w:cs="Google Sans"/>
            <w:color w:val="0000EE"/>
            <w:sz w:val="24"/>
            <w:szCs w:val="24"/>
            <w:u w:val="single"/>
          </w:rPr>
          <w:t>https://tyk.io/learning-center/open-banking-apis-explained/</w:t>
        </w:r>
      </w:hyperlink>
    </w:p>
    <w:p xmlns:wp14="http://schemas.microsoft.com/office/word/2010/wordml" w:rsidR="00DE45A6" w:rsidP="65CA3BC1" w:rsidRDefault="003E5FE0" w14:paraId="1B792848" wp14:textId="5FA0D6B2">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API Development: Key Features &amp; Best Practices - </w:t>
      </w:r>
      <w:r w:rsidRPr="65CA3BC1" w:rsidR="553C1913">
        <w:rPr>
          <w:rFonts w:ascii="Google Sans" w:hAnsi="Google Sans" w:eastAsia="Google Sans" w:cs="Google Sans"/>
          <w:sz w:val="24"/>
          <w:szCs w:val="24"/>
        </w:rPr>
        <w:t>Zymr</w:t>
      </w:r>
      <w:r w:rsidRPr="65CA3BC1" w:rsidR="553C1913">
        <w:rPr>
          <w:rFonts w:ascii="Google Sans" w:hAnsi="Google Sans" w:eastAsia="Google Sans" w:cs="Google Sans"/>
          <w:sz w:val="24"/>
          <w:szCs w:val="24"/>
        </w:rPr>
        <w:t xml:space="preserve"> </w:t>
      </w:r>
      <w:hyperlink r:id="R36431df9d5b64954">
        <w:r w:rsidRPr="65CA3BC1" w:rsidR="553C1913">
          <w:rPr>
            <w:rFonts w:ascii="Google Sans" w:hAnsi="Google Sans" w:eastAsia="Google Sans" w:cs="Google Sans"/>
            <w:color w:val="0000EE"/>
            <w:sz w:val="24"/>
            <w:szCs w:val="24"/>
            <w:u w:val="single"/>
          </w:rPr>
          <w:t>https://www.zymr.com/blog/open-banking-api-development-a-complete-guide</w:t>
        </w:r>
      </w:hyperlink>
    </w:p>
    <w:p xmlns:wp14="http://schemas.microsoft.com/office/word/2010/wordml" w:rsidR="00DE45A6" w:rsidP="65CA3BC1" w:rsidRDefault="003E5FE0" w14:paraId="560E3CB2" wp14:textId="69D3AE51">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5 Steps to </w:t>
      </w:r>
      <w:r w:rsidRPr="65CA3BC1" w:rsidR="553C1913">
        <w:rPr>
          <w:rFonts w:ascii="Google Sans" w:hAnsi="Google Sans" w:eastAsia="Google Sans" w:cs="Google Sans"/>
          <w:sz w:val="24"/>
          <w:szCs w:val="24"/>
        </w:rPr>
        <w:t>Implement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OAuth</w:t>
      </w:r>
      <w:r w:rsidRPr="65CA3BC1" w:rsidR="553C1913">
        <w:rPr>
          <w:rFonts w:ascii="Google Sans" w:hAnsi="Google Sans" w:eastAsia="Google Sans" w:cs="Google Sans"/>
          <w:sz w:val="24"/>
          <w:szCs w:val="24"/>
        </w:rPr>
        <w:t xml:space="preserve"> 2.0 in Banking </w:t>
      </w:r>
      <w:r w:rsidRPr="65CA3BC1" w:rsidR="553C1913">
        <w:rPr>
          <w:rFonts w:ascii="Google Sans" w:hAnsi="Google Sans" w:eastAsia="Google Sans" w:cs="Google Sans"/>
          <w:sz w:val="24"/>
          <w:szCs w:val="24"/>
        </w:rPr>
        <w:t>APIs</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Lucid</w:t>
      </w:r>
      <w:r w:rsidRPr="65CA3BC1" w:rsidR="553C1913">
        <w:rPr>
          <w:rFonts w:ascii="Google Sans" w:hAnsi="Google Sans" w:eastAsia="Google Sans" w:cs="Google Sans"/>
          <w:sz w:val="24"/>
          <w:szCs w:val="24"/>
        </w:rPr>
        <w:t xml:space="preserve"> </w:t>
      </w:r>
      <w:hyperlink r:id="R369e07fbeea34690">
        <w:r w:rsidRPr="65CA3BC1" w:rsidR="553C1913">
          <w:rPr>
            <w:rFonts w:ascii="Google Sans" w:hAnsi="Google Sans" w:eastAsia="Google Sans" w:cs="Google Sans"/>
            <w:color w:val="0000EE"/>
            <w:sz w:val="24"/>
            <w:szCs w:val="24"/>
            <w:u w:val="single"/>
          </w:rPr>
          <w:t>https://www.lucid.now/blog/implement-oauth-2-0-banking-apis-steps/</w:t>
        </w:r>
      </w:hyperlink>
    </w:p>
    <w:p xmlns:wp14="http://schemas.microsoft.com/office/word/2010/wordml" w:rsidR="00DE45A6" w:rsidP="65CA3BC1" w:rsidRDefault="003E5FE0" w14:paraId="2AA44AE4" wp14:textId="491ECF1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CBI Globe - Funzionalità attiva - </w:t>
      </w:r>
      <w:r w:rsidRPr="65CA3BC1" w:rsidR="553C1913">
        <w:rPr>
          <w:rFonts w:ascii="Google Sans" w:hAnsi="Google Sans" w:eastAsia="Google Sans" w:cs="Google Sans"/>
          <w:sz w:val="24"/>
          <w:szCs w:val="24"/>
        </w:rPr>
        <w:t>Nexi</w:t>
      </w:r>
      <w:r w:rsidRPr="65CA3BC1" w:rsidR="553C1913">
        <w:rPr>
          <w:rFonts w:ascii="Google Sans" w:hAnsi="Google Sans" w:eastAsia="Google Sans" w:cs="Google Sans"/>
          <w:sz w:val="24"/>
          <w:szCs w:val="24"/>
        </w:rPr>
        <w:t xml:space="preserve"> Group </w:t>
      </w:r>
      <w:hyperlink r:id="R97881f3da6644d22">
        <w:r w:rsidRPr="65CA3BC1" w:rsidR="553C1913">
          <w:rPr>
            <w:rFonts w:ascii="Google Sans" w:hAnsi="Google Sans" w:eastAsia="Google Sans" w:cs="Google Sans"/>
            <w:color w:val="0000EE"/>
            <w:sz w:val="24"/>
            <w:szCs w:val="24"/>
            <w:u w:val="single"/>
          </w:rPr>
          <w:t>https://www.nexigroup.com/en/business/banks-and-financial-institutions/open-banking/active-functionality/</w:t>
        </w:r>
      </w:hyperlink>
    </w:p>
    <w:p xmlns:wp14="http://schemas.microsoft.com/office/word/2010/wordml" w:rsidR="00DE45A6" w:rsidP="65CA3BC1" w:rsidRDefault="003E5FE0" w14:paraId="78915E64" wp14:textId="72E2B23D">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Getting</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Started</w:t>
      </w:r>
      <w:r w:rsidRPr="65CA3BC1" w:rsidR="553C1913">
        <w:rPr>
          <w:rFonts w:ascii="Google Sans" w:hAnsi="Google Sans" w:eastAsia="Google Sans" w:cs="Google Sans"/>
          <w:sz w:val="24"/>
          <w:szCs w:val="24"/>
        </w:rPr>
        <w:t xml:space="preserve"> - Open Banking API Security </w:t>
      </w:r>
      <w:r w:rsidRPr="65CA3BC1" w:rsidR="553C1913">
        <w:rPr>
          <w:rFonts w:ascii="Google Sans" w:hAnsi="Google Sans" w:eastAsia="Google Sans" w:cs="Google Sans"/>
          <w:sz w:val="24"/>
          <w:szCs w:val="24"/>
        </w:rPr>
        <w:t>Profile</w:t>
      </w:r>
      <w:r w:rsidRPr="65CA3BC1" w:rsidR="553C1913">
        <w:rPr>
          <w:rFonts w:ascii="Google Sans" w:hAnsi="Google Sans" w:eastAsia="Google Sans" w:cs="Google Sans"/>
          <w:sz w:val="24"/>
          <w:szCs w:val="24"/>
        </w:rPr>
        <w:t xml:space="preserve"> </w:t>
      </w:r>
      <w:hyperlink r:id="R0b3597d3b5f94b30">
        <w:r w:rsidRPr="65CA3BC1" w:rsidR="553C1913">
          <w:rPr>
            <w:rFonts w:ascii="Google Sans" w:hAnsi="Google Sans" w:eastAsia="Google Sans" w:cs="Google Sans"/>
            <w:color w:val="0000EE"/>
            <w:sz w:val="24"/>
            <w:szCs w:val="24"/>
            <w:u w:val="single"/>
          </w:rPr>
          <w:t>https://standards.openbanking.org.uk/security-profiles/get-started-obl-api-security-profile/</w:t>
        </w:r>
      </w:hyperlink>
    </w:p>
    <w:p xmlns:wp14="http://schemas.microsoft.com/office/word/2010/wordml" w:rsidR="00DE45A6" w:rsidP="65CA3BC1" w:rsidRDefault="003E5FE0" w14:paraId="60EC2CBC" wp14:textId="6E62EE51">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OAuth</w:t>
      </w:r>
      <w:r w:rsidRPr="65CA3BC1" w:rsidR="553C1913">
        <w:rPr>
          <w:rFonts w:ascii="Google Sans" w:hAnsi="Google Sans" w:eastAsia="Google Sans" w:cs="Google Sans"/>
          <w:sz w:val="24"/>
          <w:szCs w:val="24"/>
        </w:rPr>
        <w:t xml:space="preserve"> 2.0 workflow - IBM </w:t>
      </w:r>
      <w:hyperlink r:id="R351f91391ada4667">
        <w:r w:rsidRPr="65CA3BC1" w:rsidR="553C1913">
          <w:rPr>
            <w:rFonts w:ascii="Google Sans" w:hAnsi="Google Sans" w:eastAsia="Google Sans" w:cs="Google Sans"/>
            <w:color w:val="0000EE"/>
            <w:sz w:val="24"/>
            <w:szCs w:val="24"/>
            <w:u w:val="single"/>
          </w:rPr>
          <w:t>https://www.ibm.com/docs/en/tfim/6.2.2.6?topic=overview-oauth-20-workflow</w:t>
        </w:r>
      </w:hyperlink>
    </w:p>
    <w:p xmlns:wp14="http://schemas.microsoft.com/office/word/2010/wordml" w:rsidR="00DE45A6" w:rsidP="65CA3BC1" w:rsidRDefault="003E5FE0" w14:paraId="6D1E53D4" wp14:textId="27BA50BF">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OAuth</w:t>
      </w:r>
      <w:r w:rsidRPr="65CA3BC1" w:rsidR="553C1913">
        <w:rPr>
          <w:rFonts w:ascii="Google Sans" w:hAnsi="Google Sans" w:eastAsia="Google Sans" w:cs="Google Sans"/>
          <w:sz w:val="24"/>
          <w:szCs w:val="24"/>
        </w:rPr>
        <w:t xml:space="preserve"> 2.0 Basics - </w:t>
      </w:r>
      <w:r w:rsidRPr="65CA3BC1" w:rsidR="553C1913">
        <w:rPr>
          <w:rFonts w:ascii="Google Sans" w:hAnsi="Google Sans" w:eastAsia="Google Sans" w:cs="Google Sans"/>
          <w:sz w:val="24"/>
          <w:szCs w:val="24"/>
        </w:rPr>
        <w:t>Authlete</w:t>
      </w:r>
      <w:r w:rsidRPr="65CA3BC1" w:rsidR="553C1913">
        <w:rPr>
          <w:rFonts w:ascii="Google Sans" w:hAnsi="Google Sans" w:eastAsia="Google Sans" w:cs="Google Sans"/>
          <w:sz w:val="24"/>
          <w:szCs w:val="24"/>
        </w:rPr>
        <w:t xml:space="preserve"> </w:t>
      </w:r>
      <w:hyperlink r:id="Rb0f846d8300f4cdc">
        <w:r w:rsidRPr="65CA3BC1" w:rsidR="553C1913">
          <w:rPr>
            <w:rFonts w:ascii="Google Sans" w:hAnsi="Google Sans" w:eastAsia="Google Sans" w:cs="Google Sans"/>
            <w:color w:val="0000EE"/>
            <w:sz w:val="24"/>
            <w:szCs w:val="24"/>
            <w:u w:val="single"/>
          </w:rPr>
          <w:t>https://www.authlete.com/developers/tutorial/oauth/</w:t>
        </w:r>
      </w:hyperlink>
    </w:p>
    <w:p xmlns:wp14="http://schemas.microsoft.com/office/word/2010/wordml" w:rsidR="00DE45A6" w:rsidP="65CA3BC1" w:rsidRDefault="003E5FE0" w14:paraId="114AD990" wp14:textId="627E4BC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An </w:t>
      </w:r>
      <w:r w:rsidRPr="65CA3BC1" w:rsidR="553C1913">
        <w:rPr>
          <w:rFonts w:ascii="Google Sans" w:hAnsi="Google Sans" w:eastAsia="Google Sans" w:cs="Google Sans"/>
          <w:sz w:val="24"/>
          <w:szCs w:val="24"/>
        </w:rPr>
        <w:t>Introduction</w:t>
      </w:r>
      <w:r w:rsidRPr="65CA3BC1" w:rsidR="553C1913">
        <w:rPr>
          <w:rFonts w:ascii="Google Sans" w:hAnsi="Google Sans" w:eastAsia="Google Sans" w:cs="Google Sans"/>
          <w:sz w:val="24"/>
          <w:szCs w:val="24"/>
        </w:rPr>
        <w:t xml:space="preserve"> to </w:t>
      </w:r>
      <w:r w:rsidRPr="65CA3BC1" w:rsidR="553C1913">
        <w:rPr>
          <w:rFonts w:ascii="Google Sans" w:hAnsi="Google Sans" w:eastAsia="Google Sans" w:cs="Google Sans"/>
          <w:sz w:val="24"/>
          <w:szCs w:val="24"/>
        </w:rPr>
        <w:t>OAuth</w:t>
      </w:r>
      <w:r w:rsidRPr="65CA3BC1" w:rsidR="553C1913">
        <w:rPr>
          <w:rFonts w:ascii="Google Sans" w:hAnsi="Google Sans" w:eastAsia="Google Sans" w:cs="Google Sans"/>
          <w:sz w:val="24"/>
          <w:szCs w:val="24"/>
        </w:rPr>
        <w:t xml:space="preserve"> 2 | </w:t>
      </w:r>
      <w:r w:rsidRPr="65CA3BC1" w:rsidR="553C1913">
        <w:rPr>
          <w:rFonts w:ascii="Google Sans" w:hAnsi="Google Sans" w:eastAsia="Google Sans" w:cs="Google Sans"/>
          <w:sz w:val="24"/>
          <w:szCs w:val="24"/>
        </w:rPr>
        <w:t>DigitalOcean</w:t>
      </w:r>
      <w:r w:rsidRPr="65CA3BC1" w:rsidR="553C1913">
        <w:rPr>
          <w:rFonts w:ascii="Google Sans" w:hAnsi="Google Sans" w:eastAsia="Google Sans" w:cs="Google Sans"/>
          <w:sz w:val="24"/>
          <w:szCs w:val="24"/>
        </w:rPr>
        <w:t xml:space="preserve"> </w:t>
      </w:r>
      <w:hyperlink r:id="R87bdfc3346fa4d2c">
        <w:r w:rsidRPr="65CA3BC1" w:rsidR="553C1913">
          <w:rPr>
            <w:rFonts w:ascii="Google Sans" w:hAnsi="Google Sans" w:eastAsia="Google Sans" w:cs="Google Sans"/>
            <w:color w:val="0000EE"/>
            <w:sz w:val="24"/>
            <w:szCs w:val="24"/>
            <w:u w:val="single"/>
          </w:rPr>
          <w:t>https://www.digitalocean.com/community/tutorials/an-introduction-to-oauth-2</w:t>
        </w:r>
      </w:hyperlink>
    </w:p>
    <w:p xmlns:wp14="http://schemas.microsoft.com/office/word/2010/wordml" w:rsidR="00DE45A6" w:rsidP="65CA3BC1" w:rsidRDefault="003E5FE0" w14:paraId="3A12546D" wp14:textId="2813382D">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OAuth</w:t>
      </w:r>
      <w:r w:rsidRPr="65CA3BC1" w:rsidR="553C1913">
        <w:rPr>
          <w:rFonts w:ascii="Google Sans" w:hAnsi="Google Sans" w:eastAsia="Google Sans" w:cs="Google Sans"/>
          <w:sz w:val="24"/>
          <w:szCs w:val="24"/>
        </w:rPr>
        <w:t xml:space="preserve"> 2.x and </w:t>
      </w:r>
      <w:r w:rsidRPr="65CA3BC1" w:rsidR="553C1913">
        <w:rPr>
          <w:rFonts w:ascii="Google Sans" w:hAnsi="Google Sans" w:eastAsia="Google Sans" w:cs="Google Sans"/>
          <w:sz w:val="24"/>
          <w:szCs w:val="24"/>
        </w:rPr>
        <w:t>OpenID</w:t>
      </w:r>
      <w:r w:rsidRPr="65CA3BC1" w:rsidR="553C1913">
        <w:rPr>
          <w:rFonts w:ascii="Google Sans" w:hAnsi="Google Sans" w:eastAsia="Google Sans" w:cs="Google Sans"/>
          <w:sz w:val="24"/>
          <w:szCs w:val="24"/>
        </w:rPr>
        <w:t xml:space="preserve"> Connect </w:t>
      </w:r>
      <w:r w:rsidRPr="65CA3BC1" w:rsidR="553C1913">
        <w:rPr>
          <w:rFonts w:ascii="Google Sans" w:hAnsi="Google Sans" w:eastAsia="Google Sans" w:cs="Google Sans"/>
          <w:sz w:val="24"/>
          <w:szCs w:val="24"/>
        </w:rPr>
        <w:t>sequence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diagrams</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dev</w:t>
      </w:r>
      <w:r w:rsidRPr="65CA3BC1" w:rsidR="553C1913">
        <w:rPr>
          <w:rFonts w:ascii="Google Sans" w:hAnsi="Google Sans" w:eastAsia="Google Sans" w:cs="Google Sans"/>
          <w:sz w:val="24"/>
          <w:szCs w:val="24"/>
        </w:rPr>
        <w:t xml:space="preserve">/posts/ - gabriel.urdhr.fr </w:t>
      </w:r>
      <w:hyperlink r:id="R90aea6038d404193">
        <w:r w:rsidRPr="65CA3BC1" w:rsidR="553C1913">
          <w:rPr>
            <w:rFonts w:ascii="Google Sans" w:hAnsi="Google Sans" w:eastAsia="Google Sans" w:cs="Google Sans"/>
            <w:color w:val="0000EE"/>
            <w:sz w:val="24"/>
            <w:szCs w:val="24"/>
            <w:u w:val="single"/>
          </w:rPr>
          <w:t>https://www.gabriel.urdhr.fr/2023/02/06/oauth2-diagrams/</w:t>
        </w:r>
      </w:hyperlink>
    </w:p>
    <w:p xmlns:wp14="http://schemas.microsoft.com/office/word/2010/wordml" w:rsidR="00DE45A6" w:rsidP="65CA3BC1" w:rsidRDefault="003E5FE0" w14:paraId="11D155E4" wp14:textId="7173353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Payment </w:t>
      </w:r>
      <w:r w:rsidRPr="65CA3BC1" w:rsidR="553C1913">
        <w:rPr>
          <w:rFonts w:ascii="Google Sans" w:hAnsi="Google Sans" w:eastAsia="Google Sans" w:cs="Google Sans"/>
          <w:sz w:val="24"/>
          <w:szCs w:val="24"/>
        </w:rPr>
        <w:t>Initiation</w:t>
      </w:r>
      <w:r w:rsidRPr="65CA3BC1" w:rsidR="553C1913">
        <w:rPr>
          <w:rFonts w:ascii="Google Sans" w:hAnsi="Google Sans" w:eastAsia="Google Sans" w:cs="Google Sans"/>
          <w:sz w:val="24"/>
          <w:szCs w:val="24"/>
        </w:rPr>
        <w:t xml:space="preserve"> API </w:t>
      </w:r>
      <w:r w:rsidRPr="65CA3BC1" w:rsidR="553C1913">
        <w:rPr>
          <w:rFonts w:ascii="Google Sans" w:hAnsi="Google Sans" w:eastAsia="Google Sans" w:cs="Google Sans"/>
          <w:sz w:val="24"/>
          <w:szCs w:val="24"/>
        </w:rPr>
        <w:t>Specification</w:t>
      </w:r>
      <w:r w:rsidRPr="65CA3BC1" w:rsidR="553C1913">
        <w:rPr>
          <w:rFonts w:ascii="Google Sans" w:hAnsi="Google Sans" w:eastAsia="Google Sans" w:cs="Google Sans"/>
          <w:sz w:val="24"/>
          <w:szCs w:val="24"/>
        </w:rPr>
        <w:t xml:space="preserve"> - Developer Zone - </w:t>
      </w:r>
      <w:r w:rsidRPr="65CA3BC1" w:rsidR="553C1913">
        <w:rPr>
          <w:rFonts w:ascii="Google Sans" w:hAnsi="Google Sans" w:eastAsia="Google Sans" w:cs="Google Sans"/>
          <w:sz w:val="24"/>
          <w:szCs w:val="24"/>
        </w:rPr>
        <w:t>Confluence</w:t>
      </w:r>
      <w:r w:rsidRPr="65CA3BC1" w:rsidR="553C1913">
        <w:rPr>
          <w:rFonts w:ascii="Google Sans" w:hAnsi="Google Sans" w:eastAsia="Google Sans" w:cs="Google Sans"/>
          <w:sz w:val="24"/>
          <w:szCs w:val="24"/>
        </w:rPr>
        <w:t xml:space="preserve"> </w:t>
      </w:r>
      <w:hyperlink r:id="R1b323ea8f9af4b9a">
        <w:r w:rsidRPr="65CA3BC1" w:rsidR="553C1913">
          <w:rPr>
            <w:rFonts w:ascii="Google Sans" w:hAnsi="Google Sans" w:eastAsia="Google Sans" w:cs="Google Sans"/>
            <w:color w:val="0000EE"/>
            <w:sz w:val="24"/>
            <w:szCs w:val="24"/>
            <w:u w:val="single"/>
          </w:rPr>
          <w:t>https://openbanking.atlassian.net/wiki/spaces/DZ/pages/1077805743/Payment+Initiation+API+Specification+-+v3.1.2</w:t>
        </w:r>
      </w:hyperlink>
    </w:p>
    <w:p xmlns:wp14="http://schemas.microsoft.com/office/word/2010/wordml" w:rsidR="00DE45A6" w:rsidP="65CA3BC1" w:rsidRDefault="003E5FE0" w14:paraId="7D6C9F3F" wp14:textId="04B455F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PSD2 - </w:t>
      </w:r>
      <w:r w:rsidRPr="65CA3BC1" w:rsidR="553C1913">
        <w:rPr>
          <w:rFonts w:ascii="Google Sans" w:hAnsi="Google Sans" w:eastAsia="Google Sans" w:cs="Google Sans"/>
          <w:sz w:val="24"/>
          <w:szCs w:val="24"/>
        </w:rPr>
        <w:t>Frequently</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Asked</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Questions</w:t>
      </w:r>
      <w:r w:rsidRPr="65CA3BC1" w:rsidR="553C1913">
        <w:rPr>
          <w:rFonts w:ascii="Google Sans" w:hAnsi="Google Sans" w:eastAsia="Google Sans" w:cs="Google Sans"/>
          <w:sz w:val="24"/>
          <w:szCs w:val="24"/>
        </w:rPr>
        <w:t xml:space="preserve"> - Central Bank of </w:t>
      </w:r>
      <w:r w:rsidRPr="65CA3BC1" w:rsidR="553C1913">
        <w:rPr>
          <w:rFonts w:ascii="Google Sans" w:hAnsi="Google Sans" w:eastAsia="Google Sans" w:cs="Google Sans"/>
          <w:sz w:val="24"/>
          <w:szCs w:val="24"/>
        </w:rPr>
        <w:t>Ireland</w:t>
      </w:r>
      <w:r w:rsidRPr="65CA3BC1" w:rsidR="553C1913">
        <w:rPr>
          <w:rFonts w:ascii="Google Sans" w:hAnsi="Google Sans" w:eastAsia="Google Sans" w:cs="Google Sans"/>
          <w:sz w:val="24"/>
          <w:szCs w:val="24"/>
        </w:rPr>
        <w:t xml:space="preserve"> </w:t>
      </w:r>
      <w:hyperlink r:id="R8b69a2f544794031">
        <w:r w:rsidRPr="65CA3BC1" w:rsidR="553C1913">
          <w:rPr>
            <w:rFonts w:ascii="Google Sans" w:hAnsi="Google Sans" w:eastAsia="Google Sans" w:cs="Google Sans"/>
            <w:color w:val="0000EE"/>
            <w:sz w:val="24"/>
            <w:szCs w:val="24"/>
            <w:u w:val="single"/>
          </w:rPr>
          <w:t>https://www.centralbank.ie/regulation/psd2-overview/faq</w:t>
        </w:r>
      </w:hyperlink>
    </w:p>
    <w:p xmlns:wp14="http://schemas.microsoft.com/office/word/2010/wordml" w:rsidR="00DE45A6" w:rsidP="65CA3BC1" w:rsidRDefault="003E5FE0" w14:paraId="64071095" wp14:textId="73104294">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Payment </w:t>
      </w:r>
      <w:r w:rsidRPr="65CA3BC1" w:rsidR="553C1913">
        <w:rPr>
          <w:rFonts w:ascii="Google Sans" w:hAnsi="Google Sans" w:eastAsia="Google Sans" w:cs="Google Sans"/>
          <w:sz w:val="24"/>
          <w:szCs w:val="24"/>
        </w:rPr>
        <w:t>Initiation</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overview</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Worldline</w:t>
      </w:r>
      <w:r w:rsidRPr="65CA3BC1" w:rsidR="553C1913">
        <w:rPr>
          <w:rFonts w:ascii="Google Sans" w:hAnsi="Google Sans" w:eastAsia="Google Sans" w:cs="Google Sans"/>
          <w:sz w:val="24"/>
          <w:szCs w:val="24"/>
        </w:rPr>
        <w:t xml:space="preserve"> Financial Services Developer Portal </w:t>
      </w:r>
      <w:hyperlink r:id="Rf02dba801cf0426a">
        <w:r w:rsidRPr="65CA3BC1" w:rsidR="553C1913">
          <w:rPr>
            <w:rFonts w:ascii="Google Sans" w:hAnsi="Google Sans" w:eastAsia="Google Sans" w:cs="Google Sans"/>
            <w:color w:val="0000EE"/>
            <w:sz w:val="24"/>
            <w:szCs w:val="24"/>
            <w:u w:val="single"/>
          </w:rPr>
          <w:t>https://financial-services.developer.worldline.com/digital-services/open-banking/payment-initiation-overview</w:t>
        </w:r>
      </w:hyperlink>
    </w:p>
    <w:p xmlns:wp14="http://schemas.microsoft.com/office/word/2010/wordml" w:rsidR="00DE45A6" w:rsidP="65CA3BC1" w:rsidRDefault="003E5FE0" w14:paraId="0173382B" wp14:textId="12C60028">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PSD2 - Web Commerce </w:t>
      </w:r>
      <w:r w:rsidRPr="65CA3BC1" w:rsidR="553C1913">
        <w:rPr>
          <w:rFonts w:ascii="Google Sans" w:hAnsi="Google Sans" w:eastAsia="Google Sans" w:cs="Google Sans"/>
          <w:sz w:val="24"/>
          <w:szCs w:val="24"/>
        </w:rPr>
        <w:t>Interest</w:t>
      </w:r>
      <w:r w:rsidRPr="65CA3BC1" w:rsidR="553C1913">
        <w:rPr>
          <w:rFonts w:ascii="Google Sans" w:hAnsi="Google Sans" w:eastAsia="Google Sans" w:cs="Google Sans"/>
          <w:sz w:val="24"/>
          <w:szCs w:val="24"/>
        </w:rPr>
        <w:t xml:space="preserve"> Group - W3C </w:t>
      </w:r>
      <w:hyperlink r:id="Rb13810f8a67847d3">
        <w:r w:rsidRPr="65CA3BC1" w:rsidR="553C1913">
          <w:rPr>
            <w:rFonts w:ascii="Google Sans" w:hAnsi="Google Sans" w:eastAsia="Google Sans" w:cs="Google Sans"/>
            <w:color w:val="0000EE"/>
            <w:sz w:val="24"/>
            <w:szCs w:val="24"/>
            <w:u w:val="single"/>
          </w:rPr>
          <w:t>https://www.w3.org/Payments/IG/wiki/PSD2</w:t>
        </w:r>
      </w:hyperlink>
    </w:p>
    <w:p xmlns:wp14="http://schemas.microsoft.com/office/word/2010/wordml" w:rsidR="00DE45A6" w:rsidP="65CA3BC1" w:rsidRDefault="003E5FE0" w14:paraId="75437104" wp14:textId="208C6D61">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API </w:t>
      </w:r>
      <w:r w:rsidRPr="65CA3BC1" w:rsidR="553C1913">
        <w:rPr>
          <w:rFonts w:ascii="Google Sans" w:hAnsi="Google Sans" w:eastAsia="Google Sans" w:cs="Google Sans"/>
          <w:sz w:val="24"/>
          <w:szCs w:val="24"/>
        </w:rPr>
        <w:t>specifications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simplifying</w:t>
      </w:r>
      <w:r w:rsidRPr="65CA3BC1" w:rsidR="553C1913">
        <w:rPr>
          <w:rFonts w:ascii="Google Sans" w:hAnsi="Google Sans" w:eastAsia="Google Sans" w:cs="Google Sans"/>
          <w:sz w:val="24"/>
          <w:szCs w:val="24"/>
        </w:rPr>
        <w:t xml:space="preserve"> a technical </w:t>
      </w:r>
      <w:r w:rsidRPr="65CA3BC1" w:rsidR="553C1913">
        <w:rPr>
          <w:rFonts w:ascii="Google Sans" w:hAnsi="Google Sans" w:eastAsia="Google Sans" w:cs="Google Sans"/>
          <w:sz w:val="24"/>
          <w:szCs w:val="24"/>
        </w:rPr>
        <w:t>resource</w:t>
      </w:r>
      <w:r w:rsidRPr="65CA3BC1" w:rsidR="553C1913">
        <w:rPr>
          <w:rFonts w:ascii="Google Sans" w:hAnsi="Google Sans" w:eastAsia="Google Sans" w:cs="Google Sans"/>
          <w:sz w:val="24"/>
          <w:szCs w:val="24"/>
        </w:rPr>
        <w:t xml:space="preserve"> ... </w:t>
      </w:r>
      <w:hyperlink r:id="R094e3d8c620d47b9">
        <w:r w:rsidRPr="65CA3BC1" w:rsidR="553C1913">
          <w:rPr>
            <w:rFonts w:ascii="Google Sans" w:hAnsi="Google Sans" w:eastAsia="Google Sans" w:cs="Google Sans"/>
            <w:color w:val="0000EE"/>
            <w:sz w:val="24"/>
            <w:szCs w:val="24"/>
            <w:u w:val="single"/>
          </w:rPr>
          <w:t>https://gocardless.com/guides/posts/open-banking-api-specifications/</w:t>
        </w:r>
      </w:hyperlink>
    </w:p>
    <w:p xmlns:wp14="http://schemas.microsoft.com/office/word/2010/wordml" w:rsidR="00DE45A6" w:rsidP="65CA3BC1" w:rsidRDefault="003E5FE0" w14:paraId="67FAFA7D" wp14:textId="155F99E4">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The power of </w:t>
      </w:r>
      <w:r w:rsidRPr="65CA3BC1" w:rsidR="553C1913">
        <w:rPr>
          <w:rFonts w:ascii="Google Sans" w:hAnsi="Google Sans" w:eastAsia="Google Sans" w:cs="Google Sans"/>
          <w:sz w:val="24"/>
          <w:szCs w:val="24"/>
        </w:rPr>
        <w:t>tokenization</w:t>
      </w:r>
      <w:r w:rsidRPr="65CA3BC1" w:rsidR="553C1913">
        <w:rPr>
          <w:rFonts w:ascii="Google Sans" w:hAnsi="Google Sans" w:eastAsia="Google Sans" w:cs="Google Sans"/>
          <w:sz w:val="24"/>
          <w:szCs w:val="24"/>
        </w:rPr>
        <w:t xml:space="preserve"> in payments | </w:t>
      </w:r>
      <w:r w:rsidRPr="65CA3BC1" w:rsidR="553C1913">
        <w:rPr>
          <w:rFonts w:ascii="Google Sans" w:hAnsi="Google Sans" w:eastAsia="Google Sans" w:cs="Google Sans"/>
          <w:sz w:val="24"/>
          <w:szCs w:val="24"/>
        </w:rPr>
        <w:t>NatWest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Corporates</w:t>
      </w:r>
      <w:r w:rsidRPr="65CA3BC1" w:rsidR="553C1913">
        <w:rPr>
          <w:rFonts w:ascii="Google Sans" w:hAnsi="Google Sans" w:eastAsia="Google Sans" w:cs="Google Sans"/>
          <w:sz w:val="24"/>
          <w:szCs w:val="24"/>
        </w:rPr>
        <w:t xml:space="preserve"> and ... </w:t>
      </w:r>
      <w:hyperlink r:id="R17690d7d15ba42bb">
        <w:r w:rsidRPr="65CA3BC1" w:rsidR="553C1913">
          <w:rPr>
            <w:rFonts w:ascii="Google Sans" w:hAnsi="Google Sans" w:eastAsia="Google Sans" w:cs="Google Sans"/>
            <w:color w:val="0000EE"/>
            <w:sz w:val="24"/>
            <w:szCs w:val="24"/>
            <w:u w:val="single"/>
          </w:rPr>
          <w:t>https://www.natwest.com/corporates/insights/technology/the-power-of-tokenization-in-payments.html</w:t>
        </w:r>
      </w:hyperlink>
    </w:p>
    <w:p xmlns:wp14="http://schemas.microsoft.com/office/word/2010/wordml" w:rsidR="00DE45A6" w:rsidP="65CA3BC1" w:rsidRDefault="003E5FE0" w14:paraId="04ACDAEC" wp14:textId="43736FCD">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The </w:t>
      </w:r>
      <w:r w:rsidRPr="65CA3BC1" w:rsidR="553C1913">
        <w:rPr>
          <w:rFonts w:ascii="Google Sans" w:hAnsi="Google Sans" w:eastAsia="Google Sans" w:cs="Google Sans"/>
          <w:sz w:val="24"/>
          <w:szCs w:val="24"/>
        </w:rPr>
        <w:t>Evolution</w:t>
      </w:r>
      <w:r w:rsidRPr="65CA3BC1" w:rsidR="553C1913">
        <w:rPr>
          <w:rFonts w:ascii="Google Sans" w:hAnsi="Google Sans" w:eastAsia="Google Sans" w:cs="Google Sans"/>
          <w:sz w:val="24"/>
          <w:szCs w:val="24"/>
        </w:rPr>
        <w:t xml:space="preserve"> and Impact of Embedded Finance: A Comprehensive Analysis - </w:t>
      </w:r>
      <w:r w:rsidRPr="65CA3BC1" w:rsidR="553C1913">
        <w:rPr>
          <w:rFonts w:ascii="Google Sans" w:hAnsi="Google Sans" w:eastAsia="Google Sans" w:cs="Google Sans"/>
          <w:sz w:val="24"/>
          <w:szCs w:val="24"/>
        </w:rPr>
        <w:t>InvestSuite</w:t>
      </w:r>
      <w:r w:rsidRPr="65CA3BC1" w:rsidR="553C1913">
        <w:rPr>
          <w:rFonts w:ascii="Google Sans" w:hAnsi="Google Sans" w:eastAsia="Google Sans" w:cs="Google Sans"/>
          <w:sz w:val="24"/>
          <w:szCs w:val="24"/>
        </w:rPr>
        <w:t xml:space="preserve"> </w:t>
      </w:r>
      <w:hyperlink r:id="R884aa0d2553f4777">
        <w:r w:rsidRPr="65CA3BC1" w:rsidR="553C1913">
          <w:rPr>
            <w:rFonts w:ascii="Google Sans" w:hAnsi="Google Sans" w:eastAsia="Google Sans" w:cs="Google Sans"/>
            <w:color w:val="0000EE"/>
            <w:sz w:val="24"/>
            <w:szCs w:val="24"/>
            <w:u w:val="single"/>
          </w:rPr>
          <w:t>https://www.investsuite.com/insights/blogs/the-evolution-and-impact-of-embedded-finance-a-comprehensive-analysis</w:t>
        </w:r>
      </w:hyperlink>
    </w:p>
    <w:p xmlns:wp14="http://schemas.microsoft.com/office/word/2010/wordml" w:rsidR="00DE45A6" w:rsidP="65CA3BC1" w:rsidRDefault="003E5FE0" w14:paraId="0FEB9AFC" wp14:textId="199E5DC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vs. embedded </w:t>
      </w:r>
      <w:r w:rsidRPr="65CA3BC1" w:rsidR="553C1913">
        <w:rPr>
          <w:rFonts w:ascii="Google Sans" w:hAnsi="Google Sans" w:eastAsia="Google Sans" w:cs="Google Sans"/>
          <w:sz w:val="24"/>
          <w:szCs w:val="24"/>
        </w:rPr>
        <w:t>finance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explained</w:t>
      </w:r>
      <w:r w:rsidRPr="65CA3BC1" w:rsidR="553C1913">
        <w:rPr>
          <w:rFonts w:ascii="Google Sans" w:hAnsi="Google Sans" w:eastAsia="Google Sans" w:cs="Google Sans"/>
          <w:sz w:val="24"/>
          <w:szCs w:val="24"/>
        </w:rPr>
        <w:t xml:space="preserve"> | Stripe </w:t>
      </w:r>
      <w:hyperlink r:id="Rebb63dc76b1e4570">
        <w:r w:rsidRPr="65CA3BC1" w:rsidR="553C1913">
          <w:rPr>
            <w:rFonts w:ascii="Google Sans" w:hAnsi="Google Sans" w:eastAsia="Google Sans" w:cs="Google Sans"/>
            <w:color w:val="0000EE"/>
            <w:sz w:val="24"/>
            <w:szCs w:val="24"/>
            <w:u w:val="single"/>
          </w:rPr>
          <w:t>https://stripe.com/resources/more/open-banking-vs-embedded-finance-a-guide</w:t>
        </w:r>
      </w:hyperlink>
    </w:p>
    <w:p xmlns:wp14="http://schemas.microsoft.com/office/word/2010/wordml" w:rsidR="00DE45A6" w:rsidP="65CA3BC1" w:rsidRDefault="003E5FE0" w14:paraId="4846F268" wp14:textId="11E7DE6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Embedded </w:t>
      </w:r>
      <w:r w:rsidRPr="65CA3BC1" w:rsidR="553C1913">
        <w:rPr>
          <w:rFonts w:ascii="Google Sans" w:hAnsi="Google Sans" w:eastAsia="Google Sans" w:cs="Google Sans"/>
          <w:sz w:val="24"/>
          <w:szCs w:val="24"/>
        </w:rPr>
        <w:t>finance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Why</w:t>
      </w:r>
      <w:r w:rsidRPr="65CA3BC1" w:rsidR="553C1913">
        <w:rPr>
          <w:rFonts w:ascii="Google Sans" w:hAnsi="Google Sans" w:eastAsia="Google Sans" w:cs="Google Sans"/>
          <w:sz w:val="24"/>
          <w:szCs w:val="24"/>
        </w:rPr>
        <w:t xml:space="preserve"> banks </w:t>
      </w:r>
      <w:r w:rsidRPr="65CA3BC1" w:rsidR="553C1913">
        <w:rPr>
          <w:rFonts w:ascii="Google Sans" w:hAnsi="Google Sans" w:eastAsia="Google Sans" w:cs="Google Sans"/>
          <w:sz w:val="24"/>
          <w:szCs w:val="24"/>
        </w:rPr>
        <w:t>should</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embrace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APIs</w:t>
      </w:r>
      <w:r w:rsidRPr="65CA3BC1" w:rsidR="553C1913">
        <w:rPr>
          <w:rFonts w:ascii="Google Sans" w:hAnsi="Google Sans" w:eastAsia="Google Sans" w:cs="Google Sans"/>
          <w:sz w:val="24"/>
          <w:szCs w:val="24"/>
        </w:rPr>
        <w:t xml:space="preserve"> and blockchain to stay competitive </w:t>
      </w:r>
      <w:hyperlink r:id="R5b8ff978effa47c0">
        <w:r w:rsidRPr="65CA3BC1" w:rsidR="553C1913">
          <w:rPr>
            <w:rFonts w:ascii="Google Sans" w:hAnsi="Google Sans" w:eastAsia="Google Sans" w:cs="Google Sans"/>
            <w:color w:val="0000EE"/>
            <w:sz w:val="24"/>
            <w:szCs w:val="24"/>
            <w:u w:val="single"/>
          </w:rPr>
          <w:t>https://www.tsys.com/insights/2025/10/14/embedded-finance-why-banks-should-embrace-apis-and-blockchain-to-stay-competitive</w:t>
        </w:r>
      </w:hyperlink>
    </w:p>
    <w:p xmlns:wp14="http://schemas.microsoft.com/office/word/2010/wordml" w:rsidR="00DE45A6" w:rsidP="65CA3BC1" w:rsidRDefault="003E5FE0" w14:paraId="29E04221" wp14:textId="221BFFB6">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5 Diverse Embedded Finance </w:t>
      </w:r>
      <w:r w:rsidRPr="65CA3BC1" w:rsidR="553C1913">
        <w:rPr>
          <w:rFonts w:ascii="Google Sans" w:hAnsi="Google Sans" w:eastAsia="Google Sans" w:cs="Google Sans"/>
          <w:sz w:val="24"/>
          <w:szCs w:val="24"/>
        </w:rPr>
        <w:t>Examples</w:t>
      </w:r>
      <w:r w:rsidRPr="65CA3BC1" w:rsidR="553C1913">
        <w:rPr>
          <w:rFonts w:ascii="Google Sans" w:hAnsi="Google Sans" w:eastAsia="Google Sans" w:cs="Google Sans"/>
          <w:sz w:val="24"/>
          <w:szCs w:val="24"/>
        </w:rPr>
        <w:t xml:space="preserve"> | by </w:t>
      </w:r>
      <w:r w:rsidRPr="65CA3BC1" w:rsidR="553C1913">
        <w:rPr>
          <w:rFonts w:ascii="Google Sans" w:hAnsi="Google Sans" w:eastAsia="Google Sans" w:cs="Google Sans"/>
          <w:sz w:val="24"/>
          <w:szCs w:val="24"/>
        </w:rPr>
        <w:t>Efi</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Pylarinou</w:t>
      </w:r>
      <w:r w:rsidRPr="65CA3BC1" w:rsidR="553C1913">
        <w:rPr>
          <w:rFonts w:ascii="Google Sans" w:hAnsi="Google Sans" w:eastAsia="Google Sans" w:cs="Google Sans"/>
          <w:sz w:val="24"/>
          <w:szCs w:val="24"/>
        </w:rPr>
        <w:t xml:space="preserve"> - Medium </w:t>
      </w:r>
      <w:hyperlink r:id="R172821e76a77468f">
        <w:r w:rsidRPr="65CA3BC1" w:rsidR="553C1913">
          <w:rPr>
            <w:rFonts w:ascii="Google Sans" w:hAnsi="Google Sans" w:eastAsia="Google Sans" w:cs="Google Sans"/>
            <w:color w:val="0000EE"/>
            <w:sz w:val="24"/>
            <w:szCs w:val="24"/>
            <w:u w:val="single"/>
          </w:rPr>
          <w:t>https://efipm.medium.com/5-diverse-embedded-finance-examples-0b0296897009</w:t>
        </w:r>
      </w:hyperlink>
    </w:p>
    <w:p xmlns:wp14="http://schemas.microsoft.com/office/word/2010/wordml" w:rsidR="00DE45A6" w:rsidP="65CA3BC1" w:rsidRDefault="003E5FE0" w14:paraId="03541245" wp14:textId="46F4FDAE">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Open Banking </w:t>
      </w:r>
      <w:r w:rsidRPr="65CA3BC1" w:rsidR="553C1913">
        <w:rPr>
          <w:rFonts w:ascii="Google Sans" w:hAnsi="Google Sans" w:eastAsia="Google Sans" w:cs="Google Sans"/>
          <w:sz w:val="24"/>
          <w:szCs w:val="24"/>
        </w:rPr>
        <w:t>Specifics</w:t>
      </w:r>
      <w:r w:rsidRPr="65CA3BC1" w:rsidR="553C1913">
        <w:rPr>
          <w:rFonts w:ascii="Google Sans" w:hAnsi="Google Sans" w:eastAsia="Google Sans" w:cs="Google Sans"/>
          <w:sz w:val="24"/>
          <w:szCs w:val="24"/>
        </w:rPr>
        <w:t xml:space="preserve"> in </w:t>
      </w:r>
      <w:r w:rsidRPr="65CA3BC1" w:rsidR="553C1913">
        <w:rPr>
          <w:rFonts w:ascii="Google Sans" w:hAnsi="Google Sans" w:eastAsia="Google Sans" w:cs="Google Sans"/>
          <w:sz w:val="24"/>
          <w:szCs w:val="24"/>
        </w:rPr>
        <w:t>Italy</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Enable</w:t>
      </w:r>
      <w:r w:rsidRPr="65CA3BC1" w:rsidR="553C1913">
        <w:rPr>
          <w:rFonts w:ascii="Google Sans" w:hAnsi="Google Sans" w:eastAsia="Google Sans" w:cs="Google Sans"/>
          <w:sz w:val="24"/>
          <w:szCs w:val="24"/>
        </w:rPr>
        <w:t xml:space="preserve"> Banking Docs </w:t>
      </w:r>
      <w:hyperlink r:id="R3ccf17b7ac8d4582">
        <w:r w:rsidRPr="65CA3BC1" w:rsidR="553C1913">
          <w:rPr>
            <w:rFonts w:ascii="Google Sans" w:hAnsi="Google Sans" w:eastAsia="Google Sans" w:cs="Google Sans"/>
            <w:color w:val="0000EE"/>
            <w:sz w:val="24"/>
            <w:szCs w:val="24"/>
            <w:u w:val="single"/>
          </w:rPr>
          <w:t>https://enablebanking.com/docs/markets/it</w:t>
        </w:r>
      </w:hyperlink>
    </w:p>
    <w:p xmlns:wp14="http://schemas.microsoft.com/office/word/2010/wordml" w:rsidR="00DE45A6" w:rsidP="65CA3BC1" w:rsidRDefault="003E5FE0" w14:paraId="576D4F37" wp14:textId="341F8263">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The Comprehensive Guide To Payment </w:t>
      </w:r>
      <w:r w:rsidRPr="65CA3BC1" w:rsidR="553C1913">
        <w:rPr>
          <w:rFonts w:ascii="Google Sans" w:hAnsi="Google Sans" w:eastAsia="Google Sans" w:cs="Google Sans"/>
          <w:sz w:val="24"/>
          <w:szCs w:val="24"/>
        </w:rPr>
        <w:t>Initiation</w:t>
      </w:r>
      <w:r w:rsidRPr="65CA3BC1" w:rsidR="553C1913">
        <w:rPr>
          <w:rFonts w:ascii="Google Sans" w:hAnsi="Google Sans" w:eastAsia="Google Sans" w:cs="Google Sans"/>
          <w:sz w:val="24"/>
          <w:szCs w:val="24"/>
        </w:rPr>
        <w:t xml:space="preserve"> Services (PIS) - </w:t>
      </w:r>
      <w:r w:rsidRPr="65CA3BC1" w:rsidR="553C1913">
        <w:rPr>
          <w:rFonts w:ascii="Google Sans" w:hAnsi="Google Sans" w:eastAsia="Google Sans" w:cs="Google Sans"/>
          <w:sz w:val="24"/>
          <w:szCs w:val="24"/>
        </w:rPr>
        <w:t>Brite</w:t>
      </w:r>
      <w:r w:rsidRPr="65CA3BC1" w:rsidR="553C1913">
        <w:rPr>
          <w:rFonts w:ascii="Google Sans" w:hAnsi="Google Sans" w:eastAsia="Google Sans" w:cs="Google Sans"/>
          <w:sz w:val="24"/>
          <w:szCs w:val="24"/>
        </w:rPr>
        <w:t xml:space="preserve"> Payments </w:t>
      </w:r>
      <w:hyperlink r:id="R7397e2dffede4499">
        <w:r w:rsidRPr="65CA3BC1" w:rsidR="553C1913">
          <w:rPr>
            <w:rFonts w:ascii="Google Sans" w:hAnsi="Google Sans" w:eastAsia="Google Sans" w:cs="Google Sans"/>
            <w:color w:val="0000EE"/>
            <w:sz w:val="24"/>
            <w:szCs w:val="24"/>
            <w:u w:val="single"/>
          </w:rPr>
          <w:t>https://britepayments.com/resources/article/guide-to-payment-initiation-services-pis/</w:t>
        </w:r>
      </w:hyperlink>
    </w:p>
    <w:p xmlns:wp14="http://schemas.microsoft.com/office/word/2010/wordml" w:rsidR="00DE45A6" w:rsidP="65CA3BC1" w:rsidRDefault="003E5FE0" w14:paraId="75E10699" wp14:textId="30404147">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A deep dive </w:t>
      </w:r>
      <w:r w:rsidRPr="65CA3BC1" w:rsidR="553C1913">
        <w:rPr>
          <w:rFonts w:ascii="Google Sans" w:hAnsi="Google Sans" w:eastAsia="Google Sans" w:cs="Google Sans"/>
          <w:sz w:val="24"/>
          <w:szCs w:val="24"/>
        </w:rPr>
        <w:t>into</w:t>
      </w:r>
      <w:r w:rsidRPr="65CA3BC1" w:rsidR="553C1913">
        <w:rPr>
          <w:rFonts w:ascii="Google Sans" w:hAnsi="Google Sans" w:eastAsia="Google Sans" w:cs="Google Sans"/>
          <w:sz w:val="24"/>
          <w:szCs w:val="24"/>
        </w:rPr>
        <w:t xml:space="preserve"> the </w:t>
      </w:r>
      <w:r w:rsidRPr="65CA3BC1" w:rsidR="553C1913">
        <w:rPr>
          <w:rFonts w:ascii="Google Sans" w:hAnsi="Google Sans" w:eastAsia="Google Sans" w:cs="Google Sans"/>
          <w:sz w:val="24"/>
          <w:szCs w:val="24"/>
        </w:rPr>
        <w:t>growing</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threat</w:t>
      </w:r>
      <w:r w:rsidRPr="65CA3BC1" w:rsidR="553C1913">
        <w:rPr>
          <w:rFonts w:ascii="Google Sans" w:hAnsi="Google Sans" w:eastAsia="Google Sans" w:cs="Google Sans"/>
          <w:sz w:val="24"/>
          <w:szCs w:val="24"/>
        </w:rPr>
        <w:t xml:space="preserve"> of SIM swap </w:t>
      </w:r>
      <w:r w:rsidRPr="65CA3BC1" w:rsidR="553C1913">
        <w:rPr>
          <w:rFonts w:ascii="Google Sans" w:hAnsi="Google Sans" w:eastAsia="Google Sans" w:cs="Google Sans"/>
          <w:sz w:val="24"/>
          <w:szCs w:val="24"/>
        </w:rPr>
        <w:t>fraud</w:t>
      </w:r>
      <w:r w:rsidRPr="65CA3BC1" w:rsidR="553C1913">
        <w:rPr>
          <w:rFonts w:ascii="Google Sans" w:hAnsi="Google Sans" w:eastAsia="Google Sans" w:cs="Google Sans"/>
          <w:sz w:val="24"/>
          <w:szCs w:val="24"/>
        </w:rPr>
        <w:t xml:space="preserve"> - Thomson Reuters Institute </w:t>
      </w:r>
      <w:hyperlink r:id="Re0deb9481bf34184">
        <w:r w:rsidRPr="65CA3BC1" w:rsidR="553C1913">
          <w:rPr>
            <w:rFonts w:ascii="Google Sans" w:hAnsi="Google Sans" w:eastAsia="Google Sans" w:cs="Google Sans"/>
            <w:color w:val="0000EE"/>
            <w:sz w:val="24"/>
            <w:szCs w:val="24"/>
            <w:u w:val="single"/>
          </w:rPr>
          <w:t>https://www.thomsonreuters.com/en-us/posts/corporates/sim-swap-fraud/</w:t>
        </w:r>
      </w:hyperlink>
    </w:p>
    <w:p xmlns:wp14="http://schemas.microsoft.com/office/word/2010/wordml" w:rsidR="00DE45A6" w:rsidP="65CA3BC1" w:rsidRDefault="003E5FE0" w14:paraId="37FB1E39" wp14:textId="064DE296">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SIM Swapping </w:t>
      </w:r>
      <w:r w:rsidRPr="65CA3BC1" w:rsidR="553C1913">
        <w:rPr>
          <w:rFonts w:ascii="Google Sans" w:hAnsi="Google Sans" w:eastAsia="Google Sans" w:cs="Google Sans"/>
          <w:sz w:val="24"/>
          <w:szCs w:val="24"/>
        </w:rPr>
        <w:t>Fraud</w:t>
      </w:r>
      <w:r w:rsidRPr="65CA3BC1" w:rsidR="553C1913">
        <w:rPr>
          <w:rFonts w:ascii="Google Sans" w:hAnsi="Google Sans" w:eastAsia="Google Sans" w:cs="Google Sans"/>
          <w:sz w:val="24"/>
          <w:szCs w:val="24"/>
        </w:rPr>
        <w:t xml:space="preserve"> and How to </w:t>
      </w:r>
      <w:r w:rsidRPr="65CA3BC1" w:rsidR="553C1913">
        <w:rPr>
          <w:rFonts w:ascii="Google Sans" w:hAnsi="Google Sans" w:eastAsia="Google Sans" w:cs="Google Sans"/>
          <w:sz w:val="24"/>
          <w:szCs w:val="24"/>
        </w:rPr>
        <w:t>Prevent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It</w:t>
      </w:r>
      <w:r w:rsidRPr="65CA3BC1" w:rsidR="553C1913">
        <w:rPr>
          <w:rFonts w:ascii="Google Sans" w:hAnsi="Google Sans" w:eastAsia="Google Sans" w:cs="Google Sans"/>
          <w:sz w:val="24"/>
          <w:szCs w:val="24"/>
        </w:rPr>
        <w:t xml:space="preserve"> | Trend Micro (US) </w:t>
      </w:r>
      <w:hyperlink r:id="R7a4b0d632dcd467e">
        <w:r w:rsidRPr="65CA3BC1" w:rsidR="553C1913">
          <w:rPr>
            <w:rFonts w:ascii="Google Sans" w:hAnsi="Google Sans" w:eastAsia="Google Sans" w:cs="Google Sans"/>
            <w:color w:val="0000EE"/>
            <w:sz w:val="24"/>
            <w:szCs w:val="24"/>
            <w:u w:val="single"/>
          </w:rPr>
          <w:t>https://www.trendmicro.com/en_us/what-is/cyber-attack/types-of-cyber-attacks/sim-swapping-scams.html</w:t>
        </w:r>
      </w:hyperlink>
    </w:p>
    <w:p xmlns:wp14="http://schemas.microsoft.com/office/word/2010/wordml" w:rsidR="00DE45A6" w:rsidP="65CA3BC1" w:rsidRDefault="003E5FE0" w14:paraId="3EE77906" wp14:textId="77CECB26">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Phishing 2.0: </w:t>
      </w:r>
      <w:r w:rsidRPr="65CA3BC1" w:rsidR="553C1913">
        <w:rPr>
          <w:rFonts w:ascii="Google Sans" w:hAnsi="Google Sans" w:eastAsia="Google Sans" w:cs="Google Sans"/>
          <w:sz w:val="24"/>
          <w:szCs w:val="24"/>
        </w:rPr>
        <w:t>Why</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Today's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Scams</w:t>
      </w:r>
      <w:r w:rsidRPr="65CA3BC1" w:rsidR="553C1913">
        <w:rPr>
          <w:rFonts w:ascii="Google Sans" w:hAnsi="Google Sans" w:eastAsia="Google Sans" w:cs="Google Sans"/>
          <w:sz w:val="24"/>
          <w:szCs w:val="24"/>
        </w:rPr>
        <w:t xml:space="preserve"> Are Harder to Spot Than </w:t>
      </w:r>
      <w:r w:rsidRPr="65CA3BC1" w:rsidR="553C1913">
        <w:rPr>
          <w:rFonts w:ascii="Google Sans" w:hAnsi="Google Sans" w:eastAsia="Google Sans" w:cs="Google Sans"/>
          <w:sz w:val="24"/>
          <w:szCs w:val="24"/>
        </w:rPr>
        <w:t>Ever</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XSolutions</w:t>
      </w:r>
      <w:r w:rsidRPr="65CA3BC1" w:rsidR="553C1913">
        <w:rPr>
          <w:rFonts w:ascii="Google Sans" w:hAnsi="Google Sans" w:eastAsia="Google Sans" w:cs="Google Sans"/>
          <w:sz w:val="24"/>
          <w:szCs w:val="24"/>
        </w:rPr>
        <w:t xml:space="preserve"> </w:t>
      </w:r>
      <w:hyperlink r:id="Re1c4b374b75f42d4">
        <w:r w:rsidRPr="65CA3BC1" w:rsidR="553C1913">
          <w:rPr>
            <w:rFonts w:ascii="Google Sans" w:hAnsi="Google Sans" w:eastAsia="Google Sans" w:cs="Google Sans"/>
            <w:color w:val="0000EE"/>
            <w:sz w:val="24"/>
            <w:szCs w:val="24"/>
            <w:u w:val="single"/>
          </w:rPr>
          <w:t>https://xsolutions.com/phishing-2-0-why-todays-scams-are-harder-to-spot-than-ever/</w:t>
        </w:r>
      </w:hyperlink>
    </w:p>
    <w:p xmlns:wp14="http://schemas.microsoft.com/office/word/2010/wordml" w:rsidR="00DE45A6" w:rsidP="65CA3BC1" w:rsidRDefault="003E5FE0" w14:paraId="69DCA93D" wp14:textId="405D4336">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SIM Swapping? Attack, Definition, </w:t>
      </w:r>
      <w:r w:rsidRPr="65CA3BC1" w:rsidR="553C1913">
        <w:rPr>
          <w:rFonts w:ascii="Google Sans" w:hAnsi="Google Sans" w:eastAsia="Google Sans" w:cs="Google Sans"/>
          <w:sz w:val="24"/>
          <w:szCs w:val="24"/>
        </w:rPr>
        <w:t>Prevention</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Proofpoint</w:t>
      </w:r>
      <w:r w:rsidRPr="65CA3BC1" w:rsidR="553C1913">
        <w:rPr>
          <w:rFonts w:ascii="Google Sans" w:hAnsi="Google Sans" w:eastAsia="Google Sans" w:cs="Google Sans"/>
          <w:sz w:val="24"/>
          <w:szCs w:val="24"/>
        </w:rPr>
        <w:t xml:space="preserve"> US </w:t>
      </w:r>
      <w:hyperlink r:id="R32958e873cda47a9">
        <w:r w:rsidRPr="65CA3BC1" w:rsidR="553C1913">
          <w:rPr>
            <w:rFonts w:ascii="Google Sans" w:hAnsi="Google Sans" w:eastAsia="Google Sans" w:cs="Google Sans"/>
            <w:color w:val="0000EE"/>
            <w:sz w:val="24"/>
            <w:szCs w:val="24"/>
            <w:u w:val="single"/>
          </w:rPr>
          <w:t>https://www.proofpoint.com/us/threat-reference/sim-swapping</w:t>
        </w:r>
      </w:hyperlink>
    </w:p>
    <w:p xmlns:wp14="http://schemas.microsoft.com/office/word/2010/wordml" w:rsidR="00DE45A6" w:rsidP="65CA3BC1" w:rsidRDefault="003E5FE0" w14:paraId="3D4A481B" wp14:textId="76CB940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What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is</w:t>
      </w:r>
      <w:r w:rsidRPr="65CA3BC1" w:rsidR="553C1913">
        <w:rPr>
          <w:rFonts w:ascii="Google Sans" w:hAnsi="Google Sans" w:eastAsia="Google Sans" w:cs="Google Sans"/>
          <w:sz w:val="24"/>
          <w:szCs w:val="24"/>
        </w:rPr>
        <w:t xml:space="preserve"> Phishing 2.0 and </w:t>
      </w:r>
      <w:r w:rsidRPr="65CA3BC1" w:rsidR="553C1913">
        <w:rPr>
          <w:rFonts w:ascii="Google Sans" w:hAnsi="Google Sans" w:eastAsia="Google Sans" w:cs="Google Sans"/>
          <w:sz w:val="24"/>
          <w:szCs w:val="24"/>
        </w:rPr>
        <w:t>which</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countermeasures</w:t>
      </w:r>
      <w:r w:rsidRPr="65CA3BC1" w:rsidR="553C1913">
        <w:rPr>
          <w:rFonts w:ascii="Google Sans" w:hAnsi="Google Sans" w:eastAsia="Google Sans" w:cs="Google Sans"/>
          <w:sz w:val="24"/>
          <w:szCs w:val="24"/>
        </w:rPr>
        <w:t xml:space="preserve"> can </w:t>
      </w:r>
      <w:r w:rsidRPr="65CA3BC1" w:rsidR="553C1913">
        <w:rPr>
          <w:rFonts w:ascii="Google Sans" w:hAnsi="Google Sans" w:eastAsia="Google Sans" w:cs="Google Sans"/>
          <w:sz w:val="24"/>
          <w:szCs w:val="24"/>
        </w:rPr>
        <w:t>organisations</w:t>
      </w:r>
      <w:r w:rsidRPr="65CA3BC1" w:rsidR="553C1913">
        <w:rPr>
          <w:rFonts w:ascii="Google Sans" w:hAnsi="Google Sans" w:eastAsia="Google Sans" w:cs="Google Sans"/>
          <w:sz w:val="24"/>
          <w:szCs w:val="24"/>
        </w:rPr>
        <w:t xml:space="preserve"> use </w:t>
      </w:r>
      <w:r w:rsidRPr="65CA3BC1" w:rsidR="553C1913">
        <w:rPr>
          <w:rFonts w:ascii="Google Sans" w:hAnsi="Google Sans" w:eastAsia="Google Sans" w:cs="Google Sans"/>
          <w:sz w:val="24"/>
          <w:szCs w:val="24"/>
        </w:rPr>
        <w:t>against</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it</w:t>
      </w:r>
      <w:r w:rsidRPr="65CA3BC1" w:rsidR="553C1913">
        <w:rPr>
          <w:rFonts w:ascii="Google Sans" w:hAnsi="Google Sans" w:eastAsia="Google Sans" w:cs="Google Sans"/>
          <w:sz w:val="24"/>
          <w:szCs w:val="24"/>
        </w:rPr>
        <w:t xml:space="preserve">? </w:t>
      </w:r>
      <w:hyperlink r:id="Rdf2af339352f43e6">
        <w:r w:rsidRPr="65CA3BC1" w:rsidR="553C1913">
          <w:rPr>
            <w:rFonts w:ascii="Google Sans" w:hAnsi="Google Sans" w:eastAsia="Google Sans" w:cs="Google Sans"/>
            <w:color w:val="0000EE"/>
            <w:sz w:val="24"/>
            <w:szCs w:val="24"/>
            <w:u w:val="single"/>
          </w:rPr>
          <w:t>https://www.ubisecure.com/security/phishing-2-0/</w:t>
        </w:r>
      </w:hyperlink>
    </w:p>
    <w:p xmlns:wp14="http://schemas.microsoft.com/office/word/2010/wordml" w:rsidR="00DE45A6" w:rsidP="65CA3BC1" w:rsidRDefault="003E5FE0" w14:paraId="1CCF5C04" wp14:textId="38B7FCA0">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Phishing </w:t>
      </w:r>
      <w:r w:rsidRPr="65CA3BC1" w:rsidR="553C1913">
        <w:rPr>
          <w:rFonts w:ascii="Google Sans" w:hAnsi="Google Sans" w:eastAsia="Google Sans" w:cs="Google Sans"/>
          <w:sz w:val="24"/>
          <w:szCs w:val="24"/>
        </w:rPr>
        <w:t>attacks</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hijack</w:t>
      </w:r>
      <w:r w:rsidRPr="65CA3BC1" w:rsidR="553C1913">
        <w:rPr>
          <w:rFonts w:ascii="Google Sans" w:hAnsi="Google Sans" w:eastAsia="Google Sans" w:cs="Google Sans"/>
          <w:sz w:val="24"/>
          <w:szCs w:val="24"/>
        </w:rPr>
        <w:t xml:space="preserve"> corporate </w:t>
      </w:r>
      <w:r w:rsidRPr="65CA3BC1" w:rsidR="553C1913">
        <w:rPr>
          <w:rFonts w:ascii="Google Sans" w:hAnsi="Google Sans" w:eastAsia="Google Sans" w:cs="Google Sans"/>
          <w:sz w:val="24"/>
          <w:szCs w:val="24"/>
        </w:rPr>
        <w:t>email</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threads</w:t>
      </w:r>
      <w:r w:rsidRPr="65CA3BC1" w:rsidR="553C1913">
        <w:rPr>
          <w:rFonts w:ascii="Google Sans" w:hAnsi="Google Sans" w:eastAsia="Google Sans" w:cs="Google Sans"/>
          <w:sz w:val="24"/>
          <w:szCs w:val="24"/>
        </w:rPr>
        <w:t xml:space="preserve"> to </w:t>
      </w:r>
      <w:r w:rsidRPr="65CA3BC1" w:rsidR="553C1913">
        <w:rPr>
          <w:rFonts w:ascii="Google Sans" w:hAnsi="Google Sans" w:eastAsia="Google Sans" w:cs="Google Sans"/>
          <w:sz w:val="24"/>
          <w:szCs w:val="24"/>
        </w:rPr>
        <w:t>deliver</w:t>
      </w:r>
      <w:r w:rsidRPr="65CA3BC1" w:rsidR="553C1913">
        <w:rPr>
          <w:rFonts w:ascii="Google Sans" w:hAnsi="Google Sans" w:eastAsia="Google Sans" w:cs="Google Sans"/>
          <w:sz w:val="24"/>
          <w:szCs w:val="24"/>
        </w:rPr>
        <w:t xml:space="preserve"> login </w:t>
      </w:r>
      <w:r w:rsidRPr="65CA3BC1" w:rsidR="553C1913">
        <w:rPr>
          <w:rFonts w:ascii="Google Sans" w:hAnsi="Google Sans" w:eastAsia="Google Sans" w:cs="Google Sans"/>
          <w:sz w:val="24"/>
          <w:szCs w:val="24"/>
        </w:rPr>
        <w:t>traps</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Paubox</w:t>
      </w:r>
      <w:r w:rsidRPr="65CA3BC1" w:rsidR="553C1913">
        <w:rPr>
          <w:rFonts w:ascii="Google Sans" w:hAnsi="Google Sans" w:eastAsia="Google Sans" w:cs="Google Sans"/>
          <w:sz w:val="24"/>
          <w:szCs w:val="24"/>
        </w:rPr>
        <w:t xml:space="preserve"> </w:t>
      </w:r>
      <w:hyperlink r:id="R82a682772f484eef">
        <w:r w:rsidRPr="65CA3BC1" w:rsidR="553C1913">
          <w:rPr>
            <w:rFonts w:ascii="Google Sans" w:hAnsi="Google Sans" w:eastAsia="Google Sans" w:cs="Google Sans"/>
            <w:color w:val="0000EE"/>
            <w:sz w:val="24"/>
            <w:szCs w:val="24"/>
            <w:u w:val="single"/>
          </w:rPr>
          <w:t>https://www.paubox.com/blog/phishing-attacks-hijack-corporate-email-threads-to-deliver-login-traps</w:t>
        </w:r>
      </w:hyperlink>
    </w:p>
    <w:p xmlns:wp14="http://schemas.microsoft.com/office/word/2010/wordml" w:rsidR="00DE45A6" w:rsidP="65CA3BC1" w:rsidRDefault="003E5FE0" w14:paraId="4CB729BA" wp14:textId="476B823A">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EvilProxy</w:t>
      </w:r>
      <w:r w:rsidRPr="65CA3BC1" w:rsidR="553C1913">
        <w:rPr>
          <w:rFonts w:ascii="Google Sans" w:hAnsi="Google Sans" w:eastAsia="Google Sans" w:cs="Google Sans"/>
          <w:sz w:val="24"/>
          <w:szCs w:val="24"/>
        </w:rPr>
        <w:t xml:space="preserve"> phishing </w:t>
      </w:r>
      <w:r w:rsidRPr="65CA3BC1" w:rsidR="553C1913">
        <w:rPr>
          <w:rFonts w:ascii="Google Sans" w:hAnsi="Google Sans" w:eastAsia="Google Sans" w:cs="Google Sans"/>
          <w:sz w:val="24"/>
          <w:szCs w:val="24"/>
        </w:rPr>
        <w:t>campaign</w:t>
      </w:r>
      <w:r w:rsidRPr="65CA3BC1" w:rsidR="553C1913">
        <w:rPr>
          <w:rFonts w:ascii="Google Sans" w:hAnsi="Google Sans" w:eastAsia="Google Sans" w:cs="Google Sans"/>
          <w:sz w:val="24"/>
          <w:szCs w:val="24"/>
        </w:rPr>
        <w:t xml:space="preserve"> leverages </w:t>
      </w:r>
      <w:r w:rsidRPr="65CA3BC1" w:rsidR="553C1913">
        <w:rPr>
          <w:rFonts w:ascii="Google Sans" w:hAnsi="Google Sans" w:eastAsia="Google Sans" w:cs="Google Sans"/>
          <w:sz w:val="24"/>
          <w:szCs w:val="24"/>
        </w:rPr>
        <w:t>convincing</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impersonations</w:t>
      </w:r>
      <w:r w:rsidRPr="65CA3BC1" w:rsidR="553C1913">
        <w:rPr>
          <w:rFonts w:ascii="Google Sans" w:hAnsi="Google Sans" w:eastAsia="Google Sans" w:cs="Google Sans"/>
          <w:sz w:val="24"/>
          <w:szCs w:val="24"/>
        </w:rPr>
        <w:t xml:space="preserve"> of </w:t>
      </w:r>
      <w:r w:rsidRPr="65CA3BC1" w:rsidR="553C1913">
        <w:rPr>
          <w:rFonts w:ascii="Google Sans" w:hAnsi="Google Sans" w:eastAsia="Google Sans" w:cs="Google Sans"/>
          <w:sz w:val="24"/>
          <w:szCs w:val="24"/>
        </w:rPr>
        <w:t>enterprise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applications</w:t>
      </w:r>
      <w:r w:rsidRPr="65CA3BC1" w:rsidR="553C1913">
        <w:rPr>
          <w:rFonts w:ascii="Google Sans" w:hAnsi="Google Sans" w:eastAsia="Google Sans" w:cs="Google Sans"/>
          <w:sz w:val="24"/>
          <w:szCs w:val="24"/>
        </w:rPr>
        <w:t xml:space="preserve"> - </w:t>
      </w:r>
      <w:r w:rsidRPr="65CA3BC1" w:rsidR="553C1913">
        <w:rPr>
          <w:rFonts w:ascii="Google Sans" w:hAnsi="Google Sans" w:eastAsia="Google Sans" w:cs="Google Sans"/>
          <w:sz w:val="24"/>
          <w:szCs w:val="24"/>
        </w:rPr>
        <w:t>Okta</w:t>
      </w:r>
      <w:r w:rsidRPr="65CA3BC1" w:rsidR="553C1913">
        <w:rPr>
          <w:rFonts w:ascii="Google Sans" w:hAnsi="Google Sans" w:eastAsia="Google Sans" w:cs="Google Sans"/>
          <w:sz w:val="24"/>
          <w:szCs w:val="24"/>
        </w:rPr>
        <w:t xml:space="preserve"> </w:t>
      </w:r>
      <w:hyperlink r:id="Ra3d07db99d5e4619">
        <w:r w:rsidRPr="65CA3BC1" w:rsidR="553C1913">
          <w:rPr>
            <w:rFonts w:ascii="Google Sans" w:hAnsi="Google Sans" w:eastAsia="Google Sans" w:cs="Google Sans"/>
            <w:color w:val="0000EE"/>
            <w:sz w:val="24"/>
            <w:szCs w:val="24"/>
            <w:u w:val="single"/>
          </w:rPr>
          <w:t>https://www.okta.com/es-es/blog/threat-intelligence/evil-proxy-phishing-campaign/</w:t>
        </w:r>
      </w:hyperlink>
    </w:p>
    <w:p xmlns:wp14="http://schemas.microsoft.com/office/word/2010/wordml" w:rsidR="00DE45A6" w:rsidP="65CA3BC1" w:rsidRDefault="003E5FE0" w14:paraId="1F208084" wp14:textId="19474FE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Phishing Kits Target Post-Authentication </w:t>
      </w:r>
      <w:r w:rsidRPr="65CA3BC1" w:rsidR="553C1913">
        <w:rPr>
          <w:rFonts w:ascii="Google Sans" w:hAnsi="Google Sans" w:eastAsia="Google Sans" w:cs="Google Sans"/>
          <w:sz w:val="24"/>
          <w:szCs w:val="24"/>
        </w:rPr>
        <w:t>Weakness</w:t>
      </w:r>
      <w:r w:rsidRPr="65CA3BC1" w:rsidR="553C1913">
        <w:rPr>
          <w:rFonts w:ascii="Google Sans" w:hAnsi="Google Sans" w:eastAsia="Google Sans" w:cs="Google Sans"/>
          <w:sz w:val="24"/>
          <w:szCs w:val="24"/>
        </w:rPr>
        <w:t xml:space="preserve"> in Digital </w:t>
      </w:r>
      <w:r w:rsidRPr="65CA3BC1" w:rsidR="553C1913">
        <w:rPr>
          <w:rFonts w:ascii="Google Sans" w:hAnsi="Google Sans" w:eastAsia="Google Sans" w:cs="Google Sans"/>
          <w:sz w:val="24"/>
          <w:szCs w:val="24"/>
        </w:rPr>
        <w:t>Platforms</w:t>
      </w:r>
      <w:r w:rsidRPr="65CA3BC1" w:rsidR="553C1913">
        <w:rPr>
          <w:rFonts w:ascii="Google Sans" w:hAnsi="Google Sans" w:eastAsia="Google Sans" w:cs="Google Sans"/>
          <w:sz w:val="24"/>
          <w:szCs w:val="24"/>
        </w:rPr>
        <w:t xml:space="preserve"> </w:t>
      </w:r>
      <w:hyperlink r:id="R4f5d42a74ea9438c">
        <w:r w:rsidRPr="65CA3BC1" w:rsidR="553C1913">
          <w:rPr>
            <w:rFonts w:ascii="Google Sans" w:hAnsi="Google Sans" w:eastAsia="Google Sans" w:cs="Google Sans"/>
            <w:color w:val="0000EE"/>
            <w:sz w:val="24"/>
            <w:szCs w:val="24"/>
            <w:u w:val="single"/>
          </w:rPr>
          <w:t>https://www.efficientlyconnected.com/phishing-kits-target-post-authentication-weakness-in-digital-platforms/</w:t>
        </w:r>
      </w:hyperlink>
    </w:p>
    <w:p xmlns:wp14="http://schemas.microsoft.com/office/word/2010/wordml" w:rsidR="00DE45A6" w:rsidP="65CA3BC1" w:rsidRDefault="003E5FE0" w14:paraId="19367087" wp14:textId="2AC65EA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CBI Globe </w:t>
      </w:r>
      <w:hyperlink r:id="Re6b97badd8e8459e">
        <w:r w:rsidRPr="65CA3BC1" w:rsidR="553C1913">
          <w:rPr>
            <w:rFonts w:ascii="Google Sans" w:hAnsi="Google Sans" w:eastAsia="Google Sans" w:cs="Google Sans"/>
            <w:color w:val="0000EE"/>
            <w:sz w:val="24"/>
            <w:szCs w:val="24"/>
            <w:u w:val="single"/>
          </w:rPr>
          <w:t>https://www.cbi-org.eu/CBI-Globe-en</w:t>
        </w:r>
      </w:hyperlink>
    </w:p>
    <w:p xmlns:wp14="http://schemas.microsoft.com/office/word/2010/wordml" w:rsidR="00DE45A6" w:rsidP="65CA3BC1" w:rsidRDefault="003E5FE0" w14:paraId="410DC9D4" wp14:textId="3A99B818">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About </w:t>
      </w:r>
      <w:r w:rsidRPr="65CA3BC1" w:rsidR="553C1913">
        <w:rPr>
          <w:rFonts w:ascii="Google Sans" w:hAnsi="Google Sans" w:eastAsia="Google Sans" w:cs="Google Sans"/>
          <w:sz w:val="24"/>
          <w:szCs w:val="24"/>
        </w:rPr>
        <w:t>us</w:t>
      </w:r>
      <w:r w:rsidRPr="65CA3BC1" w:rsidR="553C1913">
        <w:rPr>
          <w:rFonts w:ascii="Google Sans" w:hAnsi="Google Sans" w:eastAsia="Google Sans" w:cs="Google Sans"/>
          <w:sz w:val="24"/>
          <w:szCs w:val="24"/>
        </w:rPr>
        <w:t xml:space="preserve"> - CBI Globe </w:t>
      </w:r>
      <w:hyperlink r:id="R8d85c67cde30459b">
        <w:r w:rsidRPr="65CA3BC1" w:rsidR="553C1913">
          <w:rPr>
            <w:rFonts w:ascii="Google Sans" w:hAnsi="Google Sans" w:eastAsia="Google Sans" w:cs="Google Sans"/>
            <w:color w:val="0000EE"/>
            <w:sz w:val="24"/>
            <w:szCs w:val="24"/>
            <w:u w:val="single"/>
          </w:rPr>
          <w:t>https://www.cbiglobe.com/About-us</w:t>
        </w:r>
      </w:hyperlink>
    </w:p>
    <w:p xmlns:wp14="http://schemas.microsoft.com/office/word/2010/wordml" w:rsidR="00DE45A6" w:rsidP="65CA3BC1" w:rsidRDefault="003E5FE0" w14:paraId="2CBA9943" wp14:textId="2B2AF415">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CBI: Collaborative open </w:t>
      </w:r>
      <w:r w:rsidRPr="65CA3BC1" w:rsidR="553C1913">
        <w:rPr>
          <w:rFonts w:ascii="Google Sans" w:hAnsi="Google Sans" w:eastAsia="Google Sans" w:cs="Google Sans"/>
          <w:sz w:val="24"/>
          <w:szCs w:val="24"/>
        </w:rPr>
        <w:t>finance</w:t>
      </w:r>
      <w:r w:rsidRPr="65CA3BC1" w:rsidR="553C1913">
        <w:rPr>
          <w:rFonts w:ascii="Google Sans" w:hAnsi="Google Sans" w:eastAsia="Google Sans" w:cs="Google Sans"/>
          <w:sz w:val="24"/>
          <w:szCs w:val="24"/>
        </w:rPr>
        <w:t xml:space="preserve"> </w:t>
      </w:r>
      <w:r w:rsidRPr="65CA3BC1" w:rsidR="553C1913">
        <w:rPr>
          <w:rFonts w:ascii="Google Sans" w:hAnsi="Google Sans" w:eastAsia="Google Sans" w:cs="Google Sans"/>
          <w:sz w:val="24"/>
          <w:szCs w:val="24"/>
        </w:rPr>
        <w:t>ecosystems</w:t>
      </w:r>
      <w:r w:rsidRPr="65CA3BC1" w:rsidR="553C1913">
        <w:rPr>
          <w:rFonts w:ascii="Google Sans" w:hAnsi="Google Sans" w:eastAsia="Google Sans" w:cs="Google Sans"/>
          <w:sz w:val="24"/>
          <w:szCs w:val="24"/>
        </w:rPr>
        <w:t xml:space="preserve"> for a market success story 2021-12-13 </w:t>
      </w:r>
      <w:hyperlink r:id="Reba5f2075d694758">
        <w:r w:rsidRPr="65CA3BC1" w:rsidR="553C1913">
          <w:rPr>
            <w:rFonts w:ascii="Google Sans" w:hAnsi="Google Sans" w:eastAsia="Google Sans" w:cs="Google Sans"/>
            <w:color w:val="0000EE"/>
            <w:sz w:val="24"/>
            <w:szCs w:val="24"/>
            <w:u w:val="single"/>
          </w:rPr>
          <w:t>https://www.fintechfutures.com/partnerships/cbi-collaborative-open-finance-ecosystems-for-a-market-success-story-2021-12-13</w:t>
        </w:r>
      </w:hyperlink>
    </w:p>
    <w:p xmlns:wp14="http://schemas.microsoft.com/office/word/2010/wordml" w:rsidR="00DE45A6" w:rsidP="65CA3BC1" w:rsidRDefault="003E5FE0" w14:paraId="5EAEC102" wp14:textId="68BBAEF2">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 xml:space="preserve">The Electronic Identity Card (CIE) - Ministero dell'Interno </w:t>
      </w:r>
      <w:hyperlink r:id="Re6d90cf4b65b4bb1">
        <w:r w:rsidRPr="65CA3BC1" w:rsidR="553C1913">
          <w:rPr>
            <w:rFonts w:ascii="Google Sans" w:hAnsi="Google Sans" w:eastAsia="Google Sans" w:cs="Google Sans"/>
            <w:color w:val="0000EE"/>
            <w:sz w:val="24"/>
            <w:szCs w:val="24"/>
            <w:u w:val="single"/>
          </w:rPr>
          <w:t>https://www.cartaidentita.interno.gov.it/en/cie/electronic-identity-card/</w:t>
        </w:r>
      </w:hyperlink>
    </w:p>
    <w:p xmlns:wp14="http://schemas.microsoft.com/office/word/2010/wordml" w:rsidR="00DE45A6" w:rsidP="65CA3BC1" w:rsidRDefault="003E5FE0" w14:paraId="08AEE1EC" wp14:textId="69CC1E6B">
      <w:pPr>
        <w:numPr>
          <w:ilvl w:val="0"/>
          <w:numId w:val="11"/>
        </w:numPr>
        <w:pBdr>
          <w:top w:val="nil" w:color="FF000000" w:sz="0" w:space="0"/>
          <w:left w:val="nil" w:color="FF000000" w:sz="0" w:space="0"/>
          <w:bottom w:val="nil" w:color="FF000000" w:sz="0" w:space="0"/>
          <w:right w:val="nil" w:color="FF000000" w:sz="0" w:space="0"/>
          <w:between w:val="nil" w:color="FF000000" w:sz="0" w:space="0"/>
        </w:pBdr>
        <w:rPr/>
      </w:pPr>
      <w:r w:rsidRPr="65CA3BC1" w:rsidR="553C1913">
        <w:rPr>
          <w:rFonts w:ascii="Google Sans" w:hAnsi="Google Sans" w:eastAsia="Google Sans" w:cs="Google Sans"/>
          <w:sz w:val="24"/>
          <w:szCs w:val="24"/>
        </w:rPr>
        <w:t>CieID</w:t>
      </w:r>
      <w:r w:rsidRPr="65CA3BC1" w:rsidR="553C1913">
        <w:rPr>
          <w:rFonts w:ascii="Google Sans" w:hAnsi="Google Sans" w:eastAsia="Google Sans" w:cs="Google Sans"/>
          <w:sz w:val="24"/>
          <w:szCs w:val="24"/>
        </w:rPr>
        <w:t xml:space="preserve"> app - The Electronic Identity Card (CIE) - Ministero dell'Interno </w:t>
      </w:r>
      <w:hyperlink r:id="Rb3393e07dc024101">
        <w:r w:rsidRPr="65CA3BC1" w:rsidR="553C1913">
          <w:rPr>
            <w:rFonts w:ascii="Google Sans" w:hAnsi="Google Sans" w:eastAsia="Google Sans" w:cs="Google Sans"/>
            <w:color w:val="0000EE"/>
            <w:sz w:val="24"/>
            <w:szCs w:val="24"/>
            <w:u w:val="single"/>
          </w:rPr>
          <w:t>https://www.cartaidentita.interno.gov.it/en/useful-info-for-citizens/cie-id/</w:t>
        </w:r>
      </w:hyperlink>
    </w:p>
    <w:sectPr w:rsidR="00DE45A6">
      <w:pgSz w:w="12240" w:h="15840" w:orient="portrait"/>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D6D4653-E686-452B-845B-78092FA0FC9C}" r:id="rId1"/>
  </w:font>
  <w:font w:name="Google Sans">
    <w:charset w:val="00"/>
    <w:family w:val="auto"/>
    <w:pitch w:val="default"/>
    <w:embedRegular w:fontKey="{E030AB3B-8F0C-4C63-A868-BEC916CA924A}" r:id="rId2"/>
    <w:embedBold w:fontKey="{21BCA00C-75BD-43CB-A461-53ECB2FDD0DD}"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A18921C-412A-4123-BCF6-F8B784138BC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038C01C-F668-4881-911C-125E87D25FAB}"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C6C"/>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E26946"/>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A6845FF"/>
    <w:multiLevelType w:val="multilevel"/>
    <w:tmpl w:val="FFFFFFFF"/>
    <w:lvl w:ilvl="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941656"/>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2D7646"/>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89F088B"/>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6E10FF0"/>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67B7495"/>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8F871B9"/>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3E16D8F"/>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FBE6355"/>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16cid:durableId="1290355013">
    <w:abstractNumId w:val="10"/>
  </w:num>
  <w:num w:numId="2" w16cid:durableId="1213465223">
    <w:abstractNumId w:val="9"/>
  </w:num>
  <w:num w:numId="3" w16cid:durableId="649946135">
    <w:abstractNumId w:val="7"/>
  </w:num>
  <w:num w:numId="4" w16cid:durableId="562957829">
    <w:abstractNumId w:val="0"/>
  </w:num>
  <w:num w:numId="5" w16cid:durableId="798646077">
    <w:abstractNumId w:val="1"/>
  </w:num>
  <w:num w:numId="6" w16cid:durableId="504591929">
    <w:abstractNumId w:val="3"/>
  </w:num>
  <w:num w:numId="7" w16cid:durableId="1892763464">
    <w:abstractNumId w:val="6"/>
  </w:num>
  <w:num w:numId="8" w16cid:durableId="1169709930">
    <w:abstractNumId w:val="8"/>
  </w:num>
  <w:num w:numId="9" w16cid:durableId="1790323021">
    <w:abstractNumId w:val="5"/>
  </w:num>
  <w:num w:numId="10" w16cid:durableId="774252759">
    <w:abstractNumId w:val="4"/>
  </w:num>
  <w:num w:numId="11" w16cid:durableId="172602596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5A6"/>
    <w:rsid w:val="00310B95"/>
    <w:rsid w:val="003E5FE0"/>
    <w:rsid w:val="00972F4B"/>
    <w:rsid w:val="00DE45A6"/>
    <w:rsid w:val="00E29E9F"/>
    <w:rsid w:val="0FF3676A"/>
    <w:rsid w:val="181D4758"/>
    <w:rsid w:val="247556B7"/>
    <w:rsid w:val="3BC83A33"/>
    <w:rsid w:val="485306E8"/>
    <w:rsid w:val="4A0F6358"/>
    <w:rsid w:val="531200AA"/>
    <w:rsid w:val="553C1913"/>
    <w:rsid w:val="643A570E"/>
    <w:rsid w:val="65CA3BC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2E7A479"/>
  <w15:docId w15:val="{D79B3239-9D2F-4037-A28F-DE46F0BF44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it-I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basedOn w:val="Normale"/>
    <w:next w:val="Normale"/>
    <w:uiPriority w:val="9"/>
    <w:qFormat/>
    <w:pPr>
      <w:pBdr>
        <w:top w:val="nil"/>
        <w:left w:val="nil"/>
        <w:bottom w:val="nil"/>
        <w:right w:val="nil"/>
        <w:between w:val="nil"/>
      </w:pBdr>
      <w:spacing w:before="240" w:after="240"/>
      <w:outlineLvl w:val="0"/>
    </w:pPr>
    <w:rPr>
      <w:b/>
      <w:bCs/>
      <w:sz w:val="48"/>
      <w:szCs w:val="48"/>
    </w:rPr>
  </w:style>
  <w:style w:type="paragraph" w:styleId="Titolo2">
    <w:name w:val="heading 2"/>
    <w:basedOn w:val="Normale"/>
    <w:next w:val="Normale"/>
    <w:uiPriority w:val="9"/>
    <w:unhideWhenUsed/>
    <w:qFormat/>
    <w:pPr>
      <w:pBdr>
        <w:top w:val="nil"/>
        <w:left w:val="nil"/>
        <w:bottom w:val="nil"/>
        <w:right w:val="nil"/>
        <w:between w:val="nil"/>
      </w:pBdr>
      <w:spacing w:before="225" w:after="225"/>
      <w:outlineLvl w:val="1"/>
    </w:pPr>
    <w:rPr>
      <w:b/>
      <w:bCs/>
      <w:sz w:val="36"/>
      <w:szCs w:val="36"/>
    </w:rPr>
  </w:style>
  <w:style w:type="paragraph" w:styleId="Titolo3">
    <w:name w:val="heading 3"/>
    <w:basedOn w:val="Normale"/>
    <w:next w:val="Normale"/>
    <w:uiPriority w:val="9"/>
    <w:unhideWhenUsed/>
    <w:qFormat/>
    <w:pPr>
      <w:pBdr>
        <w:top w:val="nil"/>
        <w:left w:val="nil"/>
        <w:bottom w:val="nil"/>
        <w:right w:val="nil"/>
        <w:between w:val="nil"/>
      </w:pBdr>
      <w:spacing w:before="240" w:after="240"/>
      <w:outlineLvl w:val="2"/>
    </w:pPr>
    <w:rPr>
      <w:b/>
      <w:bCs/>
      <w:sz w:val="28"/>
      <w:szCs w:val="28"/>
    </w:rPr>
  </w:style>
  <w:style w:type="paragraph" w:styleId="Titolo4">
    <w:name w:val="heading 4"/>
    <w:basedOn w:val="Normale"/>
    <w:next w:val="Normale"/>
    <w:uiPriority w:val="9"/>
    <w:unhideWhenUsed/>
    <w:qFormat/>
    <w:pPr>
      <w:pBdr>
        <w:top w:val="nil"/>
        <w:left w:val="nil"/>
        <w:bottom w:val="nil"/>
        <w:right w:val="nil"/>
        <w:between w:val="nil"/>
      </w:pBdr>
      <w:spacing w:before="255" w:after="255"/>
      <w:outlineLvl w:val="3"/>
    </w:pPr>
    <w:rPr>
      <w:b/>
      <w:bCs/>
      <w:sz w:val="24"/>
      <w:szCs w:val="24"/>
    </w:rPr>
  </w:style>
  <w:style w:type="paragraph" w:styleId="Titolo5">
    <w:name w:val="heading 5"/>
    <w:basedOn w:val="Normale"/>
    <w:next w:val="Normale"/>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olo6">
    <w:name w:val="heading 6"/>
    <w:basedOn w:val="Normale"/>
    <w:next w:val="Normale"/>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2" /><Relationship Type="http://schemas.openxmlformats.org/officeDocument/2006/relationships/theme" Target="theme/theme1.xml" Id="rId66" /><Relationship Type="http://schemas.openxmlformats.org/officeDocument/2006/relationships/settings" Target="settings.xml" Id="rId3" /><Relationship Type="http://schemas.openxmlformats.org/officeDocument/2006/relationships/numbering" Target="numbering.xml" Id="rId1" /><Relationship Type="http://schemas.openxmlformats.org/officeDocument/2006/relationships/fontTable" Target="fontTable.xml" Id="rId65" /><Relationship Type="http://schemas.openxmlformats.org/officeDocument/2006/relationships/webSettings" Target="webSettings.xml" Id="rId4" /><Relationship Type="http://schemas.openxmlformats.org/officeDocument/2006/relationships/hyperlink" Target="https://docs.secureauth.com/iam/open-banking-concepts-and-terms" TargetMode="External" Id="R043843c5d9fa4995" /><Relationship Type="http://schemas.openxmlformats.org/officeDocument/2006/relationships/hyperlink" Target="https://www.adyen.com/knowledge-hub/psd2" TargetMode="External" Id="R62335c0d9d90483e" /><Relationship Type="http://schemas.openxmlformats.org/officeDocument/2006/relationships/hyperlink" Target="https://hubspot.wallarm.com/hubfs/Open%20Banking%20Regulations%20and%20API%20Security.pdf" TargetMode="External" Id="Re9c2d1f22f304d38" /><Relationship Type="http://schemas.openxmlformats.org/officeDocument/2006/relationships/hyperlink" Target="https://curity.io/resources/learn/what-is-psd2/" TargetMode="External" Id="Rc9523271efcd4100" /><Relationship Type="http://schemas.openxmlformats.org/officeDocument/2006/relationships/hyperlink" Target="https://openbanking.atlassian.net/wiki/spaces/DZ/pages/83919096/Open+Banking+Security+Profile+-+Implementer+s+Draft+v1.1.2" TargetMode="External" Id="R930137f682064610" /><Relationship Type="http://schemas.openxmlformats.org/officeDocument/2006/relationships/hyperlink" Target="https://stripe.com/resources/more/what-is-psd2-here-is-what-businesses-need-to-know" TargetMode="External" Id="R8fecdbc508b24d02" /><Relationship Type="http://schemas.openxmlformats.org/officeDocument/2006/relationships/hyperlink" Target="https://ciotechworld.com/apis-as-catalysts-a-banks-view-on-open-and-embedded-finance/" TargetMode="External" Id="Re94c73e1a662494c" /><Relationship Type="http://schemas.openxmlformats.org/officeDocument/2006/relationships/hyperlink" Target="https://www.sifars.com/en/blog/tokenization-in-finance-how-ai-enhances-security-and-transparency/" TargetMode="External" Id="Ra3e7dea85ee14d33" /><Relationship Type="http://schemas.openxmlformats.org/officeDocument/2006/relationships/hyperlink" Target="https://www.group-ib.com/blog/the-evolution-of-sim-swapping-fraud-how-fraudsters-bypass-security-layers/" TargetMode="External" Id="R724f2d3f6f8c4788" /><Relationship Type="http://schemas.openxmlformats.org/officeDocument/2006/relationships/hyperlink" Target="https://www.gpayments.com/about/psd2-strong-customer-authentication-3d-secure-2/" TargetMode="External" Id="R22053e7d31754510" /><Relationship Type="http://schemas.openxmlformats.org/officeDocument/2006/relationships/hyperlink" Target="https://www.swift.com/swift-resource/71316/download?language=en" TargetMode="External" Id="R719e36825e524cfc" /><Relationship Type="http://schemas.openxmlformats.org/officeDocument/2006/relationships/hyperlink" Target="https://www.twilio.com/en-us/blog/insights/compliance/dynamic-linking-psd2" TargetMode="External" Id="Ra47553d5822b42c7" /><Relationship Type="http://schemas.openxmlformats.org/officeDocument/2006/relationships/hyperlink" Target="https://okaythis.com/blog/what-is-dynamic-linking" TargetMode="External" Id="R703bdfc22e1c4e2b" /><Relationship Type="http://schemas.openxmlformats.org/officeDocument/2006/relationships/hyperlink" Target="https://stripe.com/ae/resources/more/what-is-psd2-here-is-what-businesses-need-to-know" TargetMode="External" Id="R5cfc8cd8ccf843b5" /><Relationship Type="http://schemas.openxmlformats.org/officeDocument/2006/relationships/hyperlink" Target="https://kount.com/blog/what-is-3d-secure-2" TargetMode="External" Id="R2d8073b9b2014555" /><Relationship Type="http://schemas.openxmlformats.org/officeDocument/2006/relationships/hyperlink" Target="https://www.aciworldwide.com/3d-secure-authentication" TargetMode="External" Id="R7419b32f368241c2" /><Relationship Type="http://schemas.openxmlformats.org/officeDocument/2006/relationships/hyperlink" Target="https://specopssoft.com/blog/sim-swap-fraud-prevention-guide-2025/" TargetMode="External" Id="Rcbbc5843004c48a9" /><Relationship Type="http://schemas.openxmlformats.org/officeDocument/2006/relationships/hyperlink" Target="https://www.corbado.com/blog/dynamic-linking-passkeys-spc" TargetMode="External" Id="R680100df0f5948d3" /><Relationship Type="http://schemas.openxmlformats.org/officeDocument/2006/relationships/hyperlink" Target="https://www.eba.europa.eu/single-rule-book-qa/qna/view/publicId/2020_5366" TargetMode="External" Id="R535d55f916704be5" /><Relationship Type="http://schemas.openxmlformats.org/officeDocument/2006/relationships/hyperlink" Target="https://www.eba.europa.eu/eba-response/98" TargetMode="External" Id="R327d7e382bc74b03" /><Relationship Type="http://schemas.openxmlformats.org/officeDocument/2006/relationships/hyperlink" Target="https://payproglobal.com/answers/what-is-3d-secure/" TargetMode="External" Id="Rc528d309cb7146d4" /><Relationship Type="http://schemas.openxmlformats.org/officeDocument/2006/relationships/hyperlink" Target="https://primer.io/blog/3dsecure-1-sunset" TargetMode="External" Id="R06a458f57a0f49e4" /><Relationship Type="http://schemas.openxmlformats.org/officeDocument/2006/relationships/hyperlink" Target="https://www.mastercard.com/gateway/payment-solutions/secure-payments/strong-customer-authentication.html" TargetMode="External" Id="Re7d2863f879e4460" /><Relationship Type="http://schemas.openxmlformats.org/officeDocument/2006/relationships/hyperlink" Target="https://docs.thredd.com/psd/Content/PSD2/PSD2_Rules.htm" TargetMode="External" Id="R5f00bf8d6f034943" /><Relationship Type="http://schemas.openxmlformats.org/officeDocument/2006/relationships/hyperlink" Target="https://www.onespan.com/sites/default/files/2019-08/psd2-webinar-qa-with-answers-public-fme-v4_tcm42-56390.pdf" TargetMode="External" Id="R6058f86cf19f4ef8" /><Relationship Type="http://schemas.openxmlformats.org/officeDocument/2006/relationships/hyperlink" Target="https://www.decta.com/company/media/how-open-banking-apis-work-benefits-security-and-best-practices" TargetMode="External" Id="R3fca4fbd3f4748b2" /><Relationship Type="http://schemas.openxmlformats.org/officeDocument/2006/relationships/hyperlink" Target="https://tyk.io/learning-center/open-banking-apis-explained/" TargetMode="External" Id="Rc63a399022ba4c5b" /><Relationship Type="http://schemas.openxmlformats.org/officeDocument/2006/relationships/hyperlink" Target="https://www.zymr.com/blog/open-banking-api-development-a-complete-guide" TargetMode="External" Id="R36431df9d5b64954" /><Relationship Type="http://schemas.openxmlformats.org/officeDocument/2006/relationships/hyperlink" Target="https://www.lucid.now/blog/implement-oauth-2-0-banking-apis-steps/" TargetMode="External" Id="R369e07fbeea34690" /><Relationship Type="http://schemas.openxmlformats.org/officeDocument/2006/relationships/hyperlink" Target="https://www.nexigroup.com/en/business/banks-and-financial-institutions/open-banking/active-functionality/" TargetMode="External" Id="R97881f3da6644d22" /><Relationship Type="http://schemas.openxmlformats.org/officeDocument/2006/relationships/hyperlink" Target="https://standards.openbanking.org.uk/security-profiles/get-started-obl-api-security-profile/" TargetMode="External" Id="R0b3597d3b5f94b30" /><Relationship Type="http://schemas.openxmlformats.org/officeDocument/2006/relationships/hyperlink" Target="https://www.ibm.com/docs/en/tfim/6.2.2.6?topic=overview-oauth-20-workflow" TargetMode="External" Id="R351f91391ada4667" /><Relationship Type="http://schemas.openxmlformats.org/officeDocument/2006/relationships/hyperlink" Target="https://www.authlete.com/developers/tutorial/oauth/" TargetMode="External" Id="Rb0f846d8300f4cdc" /><Relationship Type="http://schemas.openxmlformats.org/officeDocument/2006/relationships/hyperlink" Target="https://www.digitalocean.com/community/tutorials/an-introduction-to-oauth-2" TargetMode="External" Id="R87bdfc3346fa4d2c" /><Relationship Type="http://schemas.openxmlformats.org/officeDocument/2006/relationships/hyperlink" Target="https://www.gabriel.urdhr.fr/2023/02/06/oauth2-diagrams/" TargetMode="External" Id="R90aea6038d404193" /><Relationship Type="http://schemas.openxmlformats.org/officeDocument/2006/relationships/hyperlink" Target="https://openbanking.atlassian.net/wiki/spaces/DZ/pages/1077805743/Payment+Initiation+API+Specification+-+v3.1.2" TargetMode="External" Id="R1b323ea8f9af4b9a" /><Relationship Type="http://schemas.openxmlformats.org/officeDocument/2006/relationships/hyperlink" Target="https://www.centralbank.ie/regulation/psd2-overview/faq" TargetMode="External" Id="R8b69a2f544794031" /><Relationship Type="http://schemas.openxmlformats.org/officeDocument/2006/relationships/hyperlink" Target="https://financial-services.developer.worldline.com/digital-services/open-banking/payment-initiation-overview" TargetMode="External" Id="Rf02dba801cf0426a" /><Relationship Type="http://schemas.openxmlformats.org/officeDocument/2006/relationships/hyperlink" Target="https://www.w3.org/Payments/IG/wiki/PSD2" TargetMode="External" Id="Rb13810f8a67847d3" /><Relationship Type="http://schemas.openxmlformats.org/officeDocument/2006/relationships/hyperlink" Target="https://gocardless.com/guides/posts/open-banking-api-specifications/" TargetMode="External" Id="R094e3d8c620d47b9" /><Relationship Type="http://schemas.openxmlformats.org/officeDocument/2006/relationships/hyperlink" Target="https://www.natwest.com/corporates/insights/technology/the-power-of-tokenization-in-payments.html" TargetMode="External" Id="R17690d7d15ba42bb" /><Relationship Type="http://schemas.openxmlformats.org/officeDocument/2006/relationships/hyperlink" Target="https://www.investsuite.com/insights/blogs/the-evolution-and-impact-of-embedded-finance-a-comprehensive-analysis" TargetMode="External" Id="R884aa0d2553f4777" /><Relationship Type="http://schemas.openxmlformats.org/officeDocument/2006/relationships/hyperlink" Target="https://stripe.com/resources/more/open-banking-vs-embedded-finance-a-guide" TargetMode="External" Id="Rebb63dc76b1e4570" /><Relationship Type="http://schemas.openxmlformats.org/officeDocument/2006/relationships/hyperlink" Target="https://www.tsys.com/insights/2025/10/14/embedded-finance-why-banks-should-embrace-apis-and-blockchain-to-stay-competitive" TargetMode="External" Id="R5b8ff978effa47c0" /><Relationship Type="http://schemas.openxmlformats.org/officeDocument/2006/relationships/hyperlink" Target="https://efipm.medium.com/5-diverse-embedded-finance-examples-0b0296897009" TargetMode="External" Id="R172821e76a77468f" /><Relationship Type="http://schemas.openxmlformats.org/officeDocument/2006/relationships/hyperlink" Target="https://enablebanking.com/docs/markets/it" TargetMode="External" Id="R3ccf17b7ac8d4582" /><Relationship Type="http://schemas.openxmlformats.org/officeDocument/2006/relationships/hyperlink" Target="https://britepayments.com/resources/article/guide-to-payment-initiation-services-pis/" TargetMode="External" Id="R7397e2dffede4499" /><Relationship Type="http://schemas.openxmlformats.org/officeDocument/2006/relationships/hyperlink" Target="https://www.thomsonreuters.com/en-us/posts/corporates/sim-swap-fraud/" TargetMode="External" Id="Re0deb9481bf34184" /><Relationship Type="http://schemas.openxmlformats.org/officeDocument/2006/relationships/hyperlink" Target="https://www.trendmicro.com/en_us/what-is/cyber-attack/types-of-cyber-attacks/sim-swapping-scams.html" TargetMode="External" Id="R7a4b0d632dcd467e" /><Relationship Type="http://schemas.openxmlformats.org/officeDocument/2006/relationships/hyperlink" Target="https://xsolutions.com/phishing-2-0-why-todays-scams-are-harder-to-spot-than-ever/" TargetMode="External" Id="Re1c4b374b75f42d4" /><Relationship Type="http://schemas.openxmlformats.org/officeDocument/2006/relationships/hyperlink" Target="https://www.proofpoint.com/us/threat-reference/sim-swapping" TargetMode="External" Id="R32958e873cda47a9" /><Relationship Type="http://schemas.openxmlformats.org/officeDocument/2006/relationships/hyperlink" Target="https://www.ubisecure.com/security/phishing-2-0/" TargetMode="External" Id="Rdf2af339352f43e6" /><Relationship Type="http://schemas.openxmlformats.org/officeDocument/2006/relationships/hyperlink" Target="https://www.paubox.com/blog/phishing-attacks-hijack-corporate-email-threads-to-deliver-login-traps" TargetMode="External" Id="R82a682772f484eef" /><Relationship Type="http://schemas.openxmlformats.org/officeDocument/2006/relationships/hyperlink" Target="https://www.okta.com/es-es/blog/threat-intelligence/evil-proxy-phishing-campaign/" TargetMode="External" Id="Ra3d07db99d5e4619" /><Relationship Type="http://schemas.openxmlformats.org/officeDocument/2006/relationships/hyperlink" Target="https://www.efficientlyconnected.com/phishing-kits-target-post-authentication-weakness-in-digital-platforms/" TargetMode="External" Id="R4f5d42a74ea9438c" /><Relationship Type="http://schemas.openxmlformats.org/officeDocument/2006/relationships/hyperlink" Target="https://www.cbi-org.eu/CBI-Globe-en" TargetMode="External" Id="Re6b97badd8e8459e" /><Relationship Type="http://schemas.openxmlformats.org/officeDocument/2006/relationships/hyperlink" Target="https://www.cbiglobe.com/About-us" TargetMode="External" Id="R8d85c67cde30459b" /><Relationship Type="http://schemas.openxmlformats.org/officeDocument/2006/relationships/hyperlink" Target="https://www.fintechfutures.com/partnerships/cbi-collaborative-open-finance-ecosystems-for-a-market-success-story-2021-12-13" TargetMode="External" Id="Reba5f2075d694758" /><Relationship Type="http://schemas.openxmlformats.org/officeDocument/2006/relationships/hyperlink" Target="https://www.cartaidentita.interno.gov.it/en/cie/electronic-identity-card/" TargetMode="External" Id="Re6d90cf4b65b4bb1" /><Relationship Type="http://schemas.openxmlformats.org/officeDocument/2006/relationships/hyperlink" Target="https://www.cartaidentita.interno.gov.it/en/useful-info-for-citizens/cie-id/" TargetMode="External" Id="Rb3393e07dc02410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THOMAS MANZONI</lastModifiedBy>
  <revision>2</revision>
  <dcterms:created xsi:type="dcterms:W3CDTF">2026-03-25T14:53:00.0000000Z</dcterms:created>
  <dcterms:modified xsi:type="dcterms:W3CDTF">2026-03-25T19:10:18.8871998Z</dcterms:modified>
</coreProperties>
</file>