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49B37" w14:textId="77777777" w:rsidR="00143888" w:rsidRPr="00675E66" w:rsidRDefault="00C75645" w:rsidP="00143888">
      <w:pPr>
        <w:spacing w:line="360" w:lineRule="auto"/>
        <w:jc w:val="center"/>
        <w:rPr>
          <w:rFonts w:ascii="Times New Roman" w:hAnsi="Times New Roman" w:cs="Times New Roman"/>
          <w:b/>
          <w:bCs/>
          <w:color w:val="1F497D" w:themeColor="text2"/>
          <w:sz w:val="32"/>
          <w:szCs w:val="32"/>
        </w:rPr>
      </w:pPr>
      <w:bookmarkStart w:id="0" w:name="_Hlk194509648"/>
      <w:bookmarkEnd w:id="0"/>
      <w:r w:rsidRPr="00675E66">
        <w:rPr>
          <w:rFonts w:ascii="Times New Roman" w:hAnsi="Times New Roman" w:cs="Times New Roman"/>
          <w:b/>
          <w:bCs/>
          <w:color w:val="1F497D" w:themeColor="text2"/>
          <w:sz w:val="32"/>
          <w:szCs w:val="32"/>
        </w:rPr>
        <w:t xml:space="preserve">A Machine Learning Approach to Urban Growth Prediction </w:t>
      </w:r>
    </w:p>
    <w:p w14:paraId="5E6BD472" w14:textId="0DAA8533" w:rsidR="00C75645" w:rsidRPr="00675E66" w:rsidRDefault="00C75645" w:rsidP="00143888">
      <w:pPr>
        <w:spacing w:line="360" w:lineRule="auto"/>
        <w:jc w:val="center"/>
        <w:rPr>
          <w:rFonts w:ascii="Times New Roman" w:hAnsi="Times New Roman" w:cs="Times New Roman"/>
          <w:b/>
          <w:bCs/>
          <w:color w:val="1F497D" w:themeColor="text2"/>
          <w:sz w:val="32"/>
          <w:szCs w:val="32"/>
        </w:rPr>
      </w:pPr>
      <w:r w:rsidRPr="00675E66">
        <w:rPr>
          <w:rFonts w:ascii="Times New Roman" w:hAnsi="Times New Roman" w:cs="Times New Roman"/>
          <w:b/>
          <w:bCs/>
          <w:color w:val="1F497D" w:themeColor="text2"/>
          <w:sz w:val="32"/>
          <w:szCs w:val="32"/>
        </w:rPr>
        <w:t>of Juba, South Sudan (2024-2033)</w:t>
      </w:r>
    </w:p>
    <w:p w14:paraId="47980DA1" w14:textId="77777777" w:rsidR="00C75645" w:rsidRPr="00143888" w:rsidRDefault="00C75645" w:rsidP="00143888">
      <w:pPr>
        <w:spacing w:line="360" w:lineRule="auto"/>
        <w:jc w:val="both"/>
        <w:rPr>
          <w:rFonts w:ascii="Times New Roman" w:hAnsi="Times New Roman" w:cs="Times New Roman"/>
          <w:sz w:val="24"/>
          <w:szCs w:val="24"/>
        </w:rPr>
      </w:pPr>
    </w:p>
    <w:p w14:paraId="1583BD4B" w14:textId="2F3A925B" w:rsidR="00C75645" w:rsidRPr="00143888" w:rsidRDefault="00C75645" w:rsidP="00143888">
      <w:pPr>
        <w:spacing w:line="360" w:lineRule="auto"/>
        <w:jc w:val="center"/>
        <w:rPr>
          <w:rFonts w:ascii="Times New Roman" w:hAnsi="Times New Roman" w:cs="Times New Roman"/>
          <w:b/>
          <w:bCs/>
          <w:sz w:val="24"/>
          <w:szCs w:val="24"/>
        </w:rPr>
      </w:pPr>
      <w:bookmarkStart w:id="1" w:name="_Hlk194925887"/>
      <w:r w:rsidRPr="00143888">
        <w:rPr>
          <w:rFonts w:ascii="Times New Roman" w:hAnsi="Times New Roman" w:cs="Times New Roman"/>
          <w:b/>
          <w:bCs/>
          <w:sz w:val="24"/>
          <w:szCs w:val="24"/>
        </w:rPr>
        <w:t>NYOMBE BENSON JALLE  17-CIT-104</w:t>
      </w:r>
    </w:p>
    <w:p w14:paraId="1D9FC636" w14:textId="77777777" w:rsidR="00C75645" w:rsidRPr="00143888" w:rsidRDefault="00C75645" w:rsidP="00143888">
      <w:pPr>
        <w:spacing w:line="360" w:lineRule="auto"/>
        <w:jc w:val="center"/>
        <w:rPr>
          <w:rFonts w:ascii="Times New Roman" w:hAnsi="Times New Roman" w:cs="Times New Roman"/>
          <w:b/>
          <w:bCs/>
          <w:sz w:val="24"/>
          <w:szCs w:val="24"/>
        </w:rPr>
      </w:pPr>
    </w:p>
    <w:p w14:paraId="5CF6219A" w14:textId="4D85EF6A" w:rsidR="00BE3DCB" w:rsidRPr="00143888" w:rsidRDefault="00C75645" w:rsidP="00143888">
      <w:pPr>
        <w:spacing w:line="360" w:lineRule="auto"/>
        <w:jc w:val="center"/>
        <w:rPr>
          <w:rFonts w:ascii="Times New Roman" w:hAnsi="Times New Roman" w:cs="Times New Roman"/>
          <w:b/>
          <w:bCs/>
          <w:sz w:val="24"/>
          <w:szCs w:val="24"/>
        </w:rPr>
      </w:pPr>
      <w:r w:rsidRPr="00143888">
        <w:rPr>
          <w:rFonts w:ascii="Times New Roman" w:hAnsi="Times New Roman" w:cs="Times New Roman"/>
          <w:b/>
          <w:bCs/>
          <w:sz w:val="24"/>
          <w:szCs w:val="24"/>
        </w:rPr>
        <w:t xml:space="preserve">Supervised By: Dr. </w:t>
      </w:r>
      <w:proofErr w:type="spellStart"/>
      <w:r w:rsidRPr="00143888">
        <w:rPr>
          <w:rFonts w:ascii="Times New Roman" w:hAnsi="Times New Roman" w:cs="Times New Roman"/>
          <w:b/>
          <w:bCs/>
          <w:sz w:val="24"/>
          <w:szCs w:val="24"/>
        </w:rPr>
        <w:t>Manzu</w:t>
      </w:r>
      <w:proofErr w:type="spellEnd"/>
      <w:r w:rsidRPr="00143888">
        <w:rPr>
          <w:rFonts w:ascii="Times New Roman" w:hAnsi="Times New Roman" w:cs="Times New Roman"/>
          <w:b/>
          <w:bCs/>
          <w:sz w:val="24"/>
          <w:szCs w:val="24"/>
        </w:rPr>
        <w:t xml:space="preserve"> Gerald </w:t>
      </w:r>
      <w:r w:rsidR="00AD2C6B">
        <w:rPr>
          <w:rFonts w:ascii="Times New Roman" w:hAnsi="Times New Roman" w:cs="Times New Roman"/>
          <w:b/>
          <w:bCs/>
          <w:sz w:val="24"/>
          <w:szCs w:val="24"/>
        </w:rPr>
        <w:t xml:space="preserve">S. </w:t>
      </w:r>
      <w:r w:rsidRPr="00143888">
        <w:rPr>
          <w:rFonts w:ascii="Times New Roman" w:hAnsi="Times New Roman" w:cs="Times New Roman"/>
          <w:b/>
          <w:bCs/>
          <w:sz w:val="24"/>
          <w:szCs w:val="24"/>
        </w:rPr>
        <w:t>Kenyi</w:t>
      </w:r>
    </w:p>
    <w:bookmarkEnd w:id="1"/>
    <w:p w14:paraId="69740408" w14:textId="77777777" w:rsidR="00BE3DCB" w:rsidRPr="00143888" w:rsidRDefault="00BE3DCB" w:rsidP="00143888">
      <w:pPr>
        <w:spacing w:line="360" w:lineRule="auto"/>
        <w:jc w:val="both"/>
        <w:rPr>
          <w:rFonts w:ascii="Times New Roman" w:hAnsi="Times New Roman" w:cs="Times New Roman"/>
          <w:sz w:val="24"/>
          <w:szCs w:val="24"/>
        </w:rPr>
      </w:pPr>
    </w:p>
    <w:p w14:paraId="6092FA92" w14:textId="77777777" w:rsidR="00C75645" w:rsidRPr="00143888" w:rsidRDefault="00C75645" w:rsidP="00143888">
      <w:pPr>
        <w:spacing w:line="360" w:lineRule="auto"/>
        <w:jc w:val="both"/>
        <w:rPr>
          <w:rFonts w:ascii="Times New Roman" w:hAnsi="Times New Roman" w:cs="Times New Roman"/>
          <w:sz w:val="24"/>
          <w:szCs w:val="24"/>
        </w:rPr>
      </w:pPr>
    </w:p>
    <w:p w14:paraId="7E2BF9B2" w14:textId="77777777" w:rsidR="00C75645" w:rsidRPr="00143888" w:rsidRDefault="00C75645" w:rsidP="00143888">
      <w:pPr>
        <w:spacing w:line="360" w:lineRule="auto"/>
        <w:jc w:val="both"/>
        <w:rPr>
          <w:rFonts w:ascii="Times New Roman" w:hAnsi="Times New Roman" w:cs="Times New Roman"/>
          <w:sz w:val="24"/>
          <w:szCs w:val="24"/>
        </w:rPr>
      </w:pPr>
    </w:p>
    <w:p w14:paraId="28A3B425" w14:textId="77777777" w:rsidR="00C75645" w:rsidRPr="00143888" w:rsidRDefault="00C75645" w:rsidP="00143888">
      <w:pPr>
        <w:spacing w:line="360" w:lineRule="auto"/>
        <w:jc w:val="both"/>
        <w:rPr>
          <w:rFonts w:ascii="Times New Roman" w:hAnsi="Times New Roman" w:cs="Times New Roman"/>
          <w:sz w:val="24"/>
          <w:szCs w:val="24"/>
        </w:rPr>
      </w:pPr>
    </w:p>
    <w:p w14:paraId="64841FC3" w14:textId="77777777" w:rsidR="00C75645" w:rsidRPr="00675E66" w:rsidRDefault="00C75645" w:rsidP="00143888">
      <w:pPr>
        <w:spacing w:line="360" w:lineRule="auto"/>
        <w:jc w:val="center"/>
        <w:rPr>
          <w:rFonts w:ascii="Times New Roman" w:hAnsi="Times New Roman" w:cs="Times New Roman"/>
          <w:b/>
          <w:color w:val="1F497D" w:themeColor="text2"/>
          <w:sz w:val="28"/>
          <w:szCs w:val="28"/>
        </w:rPr>
      </w:pPr>
      <w:bookmarkStart w:id="2" w:name="_Hlk194925992"/>
      <w:r w:rsidRPr="00675E66">
        <w:rPr>
          <w:rFonts w:ascii="Times New Roman" w:hAnsi="Times New Roman" w:cs="Times New Roman"/>
          <w:b/>
          <w:color w:val="1F497D" w:themeColor="text2"/>
          <w:sz w:val="28"/>
          <w:szCs w:val="28"/>
        </w:rPr>
        <w:t>Department of Information Technology</w:t>
      </w:r>
    </w:p>
    <w:p w14:paraId="3BC35AD9" w14:textId="77777777" w:rsidR="00C75645" w:rsidRPr="00675E66" w:rsidRDefault="00C75645" w:rsidP="00143888">
      <w:pPr>
        <w:spacing w:line="360" w:lineRule="auto"/>
        <w:jc w:val="center"/>
        <w:rPr>
          <w:rFonts w:ascii="Times New Roman" w:hAnsi="Times New Roman" w:cs="Times New Roman"/>
          <w:b/>
          <w:color w:val="1F497D" w:themeColor="text2"/>
          <w:sz w:val="28"/>
          <w:szCs w:val="28"/>
        </w:rPr>
      </w:pPr>
      <w:r w:rsidRPr="00675E66">
        <w:rPr>
          <w:rFonts w:ascii="Times New Roman" w:hAnsi="Times New Roman" w:cs="Times New Roman"/>
          <w:b/>
          <w:color w:val="1F497D" w:themeColor="text2"/>
          <w:sz w:val="28"/>
          <w:szCs w:val="28"/>
        </w:rPr>
        <w:t>School of Computer Science and Information Technology,</w:t>
      </w:r>
    </w:p>
    <w:p w14:paraId="41ECA3D1" w14:textId="50811CF5" w:rsidR="00BE3DCB" w:rsidRPr="00675E66" w:rsidRDefault="00C75645" w:rsidP="00143888">
      <w:pPr>
        <w:spacing w:line="360" w:lineRule="auto"/>
        <w:jc w:val="center"/>
        <w:rPr>
          <w:rFonts w:ascii="Times New Roman" w:hAnsi="Times New Roman" w:cs="Times New Roman"/>
          <w:b/>
          <w:color w:val="1F497D" w:themeColor="text2"/>
          <w:sz w:val="28"/>
          <w:szCs w:val="28"/>
        </w:rPr>
      </w:pPr>
      <w:r w:rsidRPr="00675E66">
        <w:rPr>
          <w:rFonts w:ascii="Times New Roman" w:hAnsi="Times New Roman" w:cs="Times New Roman"/>
          <w:b/>
          <w:color w:val="1F497D" w:themeColor="text2"/>
          <w:sz w:val="28"/>
          <w:szCs w:val="28"/>
        </w:rPr>
        <w:t>University of Juba</w:t>
      </w:r>
    </w:p>
    <w:bookmarkEnd w:id="2"/>
    <w:p w14:paraId="1DD75E13" w14:textId="628A4C08" w:rsidR="00BE3DCB" w:rsidRPr="00143888" w:rsidRDefault="00BE3DCB" w:rsidP="00143888">
      <w:pPr>
        <w:spacing w:line="360" w:lineRule="auto"/>
        <w:jc w:val="both"/>
        <w:rPr>
          <w:rFonts w:ascii="Times New Roman" w:hAnsi="Times New Roman" w:cs="Times New Roman"/>
          <w:sz w:val="24"/>
          <w:szCs w:val="24"/>
        </w:rPr>
      </w:pPr>
    </w:p>
    <w:p w14:paraId="344BB3D7" w14:textId="7F2BA14F" w:rsidR="00C75645" w:rsidRPr="00143888" w:rsidRDefault="00C75645" w:rsidP="00143888">
      <w:pPr>
        <w:spacing w:line="360" w:lineRule="auto"/>
        <w:jc w:val="both"/>
        <w:rPr>
          <w:rFonts w:ascii="Times New Roman" w:hAnsi="Times New Roman" w:cs="Times New Roman"/>
          <w:sz w:val="24"/>
          <w:szCs w:val="24"/>
        </w:rPr>
      </w:pPr>
    </w:p>
    <w:p w14:paraId="299E99BF" w14:textId="47D85F71" w:rsidR="00C75645" w:rsidRPr="00143888" w:rsidRDefault="00675E66" w:rsidP="00143888">
      <w:pPr>
        <w:spacing w:line="360" w:lineRule="auto"/>
        <w:jc w:val="both"/>
        <w:rPr>
          <w:rFonts w:ascii="Times New Roman" w:hAnsi="Times New Roman" w:cs="Times New Roman"/>
          <w:sz w:val="24"/>
          <w:szCs w:val="24"/>
        </w:rPr>
      </w:pPr>
      <w:r w:rsidRPr="00143888">
        <w:rPr>
          <w:rFonts w:ascii="Times New Roman" w:hAnsi="Times New Roman" w:cs="Times New Roman"/>
          <w:noProof/>
          <w:sz w:val="24"/>
          <w:szCs w:val="24"/>
        </w:rPr>
        <w:drawing>
          <wp:anchor distT="0" distB="0" distL="114300" distR="114300" simplePos="0" relativeHeight="251658240" behindDoc="0" locked="0" layoutInCell="1" allowOverlap="1" wp14:anchorId="104F35EC" wp14:editId="4C5DE3BD">
            <wp:simplePos x="0" y="0"/>
            <wp:positionH relativeFrom="column">
              <wp:posOffset>1865406</wp:posOffset>
            </wp:positionH>
            <wp:positionV relativeFrom="page">
              <wp:posOffset>5153957</wp:posOffset>
            </wp:positionV>
            <wp:extent cx="1575093" cy="1237573"/>
            <wp:effectExtent l="0" t="0" r="6350" b="127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1575093" cy="1237573"/>
                    </a:xfrm>
                    <a:prstGeom prst="rect">
                      <a:avLst/>
                    </a:prstGeom>
                    <a:ln/>
                  </pic:spPr>
                </pic:pic>
              </a:graphicData>
            </a:graphic>
            <wp14:sizeRelH relativeFrom="page">
              <wp14:pctWidth>0</wp14:pctWidth>
            </wp14:sizeRelH>
            <wp14:sizeRelV relativeFrom="page">
              <wp14:pctHeight>0</wp14:pctHeight>
            </wp14:sizeRelV>
          </wp:anchor>
        </w:drawing>
      </w:r>
    </w:p>
    <w:p w14:paraId="07565545" w14:textId="77777777" w:rsidR="00C75645" w:rsidRPr="00143888" w:rsidRDefault="00C75645" w:rsidP="00143888">
      <w:pPr>
        <w:spacing w:line="360" w:lineRule="auto"/>
        <w:jc w:val="both"/>
        <w:rPr>
          <w:rFonts w:ascii="Times New Roman" w:hAnsi="Times New Roman" w:cs="Times New Roman"/>
          <w:sz w:val="24"/>
          <w:szCs w:val="24"/>
        </w:rPr>
      </w:pPr>
    </w:p>
    <w:p w14:paraId="4A0733D7" w14:textId="7D67F90F" w:rsidR="00C75645" w:rsidRPr="00143888" w:rsidRDefault="00C75645" w:rsidP="00143888">
      <w:pPr>
        <w:spacing w:line="360" w:lineRule="auto"/>
        <w:jc w:val="both"/>
        <w:rPr>
          <w:rFonts w:ascii="Times New Roman" w:hAnsi="Times New Roman" w:cs="Times New Roman"/>
          <w:sz w:val="24"/>
          <w:szCs w:val="24"/>
        </w:rPr>
      </w:pPr>
    </w:p>
    <w:p w14:paraId="260E687D" w14:textId="4AE1BC23" w:rsidR="00C75645" w:rsidRPr="00143888" w:rsidRDefault="00C75645" w:rsidP="00143888">
      <w:pPr>
        <w:spacing w:line="360" w:lineRule="auto"/>
        <w:jc w:val="both"/>
        <w:rPr>
          <w:rFonts w:ascii="Times New Roman" w:hAnsi="Times New Roman" w:cs="Times New Roman"/>
          <w:sz w:val="24"/>
          <w:szCs w:val="24"/>
        </w:rPr>
      </w:pPr>
    </w:p>
    <w:p w14:paraId="3DEE1E27" w14:textId="77777777" w:rsidR="00C75645" w:rsidRPr="00143888" w:rsidRDefault="00C75645" w:rsidP="00143888">
      <w:pPr>
        <w:spacing w:line="360" w:lineRule="auto"/>
        <w:jc w:val="both"/>
        <w:rPr>
          <w:rFonts w:ascii="Times New Roman" w:hAnsi="Times New Roman" w:cs="Times New Roman"/>
          <w:sz w:val="24"/>
          <w:szCs w:val="24"/>
        </w:rPr>
      </w:pPr>
    </w:p>
    <w:p w14:paraId="03CCE882" w14:textId="77777777" w:rsidR="00C75645" w:rsidRPr="00143888" w:rsidRDefault="00C75645" w:rsidP="00143888">
      <w:pPr>
        <w:spacing w:line="360" w:lineRule="auto"/>
        <w:jc w:val="both"/>
        <w:rPr>
          <w:rFonts w:ascii="Times New Roman" w:hAnsi="Times New Roman" w:cs="Times New Roman"/>
          <w:sz w:val="24"/>
          <w:szCs w:val="24"/>
        </w:rPr>
      </w:pPr>
    </w:p>
    <w:p w14:paraId="1804A6FF" w14:textId="77777777" w:rsidR="00C75645" w:rsidRPr="00143888" w:rsidRDefault="00C75645" w:rsidP="00143888">
      <w:pPr>
        <w:spacing w:line="360" w:lineRule="auto"/>
        <w:jc w:val="both"/>
        <w:rPr>
          <w:rFonts w:ascii="Times New Roman" w:hAnsi="Times New Roman" w:cs="Times New Roman"/>
          <w:sz w:val="24"/>
          <w:szCs w:val="24"/>
        </w:rPr>
      </w:pPr>
    </w:p>
    <w:p w14:paraId="797A163E" w14:textId="59F51909" w:rsidR="00BE3DCB" w:rsidRDefault="00BE3DCB" w:rsidP="00143888">
      <w:pPr>
        <w:spacing w:line="360" w:lineRule="auto"/>
        <w:jc w:val="both"/>
        <w:rPr>
          <w:rFonts w:ascii="Times New Roman" w:hAnsi="Times New Roman" w:cs="Times New Roman"/>
          <w:sz w:val="24"/>
          <w:szCs w:val="24"/>
        </w:rPr>
      </w:pPr>
    </w:p>
    <w:p w14:paraId="3F014EFE" w14:textId="77777777" w:rsidR="00143888" w:rsidRPr="00143888" w:rsidRDefault="00143888" w:rsidP="00143888">
      <w:pPr>
        <w:spacing w:line="360" w:lineRule="auto"/>
        <w:jc w:val="both"/>
        <w:rPr>
          <w:rFonts w:ascii="Times New Roman" w:hAnsi="Times New Roman" w:cs="Times New Roman"/>
          <w:sz w:val="24"/>
          <w:szCs w:val="24"/>
        </w:rPr>
      </w:pPr>
    </w:p>
    <w:p w14:paraId="50707720" w14:textId="77777777" w:rsidR="00C75645" w:rsidRPr="00143888" w:rsidRDefault="00C75645" w:rsidP="00143888">
      <w:pPr>
        <w:spacing w:line="360" w:lineRule="auto"/>
        <w:jc w:val="center"/>
        <w:rPr>
          <w:rFonts w:ascii="Times New Roman" w:hAnsi="Times New Roman" w:cs="Times New Roman"/>
          <w:b/>
          <w:sz w:val="24"/>
          <w:szCs w:val="24"/>
        </w:rPr>
      </w:pPr>
      <w:bookmarkStart w:id="3" w:name="_Hlk194926081"/>
      <w:r w:rsidRPr="00143888">
        <w:rPr>
          <w:rFonts w:ascii="Times New Roman" w:hAnsi="Times New Roman" w:cs="Times New Roman"/>
          <w:b/>
          <w:sz w:val="24"/>
          <w:szCs w:val="24"/>
        </w:rPr>
        <w:t>Graduation Thesis submitted in partial fulfillment of the requirements leading to the award of Bachelor of Science (Hons) in Information Technology</w:t>
      </w:r>
    </w:p>
    <w:p w14:paraId="0596E50A" w14:textId="77777777" w:rsidR="00C75645" w:rsidRPr="00143888" w:rsidRDefault="00C75645" w:rsidP="00143888">
      <w:pPr>
        <w:spacing w:line="360" w:lineRule="auto"/>
        <w:jc w:val="both"/>
        <w:rPr>
          <w:rStyle w:val="fontstyle01"/>
          <w:b w:val="0"/>
          <w:bCs w:val="0"/>
          <w:sz w:val="24"/>
          <w:szCs w:val="24"/>
        </w:rPr>
      </w:pPr>
    </w:p>
    <w:p w14:paraId="08DD5F04" w14:textId="77777777" w:rsidR="00C75645" w:rsidRPr="00143888" w:rsidRDefault="00C75645" w:rsidP="00143888">
      <w:pPr>
        <w:spacing w:line="360" w:lineRule="auto"/>
        <w:jc w:val="both"/>
        <w:rPr>
          <w:rStyle w:val="fontstyle01"/>
          <w:b w:val="0"/>
          <w:bCs w:val="0"/>
          <w:sz w:val="24"/>
          <w:szCs w:val="24"/>
        </w:rPr>
      </w:pPr>
    </w:p>
    <w:p w14:paraId="2F92E0A4" w14:textId="77777777" w:rsidR="00C75645" w:rsidRPr="00143888" w:rsidRDefault="00C75645" w:rsidP="00143888">
      <w:pPr>
        <w:spacing w:line="360" w:lineRule="auto"/>
        <w:jc w:val="both"/>
        <w:rPr>
          <w:rStyle w:val="fontstyle01"/>
          <w:b w:val="0"/>
          <w:bCs w:val="0"/>
          <w:sz w:val="24"/>
          <w:szCs w:val="24"/>
        </w:rPr>
      </w:pPr>
    </w:p>
    <w:p w14:paraId="60CF87B7" w14:textId="77777777" w:rsidR="006C18F3" w:rsidRDefault="00C75645" w:rsidP="006C18F3">
      <w:pPr>
        <w:spacing w:line="360" w:lineRule="auto"/>
        <w:jc w:val="center"/>
        <w:rPr>
          <w:rFonts w:ascii="Times New Roman" w:hAnsi="Times New Roman" w:cs="Times New Roman"/>
          <w:b/>
          <w:sz w:val="24"/>
          <w:szCs w:val="24"/>
        </w:rPr>
        <w:sectPr w:rsidR="006C18F3" w:rsidSect="006C18F3">
          <w:footerReference w:type="default" r:id="rId9"/>
          <w:pgSz w:w="12240" w:h="15840"/>
          <w:pgMar w:top="1414" w:right="1377" w:bottom="1508" w:left="1440" w:header="0" w:footer="720" w:gutter="0"/>
          <w:pgNumType w:start="1"/>
          <w:cols w:space="720"/>
          <w:titlePg/>
          <w:docGrid w:linePitch="299"/>
        </w:sectPr>
      </w:pPr>
      <w:r w:rsidRPr="00675E66">
        <w:rPr>
          <w:rFonts w:ascii="Times New Roman" w:hAnsi="Times New Roman" w:cs="Times New Roman"/>
          <w:b/>
          <w:color w:val="1F497D" w:themeColor="text2"/>
          <w:sz w:val="24"/>
          <w:szCs w:val="24"/>
        </w:rPr>
        <w:t>March 2025</w:t>
      </w:r>
      <w:bookmarkStart w:id="4" w:name="_rj42xd2msksw" w:colFirst="0" w:colLast="0"/>
      <w:bookmarkEnd w:id="3"/>
      <w:bookmarkEnd w:id="4"/>
      <w:r w:rsidRPr="00143888">
        <w:rPr>
          <w:rFonts w:ascii="Times New Roman" w:hAnsi="Times New Roman" w:cs="Times New Roman"/>
          <w:b/>
          <w:sz w:val="24"/>
          <w:szCs w:val="24"/>
        </w:rPr>
        <w:br w:type="page"/>
      </w:r>
    </w:p>
    <w:p w14:paraId="6E270945" w14:textId="6B995956" w:rsidR="006C18F3" w:rsidRPr="006C18F3" w:rsidRDefault="006C18F3" w:rsidP="006C18F3">
      <w:pPr>
        <w:spacing w:line="360" w:lineRule="auto"/>
        <w:jc w:val="center"/>
        <w:rPr>
          <w:rFonts w:ascii="Times New Roman" w:hAnsi="Times New Roman" w:cs="Times New Roman"/>
          <w:b/>
          <w:sz w:val="24"/>
          <w:szCs w:val="24"/>
        </w:rPr>
      </w:pPr>
    </w:p>
    <w:p w14:paraId="4CC5544F" w14:textId="6A0F75CC"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Abstract</w:t>
      </w:r>
    </w:p>
    <w:p w14:paraId="1363363A" w14:textId="64E9CE4B" w:rsidR="00BE3DCB" w:rsidRPr="00143888" w:rsidRDefault="00844997"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sz w:val="24"/>
          <w:szCs w:val="24"/>
        </w:rPr>
        <w:br w:type="page"/>
      </w:r>
    </w:p>
    <w:p w14:paraId="621945E3" w14:textId="2B056363" w:rsidR="00BE3DCB" w:rsidRPr="00143888" w:rsidRDefault="00143888" w:rsidP="00143888">
      <w:pPr>
        <w:spacing w:line="360" w:lineRule="auto"/>
        <w:jc w:val="both"/>
        <w:rPr>
          <w:rFonts w:ascii="Times New Roman" w:hAnsi="Times New Roman" w:cs="Times New Roman"/>
          <w:sz w:val="24"/>
          <w:szCs w:val="24"/>
        </w:rPr>
      </w:pPr>
      <w:bookmarkStart w:id="5" w:name="_md9vjqc91415" w:colFirst="0" w:colLast="0"/>
      <w:bookmarkEnd w:id="5"/>
      <w:r w:rsidRPr="00143888">
        <w:rPr>
          <w:rFonts w:ascii="Times New Roman" w:hAnsi="Times New Roman" w:cs="Times New Roman"/>
          <w:sz w:val="24"/>
          <w:szCs w:val="24"/>
        </w:rPr>
        <w:lastRenderedPageBreak/>
        <w:t>Table of Contents</w:t>
      </w:r>
    </w:p>
    <w:p w14:paraId="7E9B0208" w14:textId="77777777"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br w:type="page"/>
      </w:r>
    </w:p>
    <w:p w14:paraId="1B4B7E18" w14:textId="36D32D21" w:rsidR="000F0885" w:rsidRPr="008A4DF7" w:rsidRDefault="00844997" w:rsidP="000F0885">
      <w:pPr>
        <w:pStyle w:val="Heading1"/>
      </w:pPr>
      <w:r w:rsidRPr="00143888">
        <w:lastRenderedPageBreak/>
        <w:t>Introduction</w:t>
      </w:r>
      <w:bookmarkStart w:id="6" w:name="_Hlk194630513"/>
      <w:r w:rsidR="000F0885" w:rsidRPr="000F0885">
        <w:rPr>
          <w:noProof/>
        </w:rPr>
        <mc:AlternateContent>
          <mc:Choice Requires="wps">
            <w:drawing>
              <wp:anchor distT="91440" distB="91440" distL="365760" distR="365760" simplePos="0" relativeHeight="251665408" behindDoc="0" locked="0" layoutInCell="1" allowOverlap="1" wp14:anchorId="35E5760A" wp14:editId="68F222CB">
                <wp:simplePos x="0" y="0"/>
                <wp:positionH relativeFrom="margin">
                  <wp:align>right</wp:align>
                </wp:positionH>
                <wp:positionV relativeFrom="margin">
                  <wp:posOffset>847725</wp:posOffset>
                </wp:positionV>
                <wp:extent cx="5984875" cy="3211830"/>
                <wp:effectExtent l="0" t="0" r="0" b="7620"/>
                <wp:wrapTopAndBottom/>
                <wp:docPr id="146" name="Rectangle 152"/>
                <wp:cNvGraphicFramePr/>
                <a:graphic xmlns:a="http://schemas.openxmlformats.org/drawingml/2006/main">
                  <a:graphicData uri="http://schemas.microsoft.com/office/word/2010/wordprocessingShape">
                    <wps:wsp>
                      <wps:cNvSpPr/>
                      <wps:spPr>
                        <a:xfrm>
                          <a:off x="0" y="0"/>
                          <a:ext cx="5984875" cy="321227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6AD4CCE" w14:textId="0D3A1F9D" w:rsidR="000F0885" w:rsidRPr="000F0885" w:rsidRDefault="000F0885" w:rsidP="000F088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7B446C8C" w14:textId="77777777"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Urbanization in Juba, South Sudan, presents opportunities and challenges, straining infrastructure and environmental sustainability. Rapid, unplanned growth, driven by migration and weak governance, has led to informal settlements and resource shortages. This study uses machine learning (Random Forest) and geospatial analysis to predict urban expansion (2024–2033) based on historical Landsat data (1994–2023).</w:t>
                            </w:r>
                          </w:p>
                          <w:p w14:paraId="0B0520D0" w14:textId="77777777"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078281E3" w14:textId="42C3A103"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1492590B" w14:textId="5E7D808A" w:rsidR="000F0885" w:rsidRPr="000F0885" w:rsidRDefault="000F0885" w:rsidP="000F0885">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5760A" id="Rectangle 152" o:spid="_x0000_s1026" style="position:absolute;left:0;text-align:left;margin-left:420.05pt;margin-top:66.75pt;width:471.25pt;height:252.9pt;z-index:251665408;visibility:visible;mso-wrap-style:square;mso-width-percent:0;mso-height-percent:0;mso-wrap-distance-left:28.8pt;mso-wrap-distance-top:7.2pt;mso-wrap-distance-right:28.8pt;mso-wrap-distance-bottom:7.2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" filled="f" stroked="f" strokeweight="2pt">
                <v:textbox inset="10.8pt,0,10.8pt,0">
                  <w:txbxContent>
                    <w:p w14:paraId="06AD4CCE" w14:textId="0D3A1F9D" w:rsidR="000F0885" w:rsidRPr="000F0885" w:rsidRDefault="000F0885" w:rsidP="000F088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7B446C8C" w14:textId="77777777"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Urbanization in Juba, South Sudan, presents opportunities and challenges, straining infrastructure and environmental sustainability. Rapid, unplanned growth, driven by migration and weak governance, has led to informal settlements and resource shortages. This study uses machine learning (Random Forest) and geospatial analysis to predict urban expansion (2024–2033) based on historical Landsat data (1994–2023).</w:t>
                      </w:r>
                    </w:p>
                    <w:p w14:paraId="0B0520D0" w14:textId="77777777"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078281E3" w14:textId="42C3A103" w:rsidR="000F0885" w:rsidRPr="000F0885" w:rsidRDefault="000F0885" w:rsidP="000F088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0F0885">
                        <w:rPr>
                          <w:rFonts w:ascii="Times New Roman" w:hAnsi="Times New Roman" w:cs="Times New Roman"/>
                          <w:color w:val="4F81BD" w:themeColor="accent1"/>
                        </w:rPr>
                        <w:t>Key objectives include analyzing past trends, developing a predictive model, and assessing its accuracy. The findings will aid policymakers in sustainable planning, aligning with SDG 11 (sustainable cities). By forecasting growth, the study supports infrastructure development, environmental protection, and risk mitigation, ensuring Juba’s urbanization is resilient and equitable.</w:t>
                      </w:r>
                    </w:p>
                    <w:p w14:paraId="1492590B" w14:textId="5E7D808A" w:rsidR="000F0885" w:rsidRPr="000F0885" w:rsidRDefault="000F0885" w:rsidP="000F0885">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bookmarkEnd w:id="6"/>
    </w:p>
    <w:p w14:paraId="621C6FC8" w14:textId="4FE4F510" w:rsidR="00BE3DCB" w:rsidRDefault="00844997" w:rsidP="00F800B9">
      <w:pPr>
        <w:pStyle w:val="Heading2"/>
      </w:pPr>
      <w:r w:rsidRPr="00143888">
        <w:t xml:space="preserve">Background </w:t>
      </w:r>
    </w:p>
    <w:p w14:paraId="28EE1F38" w14:textId="3BE3AC3F" w:rsidR="009B66CA"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Urbanization is a defining characteristic of modern development, particularly in rapidly expanding cities within developing nations, like Juba in South Sudan. The process of urban growth introduces both opportunities and challenges, shaping the trajectory of economic and social progress </w:t>
      </w:r>
      <w:r w:rsidR="00C0397A"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{"citationID":"mgichOYD","properties":{"formattedCitation":"(Justin, 2017; Justin and and De Vries, 2019)","plainCitation":"(Justin, 2017; Justin and and De Vries, 2019)","noteIndex":0},"citationItems":[{"id":33,"uris":["http://zotero.org/users/16803167/items/N3GTBMPP"],"itemData":{"id":33,"type":"webpage","title":"South Sudan Governance: A Call for Federalism to Address : Marginalization and Prevent Armed Conflict Recurrence - 21_Justin Laku.pdf","URL":"https://sonar.ch/documents/324250/preview/21_Justin%20Laku.pdf","author":[{"family":"Justin","given":"Lako"}],"accessed":{"date-parts":[["2025",3,30]]},"issued":{"date-parts":[["2017",3]]}}},{"id":"z3TBblIN/NXfrVd2H","uris":["http://zotero.org/users/16803167/items/6XK73FUQ"],"itemData":{"id":29,"type":"article-journal","abstract":"South Sudan’s administrative boundaries stem from the colonial period. Since it gained independence in 2011, subsequent rounds of reshuffling of the political system, internal borders, and power relations have been a source of confusion, elite manipulation, and conflict throughout the country. This paper explores the impact of this confusion by focusing on multiple shifting linkages between administrative boundaries and identities and shows how the mobilization of ethnic identities has become central to territorial claims and creating territorial borders. We use three local conflicts in Central Equatoria State to illustrate how claims of belonging and entitlement are being used by elites for economic, political, and socio-cultural gains. The three cases also show how such manipulation increases the likelihood of ethnic division and conflict. Following the decision by the government in 2015 to increase the number of states from 10 to 28 in October 2015, further manipulation of borders and identities is likely to occur and could result in more violence, ethnic-based conflict, and human suffering.","container-title":"Journal of Borderlands Studies","DOI":"10.1080/08865655.2017.1294497","ISSN":"0886-5655","issue":"1","note":"publisher: Routledge\n_eprint: https://doi.org/10.1080/08865655.2017.1294497","page":"31-46","source":"Taylor and Francis+NEJM","title":"Governing Unclear Lines: Local Boundaries as a (Re)source of Conflict in South Sudan","title-short":"Governing Unclear Lines","volume":"34","author":[{"family":"Justin","given":"Peter Hakim"},{"family":"De Vries","given":"Lotje","non-dropping-particle":"and"}],"issued":{"date-parts":[["2019",1,1]]}}}],"schema":"https://github.com/citation-style-language/schema/raw/master/csl-citation.json"} </w:instrText>
      </w:r>
      <w:r w:rsidR="00C0397A" w:rsidRPr="00143888">
        <w:rPr>
          <w:rFonts w:ascii="Times New Roman" w:hAnsi="Times New Roman" w:cs="Times New Roman"/>
          <w:color w:val="000000"/>
          <w:sz w:val="24"/>
          <w:szCs w:val="24"/>
        </w:rPr>
        <w:fldChar w:fldCharType="separate"/>
      </w:r>
      <w:r w:rsidR="00C0397A" w:rsidRPr="00503423">
        <w:rPr>
          <w:rFonts w:ascii="Times New Roman" w:hAnsi="Times New Roman" w:cs="Times New Roman"/>
          <w:color w:val="0000FF"/>
          <w:sz w:val="24"/>
          <w:szCs w:val="24"/>
          <w:u w:val="single"/>
        </w:rPr>
        <w:t>(Justin, 2017; Justin and and De Vries, 2019)</w:t>
      </w:r>
      <w:r w:rsidR="00C0397A" w:rsidRPr="00143888">
        <w:rPr>
          <w:rFonts w:ascii="Times New Roman" w:hAnsi="Times New Roman" w:cs="Times New Roman"/>
          <w:color w:val="000000"/>
          <w:sz w:val="24"/>
          <w:szCs w:val="24"/>
        </w:rPr>
        <w:fldChar w:fldCharType="end"/>
      </w:r>
      <w:r w:rsidR="00E90CF0" w:rsidRPr="00143888">
        <w:rPr>
          <w:rFonts w:ascii="Times New Roman" w:hAnsi="Times New Roman" w:cs="Times New Roman"/>
          <w:color w:val="000000"/>
          <w:sz w:val="24"/>
          <w:szCs w:val="24"/>
        </w:rPr>
        <w:t xml:space="preserve">. </w:t>
      </w:r>
    </w:p>
    <w:p w14:paraId="248916EB" w14:textId="3AF4E49D" w:rsidR="009B66CA"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In regions such as South Sudan, the pace of urbanization is accelerated by a combination of population growth, migration trends, and economic transitions. While this expansion fosters economic opportunities and infrastructural advancements, it also places considerable strain on essential resources, including housing, transportation networks, public utilities, and environmental sustainability</w:t>
      </w:r>
      <w:r w:rsidR="00DE3AF6" w:rsidRPr="00143888">
        <w:rPr>
          <w:rFonts w:ascii="Times New Roman" w:hAnsi="Times New Roman" w:cs="Times New Roman"/>
          <w:color w:val="000000"/>
          <w:sz w:val="24"/>
          <w:szCs w:val="24"/>
        </w:rPr>
        <w:t xml:space="preserve"> </w:t>
      </w:r>
      <w:r w:rsidR="00DE3AF6" w:rsidRPr="00143888">
        <w:rPr>
          <w:rFonts w:ascii="Times New Roman" w:hAnsi="Times New Roman" w:cs="Times New Roman"/>
          <w:color w:val="000000"/>
          <w:sz w:val="24"/>
          <w:szCs w:val="24"/>
        </w:rPr>
        <w:fldChar w:fldCharType="begin"/>
      </w:r>
      <w:r w:rsidR="00DE3AF6" w:rsidRPr="00143888">
        <w:rPr>
          <w:rFonts w:ascii="Times New Roman" w:hAnsi="Times New Roman" w:cs="Times New Roman"/>
          <w:color w:val="000000"/>
          <w:sz w:val="24"/>
          <w:szCs w:val="24"/>
        </w:rPr>
        <w:instrText xml:space="preserve"> ADDIN ZOTERO_ITEM CSL_CITATION {"citationID":"lTm0xUot","properties":{"formattedCitation":"(Zeng {\\i{}et al.}, 2016; Jiang and Lv, 2022)","plainCitation":"(Zeng et al., 2016; Jiang and Lv, 2022)","noteIndex":0},"citationItems":[{"id":38,"uris":["http://zotero.org/users/16803167/items/W5NSRNXN"],"itemData":{"id":38,"type":"article-journal","abstract":"Abstract. The optimization of land-use allocation is one of important approaches to achieve regional sustainable development. This study selects Chang-Zhu-Tan agglomeration as study area and proposed a new land use optimization allocation model. Using multi-agent based simulation model, the future urban land use optimization allocation was simulated in 2020 and 2030 under three different scenarios. This kind of quantitative information about urban land use optimization allocation and urban expansions in future would be of great interest to urban planning, water and land resource management, and climate change research.","container-title":"The International Archives of the Photogrammetry, Remote Sensing and Spatial Information Sciences","DOI":"10.5194/isprs-archives-XLI-B8-1089-2016","ISSN":"2194-9034","journalAbbreviation":"Int. Arch. Photogramm. Remote Sens. Spatial Inf. Sci.","language":"en","license":"https://creativecommons.org/licenses/by/3.0/","page":"1089-1092","source":"DOI.org (Crossref)","title":"MULTI-AGENT BASED SIMULATION OF OPTIMAL URBAN LAND USE ALLOCATION IN THE MIDDLE REACHES OF THE YANGTZE RIVER, CHINA","volume":"XLI-B8","author":[{"family":"Zeng","given":"Y."},{"family":"Huang","given":"W."},{"family":"Jin","given":"W."},{"family":"Li","given":"S."}],"issued":{"date-parts":[["2016",6,24]]}}},{"id":40,"uris":["http://zotero.org/users/16803167/items/FE664DE5"],"itemData":{"id":40,"type":"article","abstract":"Abstract\n          The spatial distribution of the urban agglomeration population has changed increasingly in rapid urbanization. It affects the urban economy, environment, transportation, and so on. Therefore, it is of great significance to understand the changes in the spatial distribution of population in urban agglomerations. This study uses methods such as population center of gravity migration and Gini coefficient to explore changes in the spatial distribution of urban populations. The study found that the population center of the Beijing-Tianjin-Hebei urban agglomeration first migrated toward Beijing and then away from Beijing. During this process, the Gini coefficient increased from 0.62 to 0.64 and then decreased to 0.58, indicating that the population balance of the urban agglomeration first increased and then decreased. This result is consistent with the conclusion that we have established a simulated urban agglomeration for theoretical derivation. That is: in the early stage of urban agglomeration development, the population migrated to the central city; as the population of the central city became saturated, the urban agglomeration developed to a mature stage, and the population began to migrate to the peripheral cities. In this process, the population distribution center of urban agglomeration gradually shifted from central towns to peripheral towns. The degree of equilibrium in the spatial distribution of population has undergone an inverted u-shaped transition from non-equilibrium to equilibrium.","DOI":"10.21203/rs.3.rs-1244609/v1","license":"https://creativecommons.org/licenses/by/4.0/","publisher":"In Review","source":"DOI.org (Crossref)","title":"Changes in the spatial distribution of population in urban agglomerations: A spatial-temporal perspective","title-short":"Changes in the spatial distribution of population in urban agglomerations","URL":"https://www.researchsquare.com/article/rs-1244609/v1","author":[{"family":"Jiang","given":"Fangye"},{"family":"Lv","given":"Yanming"}],"accessed":{"date-parts":[["2025",3,30]]},"issued":{"date-parts":[["2022",1,27]]}}}],"schema":"https://github.com/citation-style-language/schema/raw/master/csl-citation.json"} </w:instrText>
      </w:r>
      <w:r w:rsidR="00DE3AF6" w:rsidRPr="00143888">
        <w:rPr>
          <w:rFonts w:ascii="Times New Roman" w:hAnsi="Times New Roman" w:cs="Times New Roman"/>
          <w:color w:val="000000"/>
          <w:sz w:val="24"/>
          <w:szCs w:val="24"/>
        </w:rPr>
        <w:fldChar w:fldCharType="separate"/>
      </w:r>
      <w:r w:rsidR="00DE3AF6" w:rsidRPr="00503423">
        <w:rPr>
          <w:rFonts w:ascii="Times New Roman" w:hAnsi="Times New Roman" w:cs="Times New Roman"/>
          <w:color w:val="0000FF"/>
          <w:sz w:val="24"/>
          <w:szCs w:val="24"/>
          <w:u w:val="single"/>
        </w:rPr>
        <w:t xml:space="preserve">(Zeng </w:t>
      </w:r>
      <w:r w:rsidR="00DE3AF6" w:rsidRPr="00503423">
        <w:rPr>
          <w:rFonts w:ascii="Times New Roman" w:hAnsi="Times New Roman" w:cs="Times New Roman"/>
          <w:i/>
          <w:iCs/>
          <w:color w:val="0000FF"/>
          <w:sz w:val="24"/>
          <w:szCs w:val="24"/>
          <w:u w:val="single"/>
        </w:rPr>
        <w:t>et al.</w:t>
      </w:r>
      <w:r w:rsidR="00DE3AF6" w:rsidRPr="00503423">
        <w:rPr>
          <w:rFonts w:ascii="Times New Roman" w:hAnsi="Times New Roman" w:cs="Times New Roman"/>
          <w:color w:val="0000FF"/>
          <w:sz w:val="24"/>
          <w:szCs w:val="24"/>
          <w:u w:val="single"/>
        </w:rPr>
        <w:t>, 2016; Jiang and Lv, 2022)</w:t>
      </w:r>
      <w:r w:rsidR="00DE3AF6" w:rsidRPr="00143888">
        <w:rPr>
          <w:rFonts w:ascii="Times New Roman" w:hAnsi="Times New Roman" w:cs="Times New Roman"/>
          <w:color w:val="000000"/>
          <w:sz w:val="24"/>
          <w:szCs w:val="24"/>
        </w:rPr>
        <w:fldChar w:fldCharType="end"/>
      </w:r>
      <w:r w:rsidR="00E90CF0" w:rsidRPr="00143888">
        <w:rPr>
          <w:rFonts w:ascii="Times New Roman" w:hAnsi="Times New Roman" w:cs="Times New Roman"/>
          <w:color w:val="000000"/>
          <w:sz w:val="24"/>
          <w:szCs w:val="24"/>
        </w:rPr>
        <w:t xml:space="preserve">. </w:t>
      </w:r>
    </w:p>
    <w:p w14:paraId="2C7C18E8" w14:textId="52305DBE" w:rsidR="00E90CF0"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many developing countries, the challenges associated with urban expansion are compounded by weak governance structures, fragile institutional frameworks, and a lack of comprehensive urban planning mechanisms. These factors contribute to the unregulated sprawl of cities, making it </w:t>
      </w:r>
      <w:r w:rsidRPr="00143888">
        <w:rPr>
          <w:rFonts w:ascii="Times New Roman" w:hAnsi="Times New Roman" w:cs="Times New Roman"/>
          <w:color w:val="000000"/>
          <w:sz w:val="24"/>
          <w:szCs w:val="24"/>
        </w:rPr>
        <w:lastRenderedPageBreak/>
        <w:t>increasingly difficult to implement effective development strategies</w:t>
      </w:r>
      <w:r w:rsidR="00DE3AF6" w:rsidRPr="00143888">
        <w:rPr>
          <w:rFonts w:ascii="Times New Roman" w:hAnsi="Times New Roman" w:cs="Times New Roman"/>
          <w:color w:val="000000"/>
          <w:sz w:val="24"/>
          <w:szCs w:val="24"/>
        </w:rPr>
        <w:fldChar w:fldCharType="begin"/>
      </w:r>
      <w:r w:rsidR="00DE3AF6" w:rsidRPr="00143888">
        <w:rPr>
          <w:rFonts w:ascii="Times New Roman" w:hAnsi="Times New Roman" w:cs="Times New Roman"/>
          <w:color w:val="000000"/>
          <w:sz w:val="24"/>
          <w:szCs w:val="24"/>
        </w:rPr>
        <w:instrText xml:space="preserve"> ADDIN ZOTERO_ITEM CSL_CITATION {"citationID":"vJyqfPxB","properties":{"formattedCitation":"(Zeng {\\i{}et al.}, 2016; Justin, 2017; Wild, Jok and Patel, 2018; Jiang and Lv, 2022)","plainCitation":"(Zeng et al., 2016; Justin, 2017; Wild, Jok and Patel, 2018; Jiang and Lv, 2022)","noteIndex":0},"citationItems":[{"id":38,"uris":["http://zotero.org/users/16803167/items/W5NSRNXN"],"itemData":{"id":38,"type":"article-journal","abstract":"Abstract. The optimization of land-use allocation is one of important approaches to achieve regional sustainable development. This study selects Chang-Zhu-Tan agglomeration as study area and proposed a new land use optimization allocation model. Using multi-agent based simulation model, the future urban land use optimization allocation was simulated in 2020 and 2030 under three different scenarios. This kind of quantitative information about urban land use optimization allocation and urban expansions in future would be of great interest to urban planning, water and land resource management, and climate change research.","container-title":"The International Archives of the Photogrammetry, Remote Sensing and Spatial Information Sciences","DOI":"10.5194/isprs-archives-XLI-B8-1089-2016","ISSN":"2194-9034","journalAbbreviation":"Int. Arch. Photogramm. Remote Sens. Spatial Inf. Sci.","language":"en","license":"https://creativecommons.org/licenses/by/3.0/","page":"1089-1092","source":"DOI.org (Crossref)","title":"MULTI-AGENT BASED SIMULATION OF OPTIMAL URBAN LAND USE ALLOCATION IN THE MIDDLE REACHES OF THE YANGTZE RIVER, CHINA","volume":"XLI-B8","author":[{"family":"Zeng","given":"Y."},{"family":"Huang","given":"W."},{"family":"Jin","given":"W."},{"family":"Li","given":"S."}],"issued":{"date-parts":[["2016",6,24]]}}},{"id":33,"uris":["http://zotero.org/users/16803167/items/N3GTBMPP"],"itemData":{"id":33,"type":"webpage","title":"South Sudan Governance: A Call for Federalism to Address : Marginalization and Prevent Armed Conflict Recurrence - 21_Justin Laku.pdf","URL":"https://sonar.ch/documents/324250/preview/21_Justin%20Laku.pdf","author":[{"family":"Justin","given":"Lako"}],"accessed":{"date-parts":[["2025",3,30]]},"issued":{"date-parts":[["2017",3]]}}},{"id":35,"uris":["http://zotero.org/users/16803167/items/MRKXXAH8"],"itemData":{"id":35,"type":"article-journal","container-title":"Journal of International Humanitarian Action","DOI":"10.1186/s41018-018-0030-y","issue":"1","journalAbbreviation":"Journal of International Humanitarian Action","title":"The Militarization of Cattle Raiding in South Sudan: How a Traditional Practice Became a Tool for Political Violence","volume":"3","author":[{"family":"Wild","given":"Hannah"},{"family":"Jok","given":"Jok Madut"},{"family":"Patel","given":"Ronak"}],"issued":{"date-parts":[["2018"]]}}},{"id":40,"uris":["http://zotero.org/users/16803167/items/FE664DE5"],"itemData":{"id":40,"type":"article","abstract":"Abstract\n          The spatial distribution of the urban agglomeration population has changed increasingly in rapid urbanization. It affects the urban economy, environment, transportation, and so on. Therefore, it is of great significance to understand the changes in the spatial distribution of population in urban agglomerations. This study uses methods such as population center of gravity migration and Gini coefficient to explore changes in the spatial distribution of urban populations. The study found that the population center of the Beijing-Tianjin-Hebei urban agglomeration first migrated toward Beijing and then away from Beijing. During this process, the Gini coefficient increased from 0.62 to 0.64 and then decreased to 0.58, indicating that the population balance of the urban agglomeration first increased and then decreased. This result is consistent with the conclusion that we have established a simulated urban agglomeration for theoretical derivation. That is: in the early stage of urban agglomeration development, the population migrated to the central city; as the population of the central city became saturated, the urban agglomeration developed to a mature stage, and the population began to migrate to the peripheral cities. In this process, the population distribution center of urban agglomeration gradually shifted from central towns to peripheral towns. The degree of equilibrium in the spatial distribution of population has undergone an inverted u-shaped transition from non-equilibrium to equilibrium.","DOI":"10.21203/rs.3.rs-1244609/v1","license":"https://creativecommons.org/licenses/by/4.0/","publisher":"In Review","source":"DOI.org (Crossref)","title":"Changes in the spatial distribution of population in urban agglomerations: A spatial-temporal perspective","title-short":"Changes in the spatial distribution of population in urban agglomerations","URL":"https://www.researchsquare.com/article/rs-1244609/v1","author":[{"family":"Jiang","given":"Fangye"},{"family":"Lv","given":"Yanming"}],"accessed":{"date-parts":[["2025",3,30]]},"issued":{"date-parts":[["2022",1,27]]}}}],"schema":"https://github.com/citation-style-language/schema/raw/master/csl-citation.json"} </w:instrText>
      </w:r>
      <w:r w:rsidR="00DE3AF6" w:rsidRPr="00143888">
        <w:rPr>
          <w:rFonts w:ascii="Times New Roman" w:hAnsi="Times New Roman" w:cs="Times New Roman"/>
          <w:color w:val="000000"/>
          <w:sz w:val="24"/>
          <w:szCs w:val="24"/>
        </w:rPr>
        <w:fldChar w:fldCharType="separate"/>
      </w:r>
      <w:r w:rsidR="00DE3AF6" w:rsidRPr="00503423">
        <w:rPr>
          <w:rFonts w:ascii="Times New Roman" w:hAnsi="Times New Roman" w:cs="Times New Roman"/>
          <w:color w:val="0000FF"/>
          <w:sz w:val="24"/>
          <w:szCs w:val="24"/>
          <w:u w:val="single"/>
        </w:rPr>
        <w:t xml:space="preserve">(Zeng </w:t>
      </w:r>
      <w:r w:rsidR="00DE3AF6" w:rsidRPr="00503423">
        <w:rPr>
          <w:rFonts w:ascii="Times New Roman" w:hAnsi="Times New Roman" w:cs="Times New Roman"/>
          <w:i/>
          <w:iCs/>
          <w:color w:val="0000FF"/>
          <w:sz w:val="24"/>
          <w:szCs w:val="24"/>
          <w:u w:val="single"/>
        </w:rPr>
        <w:t>et al.</w:t>
      </w:r>
      <w:r w:rsidR="00DE3AF6" w:rsidRPr="00503423">
        <w:rPr>
          <w:rFonts w:ascii="Times New Roman" w:hAnsi="Times New Roman" w:cs="Times New Roman"/>
          <w:color w:val="0000FF"/>
          <w:sz w:val="24"/>
          <w:szCs w:val="24"/>
          <w:u w:val="single"/>
        </w:rPr>
        <w:t>, 2016; Justin, 2017; Wild, Jok and Patel, 2018; Jiang and Lv, 2022)</w:t>
      </w:r>
      <w:r w:rsidR="00DE3AF6" w:rsidRPr="00143888">
        <w:rPr>
          <w:rFonts w:ascii="Times New Roman" w:hAnsi="Times New Roman" w:cs="Times New Roman"/>
          <w:color w:val="000000"/>
          <w:sz w:val="24"/>
          <w:szCs w:val="24"/>
        </w:rPr>
        <w:fldChar w:fldCharType="end"/>
      </w:r>
      <w:r w:rsidR="00E90CF0" w:rsidRPr="00143888">
        <w:rPr>
          <w:rFonts w:ascii="Times New Roman" w:hAnsi="Times New Roman" w:cs="Times New Roman"/>
          <w:color w:val="000000"/>
          <w:sz w:val="24"/>
          <w:szCs w:val="24"/>
        </w:rPr>
        <w:t xml:space="preserve">. </w:t>
      </w:r>
    </w:p>
    <w:p w14:paraId="3FA083C0" w14:textId="60E62CC2" w:rsidR="00F42C5B"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Addressing these complexities requires a multi-faceted approach that integrates sustainability principles while simultaneously tackling pressing concerns such as affordable housing, efficient public transportation, equitable resource distribution, and social inclusion. Aligning urban development strategies with global frameworks, particularly the United Nations Sustainable Development Goals (SDGs), is crucial in fostering long-term sustainability. In this context, SDG 11 (sustainable cities and communities), SDG 6 (clean water and sanitation), and SDG 13 (climate action) serve as guiding principles for ensuring balanced urban expansion</w:t>
      </w:r>
      <w:r w:rsidR="00F42C5B" w:rsidRPr="00143888">
        <w:rPr>
          <w:rFonts w:ascii="Times New Roman" w:hAnsi="Times New Roman" w:cs="Times New Roman"/>
          <w:color w:val="000000"/>
          <w:sz w:val="24"/>
          <w:szCs w:val="24"/>
        </w:rPr>
        <w:fldChar w:fldCharType="begin"/>
      </w:r>
      <w:r w:rsidR="00F42C5B" w:rsidRPr="00143888">
        <w:rPr>
          <w:rFonts w:ascii="Times New Roman" w:hAnsi="Times New Roman" w:cs="Times New Roman"/>
          <w:color w:val="000000"/>
          <w:sz w:val="24"/>
          <w:szCs w:val="24"/>
        </w:rPr>
        <w:instrText xml:space="preserve"> ADDIN ZOTERO_ITEM CSL_CITATION {"citationID":"gSedMKQO","properties":{"formattedCitation":"(Zeng {\\i{}et al.}, 2016; Maqbool {\\i{}et al.}, 2020)","plainCitation":"(Zeng et al., 2016; Maqbool et al., 2020)","noteIndex":0},"citationItems":[{"id":38,"uris":["http://zotero.org/users/16803167/items/W5NSRNXN"],"itemData":{"id":38,"type":"article-journal","abstract":"Abstract. The optimization of land-use allocation is one of important approaches to achieve regional sustainable development. This study selects Chang-Zhu-Tan agglomeration as study area and proposed a new land use optimization allocation model. Using multi-agent based simulation model, the future urban land use optimization allocation was simulated in 2020 and 2030 under three different scenarios. This kind of quantitative information about urban land use optimization allocation and urban expansions in future would be of great interest to urban planning, water and land resource management, and climate change research.","container-title":"The International Archives of the Photogrammetry, Remote Sensing and Spatial Information Sciences","DOI":"10.5194/isprs-archives-XLI-B8-1089-2016","ISSN":"2194-9034","journalAbbreviation":"Int. Arch. Photogramm. Remote Sens. Spatial Inf. Sci.","language":"en","license":"https://creativecommons.org/licenses/by/3.0/","page":"1089-1092","source":"DOI.org (Crossref)","title":"MULTI-AGENT BASED SIMULATION OF OPTIMAL URBAN LAND USE ALLOCATION IN THE MIDDLE REACHES OF THE YANGTZE RIVER, CHINA","volume":"XLI-B8","author":[{"family":"Zeng","given":"Y."},{"family":"Huang","given":"W."},{"family":"Jin","given":"W."},{"family":"Li","given":"S."}],"issued":{"date-parts":[["2016",6,24]]}}},{"id":44,"uris":["http://zotero.org/users/16803167/items/DVRRZJJ9"],"itemData":{"id":44,"type":"article-journal","abstract":"This study aims to propose an application of agent based modeling (ABM) and simulation for disaster mitigation in an urban region of Pakistan. Pakistan has been working over the past few decades to reduce the risk factor of disasters by using different disaster management approaches. However, these efforts are in an early stage. Although lack of planning and unchecked urbanization are the main hurdles, insufficient resources in terms of technology is also a major contributing factor that impedes achieving desired results. In this paper, we are proposing ABM and simulation of approaches using geographical information system (GIS) maps for disaster management in the urban locality of Pakistan. The conceptual model was implemented for analysis of resource allocation (RA) of first response units (ambulances, fire brigade, etc.). In the proposed model, we used two allocation algorithms; high severity level (HSL) and first come first serve (FCFS). These algorithms were simulated in NetLogo by creating a hypothetical disaster scenario in Rawalpindi city. In our experiments, the design was based on demand, resource agents, and their allocation behavior for disaster management. We analyzed the resource allocation mechanism using average wait time, overall number of demands, execution time, and unallocated demands as performance measures.","container-title":"ISPRS International Journal of Geo-Information","DOI":"10.3390/ijgi9040203","ISSN":"2220-9964","issue":"4","journalAbbreviation":"IJGI","language":"en","license":"https://creativecommons.org/licenses/by/4.0/","page":"203","source":"DOI.org (Crossref)","title":"Disaster Mitigation in Urban Pakistan Using Agent Based Modeling with GIS","volume":"9","author":[{"family":"Maqbool","given":"Ayesha"},{"family":"Usmani","given":"Zain Ul Abideen"},{"family":"Afzal","given":"Farkhanda"},{"family":"Razia","given":"Alia"}],"issued":{"date-parts":[["2020",3,27]]}}}],"schema":"https://github.com/citation-style-language/schema/raw/master/csl-citation.json"} </w:instrText>
      </w:r>
      <w:r w:rsidR="00F42C5B" w:rsidRPr="00143888">
        <w:rPr>
          <w:rFonts w:ascii="Times New Roman" w:hAnsi="Times New Roman" w:cs="Times New Roman"/>
          <w:color w:val="000000"/>
          <w:sz w:val="24"/>
          <w:szCs w:val="24"/>
        </w:rPr>
        <w:fldChar w:fldCharType="separate"/>
      </w:r>
      <w:r w:rsidR="00F42C5B" w:rsidRPr="00503423">
        <w:rPr>
          <w:rFonts w:ascii="Times New Roman" w:hAnsi="Times New Roman" w:cs="Times New Roman"/>
          <w:color w:val="0000FF"/>
          <w:sz w:val="24"/>
          <w:szCs w:val="24"/>
          <w:u w:val="single"/>
        </w:rPr>
        <w:t xml:space="preserve">(Zeng </w:t>
      </w:r>
      <w:r w:rsidR="00F42C5B" w:rsidRPr="00503423">
        <w:rPr>
          <w:rFonts w:ascii="Times New Roman" w:hAnsi="Times New Roman" w:cs="Times New Roman"/>
          <w:i/>
          <w:iCs/>
          <w:color w:val="0000FF"/>
          <w:sz w:val="24"/>
          <w:szCs w:val="24"/>
          <w:u w:val="single"/>
        </w:rPr>
        <w:t>et al.</w:t>
      </w:r>
      <w:r w:rsidR="00F42C5B" w:rsidRPr="00503423">
        <w:rPr>
          <w:rFonts w:ascii="Times New Roman" w:hAnsi="Times New Roman" w:cs="Times New Roman"/>
          <w:color w:val="0000FF"/>
          <w:sz w:val="24"/>
          <w:szCs w:val="24"/>
          <w:u w:val="single"/>
        </w:rPr>
        <w:t xml:space="preserve">, 2016; Maqbool </w:t>
      </w:r>
      <w:r w:rsidR="00F42C5B" w:rsidRPr="00503423">
        <w:rPr>
          <w:rFonts w:ascii="Times New Roman" w:hAnsi="Times New Roman" w:cs="Times New Roman"/>
          <w:i/>
          <w:iCs/>
          <w:color w:val="0000FF"/>
          <w:sz w:val="24"/>
          <w:szCs w:val="24"/>
          <w:u w:val="single"/>
        </w:rPr>
        <w:t>et al.</w:t>
      </w:r>
      <w:r w:rsidR="00F42C5B" w:rsidRPr="00503423">
        <w:rPr>
          <w:rFonts w:ascii="Times New Roman" w:hAnsi="Times New Roman" w:cs="Times New Roman"/>
          <w:color w:val="0000FF"/>
          <w:sz w:val="24"/>
          <w:szCs w:val="24"/>
          <w:u w:val="single"/>
        </w:rPr>
        <w:t>, 2020)</w:t>
      </w:r>
      <w:r w:rsidR="00F42C5B" w:rsidRPr="00143888">
        <w:rPr>
          <w:rFonts w:ascii="Times New Roman" w:hAnsi="Times New Roman" w:cs="Times New Roman"/>
          <w:color w:val="000000"/>
          <w:sz w:val="24"/>
          <w:szCs w:val="24"/>
        </w:rPr>
        <w:fldChar w:fldCharType="end"/>
      </w:r>
      <w:r w:rsidR="00F42C5B" w:rsidRPr="00143888">
        <w:rPr>
          <w:rFonts w:ascii="Times New Roman" w:hAnsi="Times New Roman" w:cs="Times New Roman"/>
          <w:color w:val="000000"/>
          <w:sz w:val="24"/>
          <w:szCs w:val="24"/>
        </w:rPr>
        <w:t>.</w:t>
      </w:r>
    </w:p>
    <w:p w14:paraId="0AACD04C" w14:textId="6B9B20B5" w:rsidR="009B66CA" w:rsidRPr="00F800B9" w:rsidRDefault="009B66CA" w:rsidP="00F800B9">
      <w:pPr>
        <w:rPr>
          <w:b/>
          <w:bCs/>
        </w:rPr>
      </w:pPr>
      <w:r w:rsidRPr="00F800B9">
        <w:rPr>
          <w:b/>
          <w:bCs/>
        </w:rPr>
        <w:t>Historical Context of South Sudan’s Urban Growth</w:t>
      </w:r>
    </w:p>
    <w:p w14:paraId="2CEC61A1" w14:textId="58C9A8DE" w:rsidR="00BE3DCB"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The urbanization trajectory of South Sudan is deeply intertwined with its socio-political history. Decades of conflict and political instability have shaped the nation's development, culminating in its secession from Sudan. On July 9, 2011, South Sudan officially became an independent nation following a referendum, making it the world’s newest sovereign state and Africa’s 54th country. This historic event marked the beginning of a new chapter for the nation, one defined by both aspirations for progress and the daunting task of post-conflict reconstruction </w:t>
      </w:r>
      <w:r w:rsidR="00970291"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{"citationID":"4UY1BYHj","properties":{"formattedCitation":"(UN-HABITAT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70291" w:rsidRPr="00143888">
        <w:rPr>
          <w:rFonts w:ascii="Times New Roman" w:hAnsi="Times New Roman" w:cs="Times New Roman"/>
          <w:color w:val="000000"/>
          <w:sz w:val="24"/>
          <w:szCs w:val="24"/>
        </w:rPr>
        <w:fldChar w:fldCharType="separate"/>
      </w:r>
      <w:r w:rsidR="00F87FB4" w:rsidRPr="00503423">
        <w:rPr>
          <w:rFonts w:ascii="Times New Roman" w:hAnsi="Times New Roman" w:cs="Times New Roman"/>
          <w:color w:val="0000FF"/>
          <w:sz w:val="24"/>
          <w:szCs w:val="24"/>
          <w:u w:val="single"/>
        </w:rPr>
        <w:t xml:space="preserve">(UN-HABITAT </w:t>
      </w:r>
      <w:r w:rsidR="00F87FB4" w:rsidRPr="00503423">
        <w:rPr>
          <w:rFonts w:ascii="Times New Roman" w:hAnsi="Times New Roman" w:cs="Times New Roman"/>
          <w:i/>
          <w:iCs/>
          <w:color w:val="0000FF"/>
          <w:sz w:val="24"/>
          <w:szCs w:val="24"/>
          <w:u w:val="single"/>
        </w:rPr>
        <w:t>et al.</w:t>
      </w:r>
      <w:r w:rsidR="00F87FB4" w:rsidRPr="00503423">
        <w:rPr>
          <w:rFonts w:ascii="Times New Roman" w:hAnsi="Times New Roman" w:cs="Times New Roman"/>
          <w:color w:val="0000FF"/>
          <w:sz w:val="24"/>
          <w:szCs w:val="24"/>
          <w:u w:val="single"/>
        </w:rPr>
        <w:t>, 2023)</w:t>
      </w:r>
      <w:r w:rsidR="00970291"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As a newly established country emerging from prolonged civil wars, South Sudan has faced significant hurdles in building its economy, infrastructure, and governance structures. The post-independence period has been characterized by efforts to stabilize the nation, foster economic growth, and rebuild critical institutions. However, these ambitions have been met with persistent challenges, including ongoing political tensions, economic instability, and weak governance capacity </w:t>
      </w:r>
      <w:r w:rsidR="00970291"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{"citationID":"ezXw3DDe","properties":{"formattedCitation":"(UN-HABITAT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70291" w:rsidRPr="00143888">
        <w:rPr>
          <w:rFonts w:ascii="Times New Roman" w:hAnsi="Times New Roman" w:cs="Times New Roman"/>
          <w:color w:val="000000"/>
          <w:sz w:val="24"/>
          <w:szCs w:val="24"/>
        </w:rPr>
        <w:fldChar w:fldCharType="separate"/>
      </w:r>
      <w:r w:rsidR="00F87FB4" w:rsidRPr="00503423">
        <w:rPr>
          <w:rFonts w:ascii="Times New Roman" w:hAnsi="Times New Roman" w:cs="Times New Roman"/>
          <w:color w:val="0000FF"/>
          <w:sz w:val="24"/>
          <w:szCs w:val="24"/>
          <w:u w:val="single"/>
        </w:rPr>
        <w:t xml:space="preserve">(UN-HABITAT </w:t>
      </w:r>
      <w:r w:rsidR="00F87FB4" w:rsidRPr="00503423">
        <w:rPr>
          <w:rFonts w:ascii="Times New Roman" w:hAnsi="Times New Roman" w:cs="Times New Roman"/>
          <w:i/>
          <w:iCs/>
          <w:color w:val="0000FF"/>
          <w:sz w:val="24"/>
          <w:szCs w:val="24"/>
          <w:u w:val="single"/>
        </w:rPr>
        <w:t>et al.</w:t>
      </w:r>
      <w:r w:rsidR="00F87FB4" w:rsidRPr="00503423">
        <w:rPr>
          <w:rFonts w:ascii="Times New Roman" w:hAnsi="Times New Roman" w:cs="Times New Roman"/>
          <w:color w:val="0000FF"/>
          <w:sz w:val="24"/>
          <w:szCs w:val="24"/>
          <w:u w:val="single"/>
        </w:rPr>
        <w:t>, 2023)</w:t>
      </w:r>
      <w:r w:rsidR="00970291"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w:t>
      </w:r>
    </w:p>
    <w:p w14:paraId="471268A5" w14:textId="0978179B" w:rsidR="005D4E93" w:rsidRPr="00F800B9" w:rsidRDefault="005D4E93" w:rsidP="00F800B9">
      <w:pPr>
        <w:rPr>
          <w:b/>
          <w:bCs/>
        </w:rPr>
      </w:pPr>
      <w:r w:rsidRPr="00F800B9">
        <w:rPr>
          <w:b/>
          <w:bCs/>
        </w:rPr>
        <w:t>Juba: South Sudan’s Epicenter of Rapid Urbanization</w:t>
      </w:r>
    </w:p>
    <w:p w14:paraId="1AC0E09C" w14:textId="73891704" w:rsidR="005D4E93"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Juba, the capital and largest city of South Sudan, has been at the forefront of the country’s urban expansion, experiencing substantial demographic and infrastructural transformations </w:t>
      </w:r>
      <w:r w:rsidR="009132D9"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{"citationID":"dHnMoVt8","properties":{"formattedCitation":"(Justin, 2017; Justin and and De Vries, 2019; Salvatore {\\i{}et al.}, 2023)","plainCitation":"(Justin, 2017; Justin and and De Vries, 2019; Salvatore et al., 2023)","dontUpdate":true,"noteIndex":0},"citationItems":[{"id":33,"uris":["http://zotero.org/users/16803167/items/N3GTBMPP"],"itemData":{"id":33,"type":"webpage","title":"South Sudan Governance: A Call for Federalism to Address : Marginalization and Prevent Armed Conflict Recurrence - 21_Justin Laku.pdf","URL":"https://sonar.ch/documents/324250/preview/21_Justin%20Laku.pdf","author":[{"family":"Justin","given":"Lako"}],"accessed":{"date-parts":[["2025",3,30]]},"issued":{"date-parts":[["2017",3]]}}},{"id":"z3TBblIN/NXfrVd2H","uris":["http://zotero.org/users/16803167/items/6XK73FUQ"],"itemData":{"id":"izuXWwAi/82BClxb5","type":"article-journal","abstract":"South Sudan’s administrative boundaries stem from the colonial period. Since it gained independence in 2011, subsequent rounds of reshuffling of the political system, internal borders, and power relations have been a source of confusion, elite manipulation, and conflict throughout the country. This paper explores the impact of this confusion by focusing on multiple shifting linkages between administrative boundaries and identities and shows how the mobilization of ethnic identities has become central to territorial claims and creating territorial borders. We use three local conflicts in Central Equatoria State to illustrate how claims of belonging and entitlement are being used by elites for economic, political, and socio-cultural gains. The three cases also show how such manipulation increases the likelihood of ethnic division and conflict. Following the decision by the government in 2015 to increase the number of states from 10 to 28 in October 2015, further manipulation of borders and identities is likely to occur and could result in more violence, ethnic-based conflict, and human suffering.","container-title":"Journal of Borderlands Studies","DOI":"10.1080/08865655.2017.1294497","ISSN":"0886-5655","issue":"1","note":"publisher: Routledge\n_eprint: https://doi.org/10.1080/08865655.2017.1294497","page":"31-46","source":"Taylor and Francis+NEJM","title":"Governing Unclear Lines: Local Boundaries as a (Re)source of Conflict in South Sudan","title-short":"Governing Unclear Lines","volume":"34","author":[{"family":"Justin","given":"Peter Hakim"},{"family":"De Vries","given":"Lotje","non-dropping-particle":"and"}],"issued":{"date-parts":[["2019",1,1]]}}},{"id":46,"uris":["http://zotero.org/users/16803167/items/FCK9LEVF"],"itemData":{"id":46,"type":"webpage","title":"Juba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9132D9" w:rsidRPr="00503423">
        <w:rPr>
          <w:rFonts w:ascii="Times New Roman" w:hAnsi="Times New Roman" w:cs="Times New Roman"/>
          <w:color w:val="0000FF"/>
          <w:sz w:val="24"/>
          <w:szCs w:val="24"/>
          <w:u w:val="single"/>
        </w:rPr>
        <w:t xml:space="preserve">(Justin, 2017; Justin and De Vries, 2019; Salvatore </w:t>
      </w:r>
      <w:r w:rsidR="009132D9" w:rsidRPr="00503423">
        <w:rPr>
          <w:rFonts w:ascii="Times New Roman" w:hAnsi="Times New Roman" w:cs="Times New Roman"/>
          <w:i/>
          <w:iCs/>
          <w:color w:val="0000FF"/>
          <w:sz w:val="24"/>
          <w:szCs w:val="24"/>
          <w:u w:val="single"/>
        </w:rPr>
        <w:t>et al.</w:t>
      </w:r>
      <w:r w:rsidR="009132D9" w:rsidRPr="00503423">
        <w:rPr>
          <w:rFonts w:ascii="Times New Roman" w:hAnsi="Times New Roman" w:cs="Times New Roman"/>
          <w:color w:val="0000FF"/>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The city’s growth has been driven by multiple interrelated factors, including rural-to-urban migration, economic activities, and large-scale reconstruction efforts following years of civil conflict. After South Sudan gained independence, Juba became a major destination for displaced populations, returning refugees, and migrants seeking employment, security, and access to essential services</w:t>
      </w:r>
      <w:r w:rsidR="009132D9" w:rsidRPr="00143888">
        <w:rPr>
          <w:rFonts w:ascii="Times New Roman" w:hAnsi="Times New Roman" w:cs="Times New Roman"/>
          <w:color w:val="000000"/>
          <w:sz w:val="24"/>
          <w:szCs w:val="24"/>
        </w:rPr>
        <w:t xml:space="preserve"> </w:t>
      </w:r>
      <w:r w:rsidR="009132D9"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{"citationID":"s9iqhZVd","properties":{"formattedCitation":"(UN-HABITAT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F87FB4" w:rsidRPr="00503423">
        <w:rPr>
          <w:rFonts w:ascii="Times New Roman" w:hAnsi="Times New Roman" w:cs="Times New Roman"/>
          <w:color w:val="0000FF"/>
          <w:sz w:val="24"/>
          <w:szCs w:val="24"/>
          <w:u w:val="single"/>
        </w:rPr>
        <w:t xml:space="preserve">(UN-HABITAT </w:t>
      </w:r>
      <w:r w:rsidR="00F87FB4" w:rsidRPr="00503423">
        <w:rPr>
          <w:rFonts w:ascii="Times New Roman" w:hAnsi="Times New Roman" w:cs="Times New Roman"/>
          <w:i/>
          <w:iCs/>
          <w:color w:val="0000FF"/>
          <w:sz w:val="24"/>
          <w:szCs w:val="24"/>
          <w:u w:val="single"/>
        </w:rPr>
        <w:t>et al.</w:t>
      </w:r>
      <w:r w:rsidR="00F87FB4" w:rsidRPr="00503423">
        <w:rPr>
          <w:rFonts w:ascii="Times New Roman" w:hAnsi="Times New Roman" w:cs="Times New Roman"/>
          <w:color w:val="0000FF"/>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 xml:space="preserve">The influx of people into Juba has led to a surge in housing demand, transforming the city's spatial </w:t>
      </w:r>
      <w:r w:rsidRPr="00143888">
        <w:rPr>
          <w:rFonts w:ascii="Times New Roman" w:hAnsi="Times New Roman" w:cs="Times New Roman"/>
          <w:color w:val="000000"/>
          <w:sz w:val="24"/>
          <w:szCs w:val="24"/>
        </w:rPr>
        <w:lastRenderedPageBreak/>
        <w:t>landscape. Previously undeveloped areas and agricultural lands are being rapidly converted into residential, commercial, and industrial zones to accommodate the growing population</w:t>
      </w:r>
      <w:r w:rsidR="009132D9" w:rsidRPr="00143888">
        <w:rPr>
          <w:rFonts w:ascii="Times New Roman" w:hAnsi="Times New Roman" w:cs="Times New Roman"/>
          <w:color w:val="000000"/>
          <w:sz w:val="24"/>
          <w:szCs w:val="24"/>
        </w:rPr>
        <w:t xml:space="preserve"> </w:t>
      </w:r>
      <w:r w:rsidR="009132D9"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{"citationID":"8rMvPnKD","properties":{"formattedCitation":"(UN-HABITAT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F87FB4" w:rsidRPr="00503423">
        <w:rPr>
          <w:rFonts w:ascii="Times New Roman" w:hAnsi="Times New Roman" w:cs="Times New Roman"/>
          <w:color w:val="0000FF"/>
          <w:sz w:val="24"/>
          <w:szCs w:val="24"/>
          <w:u w:val="single"/>
        </w:rPr>
        <w:t xml:space="preserve">(UN-HABITAT </w:t>
      </w:r>
      <w:r w:rsidR="00F87FB4" w:rsidRPr="00503423">
        <w:rPr>
          <w:rFonts w:ascii="Times New Roman" w:hAnsi="Times New Roman" w:cs="Times New Roman"/>
          <w:i/>
          <w:iCs/>
          <w:color w:val="0000FF"/>
          <w:sz w:val="24"/>
          <w:szCs w:val="24"/>
          <w:u w:val="single"/>
        </w:rPr>
        <w:t>et al.</w:t>
      </w:r>
      <w:r w:rsidR="00F87FB4" w:rsidRPr="00503423">
        <w:rPr>
          <w:rFonts w:ascii="Times New Roman" w:hAnsi="Times New Roman" w:cs="Times New Roman"/>
          <w:color w:val="0000FF"/>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 xml:space="preserve">However, this expansion has largely been unplanned, resulting in sprawling informal settlements that lack adequate infrastructure and basic services. The unregulated nature of urban expansion has created significant challenges for city planners, including inefficient land use, encroachments on environmentally sensitive areas, and the proliferation of slums </w:t>
      </w:r>
      <w:r w:rsidR="009132D9"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{"citationID":"pWCjnQA5","properties":{"formattedCitation":"(Justin and and De Vries, 2019; UN-HABITAT {\\i{}et al.}, 2023)","plainCitation":"(Justin and and De Vries, 2019; UN-HABITAT et al., 2023)","noteIndex":0},"citationItems":[{"id":"z3TBblIN/NXfrVd2H","uris":["http://zotero.org/users/16803167/items/6XK73FUQ"],"itemData":{"id":"izuXWwAi/82BClxb5","type":"article-journal","abstract":"South Sudan’s administrative boundaries stem from the colonial period. Since it gained independence in 2011, subsequent rounds of reshuffling of the political system, internal borders, and power relations have been a source of confusion, elite manipulation, and conflict throughout the country. This paper explores the impact of this confusion by focusing on multiple shifting linkages between administrative boundaries and identities and shows how the mobilization of ethnic identities has become central to territorial claims and creating territorial borders. We use three local conflicts in Central Equatoria State to illustrate how claims of belonging and entitlement are being used by elites for economic, political, and socio-cultural gains. The three cases also show how such manipulation increases the likelihood of ethnic division and conflict. Following the decision by the government in 2015 to increase the number of states from 10 to 28 in October 2015, further manipulation of borders and identities is likely to occur and could result in more violence, ethnic-based conflict, and human suffering.","container-title":"Journal of Borderlands Studies","DOI":"10.1080/08865655.2017.1294497","ISSN":"0886-5655","issue":"1","note":"publisher: Routledge\n_eprint: https://doi.org/10.1080/08865655.2017.1294497","page":"31-46","source":"Taylor and Francis+NEJM","title":"Governing Unclear Lines: Local Boundaries as a (Re)source of Conflict in South Sudan","title-short":"Governing Unclear Lines","volume":"34","author":[{"family":"Justin","given":"Peter Hakim"},{"family":"De Vries","given":"Lotje","non-dropping-particle":"and"}],"issued":{"date-parts":[["2019",1,1]]}}},{"id":46,"uris":["http://zotero.org/users/16803167/items/FCK9LEVF"],"itemData":{"id":46,"type":"webpage","title":"Juba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F87FB4" w:rsidRPr="00503423">
        <w:rPr>
          <w:rFonts w:ascii="Times New Roman" w:hAnsi="Times New Roman" w:cs="Times New Roman"/>
          <w:color w:val="0000FF"/>
          <w:sz w:val="24"/>
          <w:szCs w:val="24"/>
          <w:u w:val="single"/>
        </w:rPr>
        <w:t xml:space="preserve">(Justin and and De Vries, 2019; UN-HABITAT </w:t>
      </w:r>
      <w:r w:rsidR="00F87FB4" w:rsidRPr="00503423">
        <w:rPr>
          <w:rFonts w:ascii="Times New Roman" w:hAnsi="Times New Roman" w:cs="Times New Roman"/>
          <w:i/>
          <w:iCs/>
          <w:color w:val="0000FF"/>
          <w:sz w:val="24"/>
          <w:szCs w:val="24"/>
          <w:u w:val="single"/>
        </w:rPr>
        <w:t>et al.</w:t>
      </w:r>
      <w:r w:rsidR="00F87FB4" w:rsidRPr="00503423">
        <w:rPr>
          <w:rFonts w:ascii="Times New Roman" w:hAnsi="Times New Roman" w:cs="Times New Roman"/>
          <w:color w:val="0000FF"/>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p>
    <w:p w14:paraId="58ED07DD" w14:textId="6DDA6695" w:rsidR="005D4E93" w:rsidRPr="00F800B9" w:rsidRDefault="005D4E93" w:rsidP="00F800B9">
      <w:pPr>
        <w:rPr>
          <w:b/>
          <w:bCs/>
        </w:rPr>
      </w:pPr>
      <w:r w:rsidRPr="00F800B9">
        <w:rPr>
          <w:b/>
          <w:bCs/>
        </w:rPr>
        <w:t>Infrastructure Struggles and Urban Challenges</w:t>
      </w:r>
    </w:p>
    <w:p w14:paraId="63C7FB72" w14:textId="4F640685" w:rsidR="009132D9"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As Juba continues to expand, its infrastructure development has struggled to keep pace with the growing demands of its residents. The city faces critical deficits in essential urban services, including roads, housing, sanitation systems, and public transportation. Many neighborhoods experience chronic congestion due to poorly maintained road networks and inadequate transportation options. The lack of a reliable waste management system has exacerbated environmental pollution, while deficiencies in water supply and electricity distribution remain major concerns for both residents and businesses </w:t>
      </w:r>
      <w:r w:rsidR="009132D9"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{"citationID":"RSXncKa7","properties":{"formattedCitation":"(UN-HABITAT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132D9" w:rsidRPr="00143888">
        <w:rPr>
          <w:rFonts w:ascii="Times New Roman" w:hAnsi="Times New Roman" w:cs="Times New Roman"/>
          <w:color w:val="000000"/>
          <w:sz w:val="24"/>
          <w:szCs w:val="24"/>
        </w:rPr>
        <w:fldChar w:fldCharType="separate"/>
      </w:r>
      <w:r w:rsidR="00F87FB4" w:rsidRPr="00503423">
        <w:rPr>
          <w:rFonts w:ascii="Times New Roman" w:hAnsi="Times New Roman" w:cs="Times New Roman"/>
          <w:color w:val="0000FF"/>
          <w:sz w:val="24"/>
          <w:szCs w:val="24"/>
          <w:u w:val="single"/>
        </w:rPr>
        <w:t xml:space="preserve">(UN-HABITAT </w:t>
      </w:r>
      <w:r w:rsidR="00F87FB4" w:rsidRPr="00503423">
        <w:rPr>
          <w:rFonts w:ascii="Times New Roman" w:hAnsi="Times New Roman" w:cs="Times New Roman"/>
          <w:i/>
          <w:iCs/>
          <w:color w:val="0000FF"/>
          <w:sz w:val="24"/>
          <w:szCs w:val="24"/>
          <w:u w:val="single"/>
        </w:rPr>
        <w:t>et al.</w:t>
      </w:r>
      <w:r w:rsidR="00F87FB4" w:rsidRPr="00503423">
        <w:rPr>
          <w:rFonts w:ascii="Times New Roman" w:hAnsi="Times New Roman" w:cs="Times New Roman"/>
          <w:color w:val="0000FF"/>
          <w:sz w:val="24"/>
          <w:szCs w:val="24"/>
          <w:u w:val="single"/>
        </w:rPr>
        <w:t>, 2023)</w:t>
      </w:r>
      <w:r w:rsidR="009132D9"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w:t>
      </w:r>
    </w:p>
    <w:p w14:paraId="4AE9C1C3" w14:textId="275D9513" w:rsidR="009132D9"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Furthermore, Juba's evolving urban environment reflects stark contrasts between modern development and persistent infrastructural deficits. High-rise buildings, commercial hubs, and new business centers are emerging alongside informal settlements, highlighting the disparities in urban planning and resource distribution. The rapid transformation of Juba's cityscape underscores both the opportunities and challenges associated with urban growth. On one hand, the city’s expansion presents prospects for economic development, increased investments, and improved public services. On the other hand, the lack of coordinated planning and sustainable urban policies threatens long-term resilience and livability</w:t>
      </w:r>
      <w:r w:rsidR="00970291" w:rsidRPr="00143888">
        <w:rPr>
          <w:rFonts w:ascii="Times New Roman" w:hAnsi="Times New Roman" w:cs="Times New Roman"/>
          <w:color w:val="000000"/>
          <w:sz w:val="24"/>
          <w:szCs w:val="24"/>
        </w:rPr>
        <w:t xml:space="preserve"> </w:t>
      </w:r>
      <w:r w:rsidR="00970291"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{"citationID":"i6dBsdN6","properties":{"formattedCitation":"(UN-HABITAT {\\i{}et al.}, 2023)","plainCitation":"(UN-HABITAT et al., 2023)","noteIndex":0},"citationItems":[{"id":46,"uris":["http://zotero.org/users/16803167/items/FCK9LEVF"],"itemData":{"id":46,"type":"webpage","title":"Juba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970291" w:rsidRPr="00143888">
        <w:rPr>
          <w:rFonts w:ascii="Times New Roman" w:hAnsi="Times New Roman" w:cs="Times New Roman"/>
          <w:color w:val="000000"/>
          <w:sz w:val="24"/>
          <w:szCs w:val="24"/>
        </w:rPr>
        <w:fldChar w:fldCharType="separate"/>
      </w:r>
      <w:r w:rsidR="00F87FB4" w:rsidRPr="00503423">
        <w:rPr>
          <w:rFonts w:ascii="Times New Roman" w:hAnsi="Times New Roman" w:cs="Times New Roman"/>
          <w:color w:val="0000FF"/>
          <w:sz w:val="24"/>
          <w:szCs w:val="24"/>
          <w:u w:val="single"/>
        </w:rPr>
        <w:t xml:space="preserve">(UN-HABITAT </w:t>
      </w:r>
      <w:r w:rsidR="00F87FB4" w:rsidRPr="00503423">
        <w:rPr>
          <w:rFonts w:ascii="Times New Roman" w:hAnsi="Times New Roman" w:cs="Times New Roman"/>
          <w:i/>
          <w:iCs/>
          <w:color w:val="0000FF"/>
          <w:sz w:val="24"/>
          <w:szCs w:val="24"/>
          <w:u w:val="single"/>
        </w:rPr>
        <w:t>et al.</w:t>
      </w:r>
      <w:r w:rsidR="00F87FB4" w:rsidRPr="00503423">
        <w:rPr>
          <w:rFonts w:ascii="Times New Roman" w:hAnsi="Times New Roman" w:cs="Times New Roman"/>
          <w:color w:val="0000FF"/>
          <w:sz w:val="24"/>
          <w:szCs w:val="24"/>
          <w:u w:val="single"/>
        </w:rPr>
        <w:t>, 2023)</w:t>
      </w:r>
      <w:r w:rsidR="00970291"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w:t>
      </w:r>
    </w:p>
    <w:p w14:paraId="266D0542" w14:textId="4448310D" w:rsidR="00E90CF0" w:rsidRPr="00143888" w:rsidRDefault="005D4E93"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Therefore, Juba’s rapid urbanization calls for urgent need for comprehensive and sustainable urban planning. As the city continues to grow, it is imperative to implement policies that balance development with environmental conservation, social equity, and infrastructural efficiency. Addressing these challenges requires a collaborative approach involving government agencies, urban planners, and international development organizations. By integrating modern urban planning techniques, investing in resilient infrastructure, and aligning growth strategies with global sustainability frameworks, Juba can navigate its urbanization trajectory in a manner that promotes long-term prosperity and stability</w:t>
      </w:r>
    </w:p>
    <w:p w14:paraId="222B324C" w14:textId="5286B227" w:rsidR="009132D9" w:rsidRPr="00143888" w:rsidRDefault="00844997" w:rsidP="00F800B9">
      <w:pPr>
        <w:pStyle w:val="Heading2"/>
      </w:pPr>
      <w:r w:rsidRPr="00143888">
        <w:lastRenderedPageBreak/>
        <w:t xml:space="preserve">Problem Statement </w:t>
      </w:r>
    </w:p>
    <w:p w14:paraId="0D362AFA" w14:textId="754E332A" w:rsidR="00050F6E" w:rsidRPr="00143888" w:rsidRDefault="00E030DD"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Urban growth, as conceptualized by the United Nations Human Settlements Program (UN-Habitat), refers to the progressive expansion of towns and cities in terms of both spatial extent and population size</w:t>
      </w:r>
      <w:r w:rsidR="00F87FB4" w:rsidRPr="00143888">
        <w:rPr>
          <w:rFonts w:ascii="Times New Roman" w:hAnsi="Times New Roman" w:cs="Times New Roman"/>
          <w:color w:val="000000"/>
          <w:sz w:val="24"/>
          <w:szCs w:val="24"/>
        </w:rPr>
        <w:t xml:space="preserve"> </w:t>
      </w:r>
      <w:r w:rsidR="00F87FB4" w:rsidRPr="00143888">
        <w:rPr>
          <w:rFonts w:ascii="Times New Roman" w:hAnsi="Times New Roman" w:cs="Times New Roman"/>
          <w:color w:val="000000"/>
          <w:sz w:val="24"/>
          <w:szCs w:val="24"/>
        </w:rPr>
        <w:fldChar w:fldCharType="begin"/>
      </w:r>
      <w:r w:rsidR="00F87FB4" w:rsidRPr="00143888">
        <w:rPr>
          <w:rFonts w:ascii="Times New Roman" w:hAnsi="Times New Roman" w:cs="Times New Roman"/>
          <w:color w:val="000000"/>
          <w:sz w:val="24"/>
          <w:szCs w:val="24"/>
        </w:rPr>
        <w:instrText xml:space="preserve"> ADDIN ZOTERO_ITEM CSL_CITATION {"citationID":"RtP1eaqT","properties":{"formattedCitation":"(UN-HABITAT, 2006)","plainCitation":"(UN-HABITAT, 2006)","noteIndex":0},"citationItems":[{"id":48,"uris":["http://zotero.org/users/16803167/items/HRLDAH38"],"itemData":{"id":48,"type":"webpage","title":"Meeting Development Goals in Small Urban Centres - Water and Sanitation in the World's Cities 2006 | UN-Habitat","URL":"https://unhabitat.org/meeting-development-goals-in-small-urban-centres-water-and-sanitation-in-the-worlds-cities-2006","author":[{"family":"UN-HABITAT","given":""}],"accessed":{"date-parts":[["2025",3,30]]},"issued":{"date-parts":[["2006"]]}}}],"schema":"https://github.com/citation-style-language/schema/raw/master/csl-citation.json"} </w:instrText>
      </w:r>
      <w:r w:rsidR="00F87FB4" w:rsidRPr="00143888">
        <w:rPr>
          <w:rFonts w:ascii="Times New Roman" w:hAnsi="Times New Roman" w:cs="Times New Roman"/>
          <w:color w:val="000000"/>
          <w:sz w:val="24"/>
          <w:szCs w:val="24"/>
        </w:rPr>
        <w:fldChar w:fldCharType="separate"/>
      </w:r>
      <w:r w:rsidR="00F87FB4" w:rsidRPr="00503423">
        <w:rPr>
          <w:rFonts w:ascii="Times New Roman" w:hAnsi="Times New Roman" w:cs="Times New Roman"/>
          <w:color w:val="0000FF"/>
          <w:sz w:val="24"/>
          <w:szCs w:val="24"/>
          <w:u w:val="single"/>
        </w:rPr>
        <w:t>(UN-HABITAT, 2006)</w:t>
      </w:r>
      <w:r w:rsidR="00F87FB4"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This dynamic phenomenon unfolds through two primary mechanisms: inward growth, which is characterized by an increase in population density and intensified land use within pre-existing urban boundaries, and outward growth, which involves the physical expansion of urban areas into surrounding rural or undeveloped regions. These growth patterns are particularly pronounced in rapidly urbanizing regions, where economic, social, and demographic factors collectively contribute to the transformation of urban landscapes</w:t>
      </w:r>
      <w:r w:rsidR="00AB1157" w:rsidRPr="00143888">
        <w:rPr>
          <w:rFonts w:ascii="Times New Roman" w:hAnsi="Times New Roman" w:cs="Times New Roman"/>
          <w:color w:val="000000"/>
          <w:sz w:val="24"/>
          <w:szCs w:val="24"/>
        </w:rPr>
        <w:t xml:space="preserve"> </w:t>
      </w:r>
      <w:r w:rsidR="00AB1157" w:rsidRPr="00143888">
        <w:rPr>
          <w:rFonts w:ascii="Times New Roman" w:hAnsi="Times New Roman" w:cs="Times New Roman"/>
          <w:color w:val="000000"/>
          <w:sz w:val="24"/>
          <w:szCs w:val="24"/>
        </w:rPr>
        <w:fldChar w:fldCharType="begin"/>
      </w:r>
      <w:r w:rsidR="00AB1157" w:rsidRPr="00143888">
        <w:rPr>
          <w:rFonts w:ascii="Times New Roman" w:hAnsi="Times New Roman" w:cs="Times New Roman"/>
          <w:color w:val="000000"/>
          <w:sz w:val="24"/>
          <w:szCs w:val="24"/>
        </w:rPr>
        <w:instrText xml:space="preserve"> ADDIN ZOTERO_ITEM CSL_CITATION {"citationID":"DCG9tygg","properties":{"formattedCitation":"(Sexton {\\i{}et al.}, 2013)","plainCitation":"(Sexton et al., 2013)","noteIndex":0},"citationItems":[{"id":50,"uris":["http://zotero.org/users/16803167/items/27TMG4WA"],"itemData":{"id":50,"type":"article-journal","abstract":"Cities and surrounding suburbs are Earth's fastest growing land use. Urban impervious surfaces affect hydrological and energy balances, as well as biological composition and functioning of ecosystems. Although datasets have been produced documenting urban growth at multiple time periods in coarse intervals, there remains an unmet need for observations spanning multiple decades at high frequency. We have developed an empirical method for retrieving annual, long-term continuous fields of impervious surface cover from the Landsat archive and applied it to the Washington, D.C.–Baltimore, MD megalopolis from 1984 to 2010. Fitting and applying a single regression model over time, the method relies on a multi-annual training sample of high-resolution impervious cover layers tied to coincident intra- and inter-annual Landsat image composites. These predictor images are composited and normalized to maximize discrimination of impervious surfaces from intermittently bare agricultural fields and minimize inter-annual variation due to phenology, solar illumination, and atmospheric noise. Excluding the year 2009 due to lack of data availability resulting from nearly continual winter snow cover, the resulting dataset is a continuous-field representation of impervious surface cover at 30-m horizontal and annual temporal resolution from 1984 to 2010. Average error was approximately ±6% cover, with outliers due to shadows from large buildings in winter images. The region's impervious surface cover grew from 881 to 1176±11km2 over the 27-year span—an average annual gain of approximately 11±2km2/year—with great variability among local municipalities in terms of rate of development. Patterns including intensification (i.e., “infill”) and expansion (i.e., exurban or “sprawl”) of development, as well as fragmentation and isolation of natural areas were clearly visible in the data at various places and times. Neither impervious surface loss nor deceleration of growth were observed in any of the cities or counties over the study span. These findings show that empirical retrieval of impervious coverage at the spatial and temporal scale of the Landsat archive is possible using dense time-stacks of calibrated Landsat images, and that long-term records such as this can provide new opportunities for analyzing land-use patterns and their underlying causes to improve understanding of socio-economic processes and human–environment interactions.","container-title":"Remote Sensing of Environment","DOI":"10.1016/j.rse.2012.10.025","ISSN":"0034-4257","journalAbbreviation":"Remote Sensing of Environment","page":"42-53","source":"ScienceDirect","title":"Urban growth of the Washington, D.C.–Baltimore, MD metropolitan region from 1984 to 2010 by annual, Landsat-based estimates of impervious cover","volume":"129","author":[{"family":"Sexton","given":"Joseph O."},{"family":"Song","given":"Xiao-Peng"},{"family":"Huang","given":"Chengquan"},{"family":"Channan","given":"Saurabh"},{"family":"Baker","given":"Matthew E."},{"family":"Townshend","given":"John R."}],"issued":{"date-parts":[["2013",2,15]]}}}],"schema":"https://github.com/citation-style-language/schema/raw/master/csl-citation.json"} </w:instrText>
      </w:r>
      <w:r w:rsidR="00AB1157" w:rsidRPr="00143888">
        <w:rPr>
          <w:rFonts w:ascii="Times New Roman" w:hAnsi="Times New Roman" w:cs="Times New Roman"/>
          <w:color w:val="000000"/>
          <w:sz w:val="24"/>
          <w:szCs w:val="24"/>
        </w:rPr>
        <w:fldChar w:fldCharType="separate"/>
      </w:r>
      <w:r w:rsidR="00AB1157" w:rsidRPr="00503423">
        <w:rPr>
          <w:rFonts w:ascii="Times New Roman" w:hAnsi="Times New Roman" w:cs="Times New Roman"/>
          <w:color w:val="0000FF"/>
          <w:sz w:val="24"/>
          <w:szCs w:val="24"/>
          <w:u w:val="single"/>
        </w:rPr>
        <w:t xml:space="preserve">(Sexton </w:t>
      </w:r>
      <w:r w:rsidR="00AB1157" w:rsidRPr="00503423">
        <w:rPr>
          <w:rFonts w:ascii="Times New Roman" w:hAnsi="Times New Roman" w:cs="Times New Roman"/>
          <w:i/>
          <w:iCs/>
          <w:color w:val="0000FF"/>
          <w:sz w:val="24"/>
          <w:szCs w:val="24"/>
          <w:u w:val="single"/>
        </w:rPr>
        <w:t>et al.</w:t>
      </w:r>
      <w:r w:rsidR="00AB1157" w:rsidRPr="00503423">
        <w:rPr>
          <w:rFonts w:ascii="Times New Roman" w:hAnsi="Times New Roman" w:cs="Times New Roman"/>
          <w:color w:val="0000FF"/>
          <w:sz w:val="24"/>
          <w:szCs w:val="24"/>
          <w:u w:val="single"/>
        </w:rPr>
        <w:t>, 2013)</w:t>
      </w:r>
      <w:r w:rsidR="00AB1157" w:rsidRPr="00143888">
        <w:rPr>
          <w:rFonts w:ascii="Times New Roman" w:hAnsi="Times New Roman" w:cs="Times New Roman"/>
          <w:color w:val="000000"/>
          <w:sz w:val="24"/>
          <w:szCs w:val="24"/>
        </w:rPr>
        <w:fldChar w:fldCharType="end"/>
      </w:r>
      <w:r w:rsidR="003D2C93" w:rsidRPr="00143888">
        <w:rPr>
          <w:rFonts w:ascii="Times New Roman" w:hAnsi="Times New Roman" w:cs="Times New Roman"/>
          <w:color w:val="000000"/>
          <w:sz w:val="24"/>
          <w:szCs w:val="24"/>
        </w:rPr>
        <w:t>.</w:t>
      </w:r>
      <w:r w:rsidR="001E2E32" w:rsidRPr="00143888">
        <w:rPr>
          <w:rFonts w:ascii="Times New Roman" w:hAnsi="Times New Roman" w:cs="Times New Roman"/>
          <w:color w:val="000000"/>
          <w:sz w:val="24"/>
          <w:szCs w:val="24"/>
        </w:rPr>
        <w:t xml:space="preserve"> </w:t>
      </w:r>
      <w:r w:rsidRPr="00143888">
        <w:rPr>
          <w:rFonts w:ascii="Times New Roman" w:hAnsi="Times New Roman" w:cs="Times New Roman"/>
          <w:sz w:val="24"/>
          <w:szCs w:val="24"/>
        </w:rPr>
        <w:t>However, urban growth is a multifaceted process that extends beyond simple expansion, significantly influencing both human settlements and the environment at large</w:t>
      </w:r>
      <w:r w:rsidR="00AB1157" w:rsidRPr="00143888">
        <w:rPr>
          <w:rFonts w:ascii="Times New Roman" w:hAnsi="Times New Roman" w:cs="Times New Roman"/>
          <w:color w:val="000000"/>
          <w:sz w:val="24"/>
          <w:szCs w:val="24"/>
        </w:rPr>
        <w:t xml:space="preserve"> </w:t>
      </w:r>
      <w:r w:rsidR="00AB1157" w:rsidRPr="00143888">
        <w:rPr>
          <w:rFonts w:ascii="Times New Roman" w:hAnsi="Times New Roman" w:cs="Times New Roman"/>
          <w:color w:val="000000"/>
          <w:sz w:val="24"/>
          <w:szCs w:val="24"/>
        </w:rPr>
        <w:fldChar w:fldCharType="begin"/>
      </w:r>
      <w:r w:rsidR="00AB1157" w:rsidRPr="00143888">
        <w:rPr>
          <w:rFonts w:ascii="Times New Roman" w:hAnsi="Times New Roman" w:cs="Times New Roman"/>
          <w:color w:val="000000"/>
          <w:sz w:val="24"/>
          <w:szCs w:val="24"/>
        </w:rPr>
        <w:instrText xml:space="preserve"> ADDIN ZOTERO_ITEM CSL_CITATION {"citationID":"Dul6SPU5","properties":{"formattedCitation":"(Munthali and Murayama, 2011; Khawaldah, Farhan and Alzboun, 2020)","plainCitation":"(Munthali and Murayama, 2011; Khawaldah, Farhan and Alzboun, 2020)","noteIndex":0},"citationItems":[{"id":52,"uris":["http://zotero.org/users/16803167/items/MXW2J2D3"],"itemData":{"id":52,"type":"article-journal","abstract":"Natural ecological systems continue to be under severe threat from human influence in Malawi and Dzalanyama forest reserve in particular. To assist the relevant stakeholders understand the full extent of the problem and push for a reversal of the trend, a scenario analysis of the near-past, present and near-future deforestation levels was presented using fuzzy classification, the basic overlay and Markov chain analysis techniques. In trying to draw awareness by quantifying the gravity of the situation, the analysis has established that not only are the deforestation magnitudes worrisome but also that the trends will continue in the foreseeable future. The analysis also hinted on the complex factors driving the land cover changes. While acknowledging the roles played by population growth and poverty on deforestation, the influence of the changing economic opportunities triggered by social, political and infrastructural changes impacting on the rural population surrounding the forest reserve cannot be overemphasized. Upon deriving the direction and magnitude of change it is therefore only prudent that measures to address the problem should invoke and build on an all inclusive approach towards provision of a sustainable solution.","collection-title":"International Conference: Spatial Thinking and Geographic Information Sciences 2011","container-title":"Procedia - Social and Behavioral Sciences","DOI":"10.1016/j.sbspro.2011.07.035","ISSN":"1877-0428","journalAbbreviation":"Procedia - Social and Behavioral Sciences","page":"203-211","source":"ScienceDirect","title":"Land use/cover change detection and analysis for Dzalanyama forest reserve, Lilongwe, Malawi","volume":"21","author":[{"family":"Munthali","given":"Kondwani G."},{"family":"Murayama","given":"Yuji"}],"issued":{"date-parts":[["2011",1,1]]}}},{"id":58,"uris":["http://zotero.org/users/16803167/items/VHRA8JUR"],"itemData":{"id":58,"type":"article-journal","abstract":"This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model","volume":"6","author":[{"family":"Khawaldah","given":"Hamzah"},{"family":"Farhan","given":"Ibrahim"},{"family":"Alzboun","given":"Nidal"}],"issued":{"date-parts":[["2020",2,1]]}}}],"schema":"https://github.com/citation-style-language/schema/raw/master/csl-citation.json"} </w:instrText>
      </w:r>
      <w:r w:rsidR="00AB1157" w:rsidRPr="00143888">
        <w:rPr>
          <w:rFonts w:ascii="Times New Roman" w:hAnsi="Times New Roman" w:cs="Times New Roman"/>
          <w:color w:val="000000"/>
          <w:sz w:val="24"/>
          <w:szCs w:val="24"/>
        </w:rPr>
        <w:fldChar w:fldCharType="separate"/>
      </w:r>
      <w:r w:rsidR="00AB1157" w:rsidRPr="00503423">
        <w:rPr>
          <w:rFonts w:ascii="Times New Roman" w:hAnsi="Times New Roman" w:cs="Times New Roman"/>
          <w:color w:val="0000FF"/>
          <w:sz w:val="24"/>
          <w:szCs w:val="24"/>
          <w:u w:val="single"/>
        </w:rPr>
        <w:t>(Munthali and Murayama, 2011; Khawaldah, Farhan and Alzboun, 2020)</w:t>
      </w:r>
      <w:r w:rsidR="00AB1157"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w:t>
      </w:r>
    </w:p>
    <w:p w14:paraId="1A3A3856" w14:textId="72B4EB9A" w:rsidR="005D4E93" w:rsidRPr="00F800B9" w:rsidRDefault="005D4E93" w:rsidP="00143888">
      <w:pPr>
        <w:spacing w:line="360" w:lineRule="auto"/>
        <w:jc w:val="both"/>
        <w:rPr>
          <w:rFonts w:ascii="Times New Roman" w:hAnsi="Times New Roman" w:cs="Times New Roman"/>
          <w:b/>
          <w:color w:val="000000"/>
          <w:sz w:val="24"/>
          <w:szCs w:val="24"/>
        </w:rPr>
      </w:pPr>
      <w:r w:rsidRPr="00F800B9">
        <w:rPr>
          <w:rFonts w:ascii="Times New Roman" w:hAnsi="Times New Roman" w:cs="Times New Roman"/>
          <w:b/>
          <w:color w:val="000000"/>
          <w:sz w:val="24"/>
          <w:szCs w:val="24"/>
        </w:rPr>
        <w:t>Urban growth and land use changes</w:t>
      </w:r>
    </w:p>
    <w:p w14:paraId="7D61F04D" w14:textId="77777777" w:rsidR="00520029" w:rsidRPr="00143888" w:rsidRDefault="00E030DD"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As urban areas expand, they inevitably encroach upon previously undeveloped lands, leading to substantial alterations in Land Use and Land Cover (LULC). This transformation, broadly referred to as Land Use and Land Cover Change (LULCC), denotes modifications to the Earth's surface brought about by both human activities and natural processes over time and space </w:t>
      </w:r>
      <w:r w:rsidR="00050F6E" w:rsidRPr="00143888">
        <w:rPr>
          <w:rFonts w:ascii="Times New Roman" w:hAnsi="Times New Roman" w:cs="Times New Roman"/>
          <w:color w:val="000000"/>
          <w:sz w:val="24"/>
          <w:szCs w:val="24"/>
        </w:rPr>
        <w:fldChar w:fldCharType="begin"/>
      </w:r>
      <w:r w:rsidR="00050F6E" w:rsidRPr="00143888">
        <w:rPr>
          <w:rFonts w:ascii="Times New Roman" w:hAnsi="Times New Roman" w:cs="Times New Roman"/>
          <w:color w:val="000000"/>
          <w:sz w:val="24"/>
          <w:szCs w:val="24"/>
        </w:rPr>
        <w:instrText xml:space="preserve"> ADDIN ZOTERO_ITEM CSL_CITATION {"citationID":"fyven1KI","properties":{"formattedCitation":"(Rodr\\uc0\\u237{}guez-Cuenca, Alonso and Tam\\uc0\\u233{}s-Noriega, 2015)","plainCitation":"(Rodríguez-Cuenca, Alonso and Tamés-Noriega, 2015)","noteIndex":0},"citationItems":[{"id":65,"uris":["http://zotero.org/users/16803167/items/CW47LQ8N"],"itemData":{"id":65,"type":"paper-conference","abstract":"Urban growth and the development of urban plans make cities grow and substantially alter, in relatively short time periods, their land covers and land uses (LULC). To take control of this urban growth, it is im-portant to create and update the LULC database. In this work, a method to automatically extract land covers from satellite VHR imagery and LIDAR...","DOI":"10.2991/ifsa-eusflat-15.2015.139","event-title":"2015 Conference of the International Fuzzy Systems Association and the European Society for Fuzzy Logic and Technology (IFSA-EUSFLAT-15)","ISBN":"978-94-6252-077-6","language":"en","note":"ISSN: 1951-6851","page":"987-993","publisher":"Atlantis Press","source":"www.atlantis-press.com","title":"LULC database updating from VHR images and LIDAR data using evidence theory","URL":"https://www.atlantis-press.com/proceedings/ifsa-eusflat-15/23650","author":[{"family":"Rodríguez-Cuenca","given":"Borja"},{"family":"Alonso","given":"M. Concepción"},{"family":"Tamés-Noriega","given":"Agustín"}],"accessed":{"date-parts":[["2025",3,30]]},"issued":{"date-parts":[["2015",6]]}}}],"schema":"https://github.com/citation-style-language/schema/raw/master/csl-citation.json"}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050F6E" w:rsidRPr="00503423">
        <w:rPr>
          <w:rFonts w:ascii="Times New Roman" w:hAnsi="Times New Roman" w:cs="Times New Roman"/>
          <w:color w:val="0000FF"/>
          <w:sz w:val="24"/>
          <w:szCs w:val="24"/>
          <w:u w:val="single"/>
        </w:rPr>
        <w:t>(Rodríguez-Cuenca, Alonso and Tamés-Noriega, 2015)</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 xml:space="preserve">The driving forces behind LULCC include the growing demand for residential, commercial, and infrastructural development, which often results in the conversion of agricultural land and natural ecosystems into urbanized spaces. </w:t>
      </w:r>
    </w:p>
    <w:p w14:paraId="0C82E1D8" w14:textId="4E5A6859" w:rsidR="00050F6E" w:rsidRPr="00143888" w:rsidRDefault="00E030DD"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Research indicates that urban areas across the globe are expanding at an unprecedented pace, with projections forecasting further and more extensive growth in the coming decades</w:t>
      </w:r>
      <w:r w:rsidR="00050F6E" w:rsidRPr="00143888">
        <w:rPr>
          <w:rFonts w:ascii="Times New Roman" w:hAnsi="Times New Roman" w:cs="Times New Roman"/>
          <w:color w:val="000000"/>
          <w:sz w:val="24"/>
          <w:szCs w:val="24"/>
        </w:rPr>
        <w:t xml:space="preserve"> </w:t>
      </w:r>
      <w:r w:rsidR="00050F6E" w:rsidRPr="00143888">
        <w:rPr>
          <w:rFonts w:ascii="Times New Roman" w:hAnsi="Times New Roman" w:cs="Times New Roman"/>
          <w:color w:val="000000"/>
          <w:sz w:val="24"/>
          <w:szCs w:val="24"/>
        </w:rPr>
        <w:fldChar w:fldCharType="begin"/>
      </w:r>
      <w:r w:rsidR="00050F6E" w:rsidRPr="00143888">
        <w:rPr>
          <w:rFonts w:ascii="Times New Roman" w:hAnsi="Times New Roman" w:cs="Times New Roman"/>
          <w:color w:val="000000"/>
          <w:sz w:val="24"/>
          <w:szCs w:val="24"/>
        </w:rPr>
        <w:instrText xml:space="preserve"> ADDIN ZOTERO_ITEM CSL_CITATION {"citationID":"SANwr1Vi","properties":{"formattedCitation":"(Ishtiaque, Shrestha and Chhetri, 2017)","plainCitation":"(Ishtiaque, Shrestha and Chhetri, 2017)","noteIndex":0},"citationItems":[{"id":69,"uris":["http://zotero.org/users/16803167/items/CMFWNSKU"],"itemData":{"id":69,"type":"article-journal","abstract":"The Kathmandu Valley of Nepal epitomizes the growing urbanization trend spreading across the Himalayan foothills. This metropolitan valley has experienced a significant transformation of its landscapes in the last four decades resulting in substantial land use and land cover (LULC) change; however, no major systematic analysis of the urbanization trend and LULC has been conducted on this valley since 2000. When considering the importance of using LULC change as a window to study the broader changes in socio-ecological systems of this valley, our study first detected LULC change trajectories of this valley using four Landsat images of the year 1989, 1999, 2009, and 2016, and then analyzed the detected change in the light of a set of proximate causes and factors driving those changes. A pixel-based hybrid classification (unsupervised followed by supervised) approach was employed to classify these images into five LULC categories and analyze the LULC trajectories detected from them. Our results show that urban area expanded up to 412% in last three decades and the most of this expansion occurred with the conversions of 31% agricultural land. The majority of the urban expansion happened during 1989–2009, and it is still growing along the major roads in a concentric pattern, significantly altering the cityscape of the valley. The centrality feature of Kathmandu valley and the massive surge in rural-to-urban migration are identified as the primary proximate causes of the fast expansion of built-up areas and rapid conversions of agricultural areas.","container-title":"Environments","DOI":"10.3390/environments4040072","ISSN":"2076-3298","issue":"4","journalAbbreviation":"Environments","language":"en","license":"https://creativecommons.org/licenses/by/4.0/","page":"72","source":"DOI.org (Crossref)","title":"Rapid Urban Growth in the Kathmandu Valley, Nepal: Monitoring Land Use Land Cover Dynamics of a Himalayan City with Landsat Imageries","title-short":"Rapid Urban Growth in the Kathmandu Valley, Nepal","volume":"4","author":[{"family":"Ishtiaque","given":"Asif"},{"family":"Shrestha","given":"Milan"},{"family":"Chhetri","given":"Netra"}],"issued":{"date-parts":[["2017",10,8]]}}}],"schema":"https://github.com/citation-style-language/schema/raw/master/csl-citation.json"}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050F6E" w:rsidRPr="00503423">
        <w:rPr>
          <w:rFonts w:ascii="Times New Roman" w:hAnsi="Times New Roman" w:cs="Times New Roman"/>
          <w:color w:val="0000FF"/>
          <w:sz w:val="24"/>
          <w:szCs w:val="24"/>
          <w:u w:val="single"/>
        </w:rPr>
        <w:t>(Ishtiaque, Shrestha and Chhetri, 2017)</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 xml:space="preserve">Given the rapid nature of urbanization, the necessity of monitoring and predicting LULCC through change detection techniques has become increasingly crucial. Change detection methodologies facilitate the systematic tracking, analysis, and management of evolving spatial distributions of land resources, enabling informed decision-making for sustainable urban planning </w:t>
      </w:r>
      <w:r w:rsidR="00050F6E" w:rsidRPr="00143888">
        <w:rPr>
          <w:rFonts w:ascii="Times New Roman" w:hAnsi="Times New Roman" w:cs="Times New Roman"/>
          <w:color w:val="000000"/>
          <w:sz w:val="24"/>
          <w:szCs w:val="24"/>
        </w:rPr>
        <w:fldChar w:fldCharType="begin"/>
      </w:r>
      <w:r w:rsidR="00050F6E" w:rsidRPr="00143888">
        <w:rPr>
          <w:rFonts w:ascii="Times New Roman" w:hAnsi="Times New Roman" w:cs="Times New Roman"/>
          <w:color w:val="000000"/>
          <w:sz w:val="24"/>
          <w:szCs w:val="24"/>
        </w:rPr>
        <w:instrText xml:space="preserve"> ADDIN ZOTERO_ITEM CSL_CITATION {"citationID":"x4iLZ1Ue","properties":{"formattedCitation":"(Turner and Ruscher, 1988)","plainCitation":"(Turner and Ruscher, 1988)","noteIndex":0},"citationItems":[{"id":63,"uris":["http://zotero.org/users/16803167/items/SNTU5I33"],"itemData":{"id":63,"type":"article-journal","abstract":"The objectives of this study were to determine how landscape patterns in Georgia, USA have changed through time and whether the spatial patterns varied by physiographic region. Historical aerial photography was used to analyze spatial patterns of land use from the 1930's to the 1980's. Land use patterns were quantified by: (1) mean number and size of patches; (2) fractal dimension of patches; (3) amount of edge between land uses; and (4) indices of diversity, dominance, and contagion. Forest cover increased in aerial extent and in mean patch size. The mean size of agricultural patches increased in the coastal plain and decreased in the mountains and piedmont. Edges between land uses decreased through time, indicating less dissection of the landscape. Fractal dimensions also decreased, indicating simpler patch shapes. Indices of diversity and dominance differed through time but not among regions; the contagion index differed among regions but not through time. A geographic trend of decreasing diversity and increasing dominance and contagion was observed from the mountains to the lower coastal plain. Landscape patterns exhibited the greatest changes in the piedmont region. Overall, the Georgia landscape has become less fragmented and more connected during the past 50 years. Changing patterns in the landscape may have implications for many ecological processes and resources.","container-title":"Landscape Ecology","DOI":"10.1007/BF00157696","ISSN":"1572-9761","issue":"4","journalAbbreviation":"Landscape Ecol","language":"en","page":"241-251","source":"Springer Link","title":"Changes in landscape patterns in Georgia, USA","volume":"1","author":[{"family":"Turner","given":"Monica Goigel"},{"family":"Ruscher","given":"C. Lynn"}],"issued":{"date-parts":[["1988",9,1]]}}}],"schema":"https://github.com/citation-style-language/schema/raw/master/csl-citation.json"}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050F6E" w:rsidRPr="00503423">
        <w:rPr>
          <w:rFonts w:ascii="Times New Roman" w:hAnsi="Times New Roman" w:cs="Times New Roman"/>
          <w:color w:val="0000FF"/>
          <w:sz w:val="24"/>
          <w:szCs w:val="24"/>
          <w:u w:val="single"/>
        </w:rPr>
        <w:t>(Turner and Ruscher, 1988)</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w:t>
      </w:r>
      <w:r w:rsidR="009B66CA" w:rsidRPr="00143888">
        <w:rPr>
          <w:rFonts w:ascii="Times New Roman" w:hAnsi="Times New Roman" w:cs="Times New Roman"/>
          <w:color w:val="000000"/>
          <w:sz w:val="24"/>
          <w:szCs w:val="24"/>
        </w:rPr>
        <w:t xml:space="preserve"> Failure to adequately monitor these transformations can lead to haphazard urban expansion, inefficient infrastructure deployment, and heightened susceptibility to environmental hazards such as flooding, pollution, and resource depletion.</w:t>
      </w:r>
      <w:r w:rsidR="00050F6E" w:rsidRPr="00143888">
        <w:rPr>
          <w:rFonts w:ascii="Times New Roman" w:hAnsi="Times New Roman" w:cs="Times New Roman"/>
          <w:color w:val="000000"/>
          <w:sz w:val="24"/>
          <w:szCs w:val="24"/>
        </w:rPr>
        <w:t xml:space="preserve"> </w:t>
      </w:r>
    </w:p>
    <w:p w14:paraId="48A5CB12" w14:textId="6C199B6D" w:rsidR="005D4E93" w:rsidRPr="00F800B9" w:rsidRDefault="005D4E93" w:rsidP="00143888">
      <w:pPr>
        <w:spacing w:line="360" w:lineRule="auto"/>
        <w:jc w:val="both"/>
        <w:rPr>
          <w:rFonts w:ascii="Times New Roman" w:hAnsi="Times New Roman" w:cs="Times New Roman"/>
          <w:b/>
          <w:color w:val="000000"/>
          <w:sz w:val="24"/>
          <w:szCs w:val="24"/>
        </w:rPr>
      </w:pPr>
      <w:r w:rsidRPr="00F800B9">
        <w:rPr>
          <w:rFonts w:ascii="Times New Roman" w:hAnsi="Times New Roman" w:cs="Times New Roman"/>
          <w:b/>
          <w:color w:val="000000"/>
          <w:sz w:val="24"/>
          <w:szCs w:val="24"/>
        </w:rPr>
        <w:t>Rapid urban expansion in Juba</w:t>
      </w:r>
    </w:p>
    <w:p w14:paraId="0908CA1E" w14:textId="5EDCEC1E" w:rsidR="00050F6E"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lastRenderedPageBreak/>
        <w:t xml:space="preserve">Juba, the capital city of South Sudan, serves as a prime example of a rapidly urbanizing metropolis experiencing both densification within its core and sprawling expansion into peripheral areas. The surge in population within the city’s established boundaries has exerted immense pressure on public infrastructure and essential services, leading to a multitude of urban challenges, including overcrowding, traffic congestion, inadequate sanitation, and public health concerns. Simultaneously, the outward expansion of Juba has resulted in the transformation of surrounding agricultural land, forests, and wetlands into built-up areas, thereby significantly disrupting local ecosystems and biodiversity </w:t>
      </w:r>
      <w:r w:rsidR="00981667"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{"citationID":"aLCRXFyU","properties":{"formattedCitation":"(Gudo, Deng and Qureshi, 2022a)","plainCitation":"(Gudo, Deng and Qureshi, 2022a)","noteIndex":0},"citationItems":[{"id":"z3TBblIN/RtA5r3hs","uris":["http://zotero.org/users/16803167/items/CVJWRBRK"],"itemData":{"id":77,"type":"article-journal","abstract":"The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00981667" w:rsidRPr="00143888">
        <w:rPr>
          <w:rFonts w:ascii="Times New Roman" w:hAnsi="Times New Roman" w:cs="Times New Roman"/>
          <w:color w:val="000000"/>
          <w:sz w:val="24"/>
          <w:szCs w:val="24"/>
        </w:rPr>
        <w:fldChar w:fldCharType="separate"/>
      </w:r>
      <w:r w:rsidR="00981667" w:rsidRPr="00503423">
        <w:rPr>
          <w:rFonts w:ascii="Times New Roman" w:hAnsi="Times New Roman" w:cs="Times New Roman"/>
          <w:color w:val="0000FF"/>
          <w:sz w:val="24"/>
          <w:szCs w:val="24"/>
          <w:u w:val="single"/>
        </w:rPr>
        <w:t>(Gudo, Deng and Qureshi, 2022a)</w:t>
      </w:r>
      <w:r w:rsidR="00981667"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p>
    <w:p w14:paraId="7C942FFB" w14:textId="79A31E87" w:rsidR="00050F6E"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One of the most pressing challenges in managing Juba’s urban growth is the lack of comprehensive and up-to-date spatial data on LULCC</w:t>
      </w:r>
      <w:r w:rsidR="00050F6E" w:rsidRPr="00143888">
        <w:rPr>
          <w:rFonts w:ascii="Times New Roman" w:hAnsi="Times New Roman" w:cs="Times New Roman"/>
          <w:color w:val="000000"/>
          <w:sz w:val="24"/>
          <w:szCs w:val="24"/>
        </w:rPr>
        <w:t xml:space="preserve"> </w:t>
      </w:r>
      <w:r w:rsidR="00050F6E" w:rsidRPr="00143888">
        <w:rPr>
          <w:rFonts w:ascii="Times New Roman" w:hAnsi="Times New Roman" w:cs="Times New Roman"/>
          <w:color w:val="000000"/>
          <w:sz w:val="24"/>
          <w:szCs w:val="24"/>
        </w:rPr>
        <w:fldChar w:fldCharType="begin"/>
      </w:r>
      <w:r w:rsidR="00981667" w:rsidRPr="00143888">
        <w:rPr>
          <w:rFonts w:ascii="Times New Roman" w:hAnsi="Times New Roman" w:cs="Times New Roman"/>
          <w:color w:val="000000"/>
          <w:sz w:val="24"/>
          <w:szCs w:val="24"/>
        </w:rPr>
        <w:instrText xml:space="preserve"> ADDIN ZOTERO_ITEM CSL_CITATION {"citationID":"259xDdDC","properties":{"formattedCitation":"(Gudo, Deng and Qureshi, 2022b; UN-HABITAT {\\i{}et al.}, 2023)","plainCitation":"(Gudo, Deng and Qureshi, 2022b; UN-HABITAT et al., 2023)","noteIndex":0},"citationItems":[{"id":73,"uris":["http://zotero.org/users/16803167/items/9E273LWA"],"itemData":{"id":73,"type":"article-journal","abstract":"The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981667" w:rsidRPr="00503423">
        <w:rPr>
          <w:rFonts w:ascii="Times New Roman" w:hAnsi="Times New Roman" w:cs="Times New Roman"/>
          <w:color w:val="0000FF"/>
          <w:sz w:val="24"/>
          <w:szCs w:val="24"/>
          <w:u w:val="single"/>
        </w:rPr>
        <w:t xml:space="preserve">(Gudo, Deng and Qureshi, 2022b; UN-HABITAT </w:t>
      </w:r>
      <w:r w:rsidR="00981667" w:rsidRPr="00503423">
        <w:rPr>
          <w:rFonts w:ascii="Times New Roman" w:hAnsi="Times New Roman" w:cs="Times New Roman"/>
          <w:i/>
          <w:iCs/>
          <w:color w:val="0000FF"/>
          <w:sz w:val="24"/>
          <w:szCs w:val="24"/>
          <w:u w:val="single"/>
        </w:rPr>
        <w:t>et al.</w:t>
      </w:r>
      <w:r w:rsidR="00981667" w:rsidRPr="00503423">
        <w:rPr>
          <w:rFonts w:ascii="Times New Roman" w:hAnsi="Times New Roman" w:cs="Times New Roman"/>
          <w:color w:val="0000FF"/>
          <w:sz w:val="24"/>
          <w:szCs w:val="24"/>
          <w:u w:val="single"/>
        </w:rPr>
        <w:t>, 2023)</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r w:rsidRPr="00143888">
        <w:rPr>
          <w:rFonts w:ascii="Times New Roman" w:hAnsi="Times New Roman" w:cs="Times New Roman"/>
          <w:color w:val="000000"/>
          <w:sz w:val="24"/>
          <w:szCs w:val="24"/>
        </w:rPr>
        <w:t>The city's rapid and largely unregulated expansion, coupled with insufficient monitoring systems, presents substantial difficulties for urban planners and policymakers attempting to anticipate and address the implications of land use changes on infrastructure development and environmental sustainability. Consequently, large swathes of agricultural and natural lands are being converted into urban spaces, leading to altered hydrological patterns, exacerbated environmental degradation, and increased pollution levels</w:t>
      </w:r>
      <w:r w:rsidR="00050F6E" w:rsidRPr="00143888">
        <w:rPr>
          <w:rFonts w:ascii="Times New Roman" w:hAnsi="Times New Roman" w:cs="Times New Roman"/>
          <w:color w:val="000000"/>
          <w:sz w:val="24"/>
          <w:szCs w:val="24"/>
        </w:rPr>
        <w:fldChar w:fldCharType="begin"/>
      </w:r>
      <w:r w:rsidR="00981667" w:rsidRPr="00143888">
        <w:rPr>
          <w:rFonts w:ascii="Times New Roman" w:hAnsi="Times New Roman" w:cs="Times New Roman"/>
          <w:color w:val="000000"/>
          <w:sz w:val="24"/>
          <w:szCs w:val="24"/>
        </w:rPr>
        <w:instrText xml:space="preserve"> ADDIN ZOTERO_ITEM CSL_CITATION {"citationID":"joAXHAaa","properties":{"formattedCitation":"(Gudo, Deng and Qureshi, 2022b)","plainCitation":"(Gudo, Deng and Qureshi, 2022b)","noteIndex":0},"citationItems":[{"id":73,"uris":["http://zotero.org/users/16803167/items/9E273LWA"],"itemData":{"id":73,"type":"article-journal","abstract":"The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981667" w:rsidRPr="00503423">
        <w:rPr>
          <w:rFonts w:ascii="Times New Roman" w:hAnsi="Times New Roman" w:cs="Times New Roman"/>
          <w:color w:val="0000FF"/>
          <w:sz w:val="24"/>
          <w:szCs w:val="24"/>
          <w:u w:val="single"/>
        </w:rPr>
        <w:t>(Gudo, Deng and Qureshi, 2022b)</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w:t>
      </w:r>
    </w:p>
    <w:p w14:paraId="3A9C6DFF" w14:textId="576201B8" w:rsidR="005D4E93" w:rsidRPr="00143888" w:rsidRDefault="005D4E93" w:rsidP="00143888">
      <w:pPr>
        <w:spacing w:line="360" w:lineRule="auto"/>
        <w:jc w:val="both"/>
        <w:rPr>
          <w:rFonts w:ascii="Times New Roman" w:hAnsi="Times New Roman" w:cs="Times New Roman"/>
          <w:bCs/>
          <w:color w:val="000000"/>
          <w:sz w:val="24"/>
          <w:szCs w:val="24"/>
        </w:rPr>
      </w:pPr>
      <w:r w:rsidRPr="00143888">
        <w:rPr>
          <w:rFonts w:ascii="Times New Roman" w:hAnsi="Times New Roman" w:cs="Times New Roman"/>
          <w:bCs/>
          <w:color w:val="000000"/>
          <w:sz w:val="24"/>
          <w:szCs w:val="24"/>
        </w:rPr>
        <w:t>Challenges in urban monitoring and sustainable development</w:t>
      </w:r>
    </w:p>
    <w:p w14:paraId="196B8B07" w14:textId="314CBD9F" w:rsidR="00050F6E"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Traditional methods of monitoring urban growth, such as manual land surveys and historical satellite imagery analysis, often fall short in capturing the complexities associated with rapid urbanization, particularly in cities characterized by informal settlements and unregulated construction. The limitations inherent in these conventional approaches underscore the growing necessity for more sophisticated change detection methodologies and geospatial analytical techniques to effectively map and predict urban expansion patterns</w:t>
      </w:r>
      <w:r w:rsidR="00520029" w:rsidRPr="00143888">
        <w:rPr>
          <w:rFonts w:ascii="Times New Roman" w:hAnsi="Times New Roman" w:cs="Times New Roman"/>
          <w:color w:val="000000"/>
          <w:sz w:val="24"/>
          <w:szCs w:val="24"/>
        </w:rPr>
        <w:t xml:space="preserve"> </w:t>
      </w:r>
      <w:r w:rsidR="00050F6E" w:rsidRPr="00143888">
        <w:rPr>
          <w:rFonts w:ascii="Times New Roman" w:hAnsi="Times New Roman" w:cs="Times New Roman"/>
          <w:color w:val="000000"/>
          <w:sz w:val="24"/>
          <w:szCs w:val="24"/>
        </w:rPr>
        <w:fldChar w:fldCharType="begin"/>
      </w:r>
      <w:r w:rsidR="00050F6E" w:rsidRPr="00143888">
        <w:rPr>
          <w:rFonts w:ascii="Times New Roman" w:hAnsi="Times New Roman" w:cs="Times New Roman"/>
          <w:color w:val="000000"/>
          <w:sz w:val="24"/>
          <w:szCs w:val="24"/>
        </w:rPr>
        <w:instrText xml:space="preserve"> ADDIN ZOTERO_ITEM CSL_CITATION {"citationID":"S6whIIOy","properties":{"formattedCitation":"(Ishtiaque, Shrestha and Chhetri, 2017; Khawaldah, Farhan and Alzboun, 2020)","plainCitation":"(Ishtiaque, Shrestha and Chhetri, 2017; Khawaldah, Farhan and Alzboun, 2020)","noteIndex":0},"citationItems":[{"id":69,"uris":["http://zotero.org/users/16803167/items/CMFWNSKU"],"itemData":{"id":69,"type":"article-journal","abstract":"The Kathmandu Valley of Nepal epitomizes the growing urbanization trend spreading across the Himalayan foothills. This metropolitan valley has experienced a significant transformation of its landscapes in the last four decades resulting in substantial land use and land cover (LULC) change; however, no major systematic analysis of the urbanization trend and LULC has been conducted on this valley since 2000. When considering the importance of using LULC change as a window to study the broader changes in socio-ecological systems of this valley, our study first detected LULC change trajectories of this valley using four Landsat images of the year 1989, 1999, 2009, and 2016, and then analyzed the detected change in the light of a set of proximate causes and factors driving those changes. A pixel-based hybrid classification (unsupervised followed by supervised) approach was employed to classify these images into five LULC categories and analyze the LULC trajectories detected from them. Our results show that urban area expanded up to 412% in last three decades and the most of this expansion occurred with the conversions of 31% agricultural land. The majority of the urban expansion happened during 1989–2009, and it is still growing along the major roads in a concentric pattern, significantly altering the cityscape of the valley. The centrality feature of Kathmandu valley and the massive surge in rural-to-urban migration are identified as the primary proximate causes of the fast expansion of built-up areas and rapid conversions of agricultural areas.","container-title":"Environments","DOI":"10.3390/environments4040072","ISSN":"2076-3298","issue":"4","journalAbbreviation":"Environments","language":"en","license":"https://creativecommons.org/licenses/by/4.0/","page":"72","source":"DOI.org (Crossref)","title":"Rapid Urban Growth in the Kathmandu Valley, Nepal: Monitoring Land Use Land Cover Dynamics of a Himalayan City with Landsat Imageries","title-short":"Rapid Urban Growth in the Kathmandu Valley, Nepal","volume":"4","author":[{"family":"Ishtiaque","given":"Asif"},{"family":"Shrestha","given":"Milan"},{"family":"Chhetri","given":"Netra"}],"issued":{"date-parts":[["2017",10,8]]}}},{"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model","volume":"6","author":[{"family":"Khawaldah","given":"Hamzah"},{"family":"Farhan","given":"Ibrahim"},{"family":"Alzboun","given":"Nidal"}],"issued":{"date-parts":[["2020",2,1]]}}}],"schema":"https://github.com/citation-style-language/schema/raw/master/csl-citation.json"} </w:instrText>
      </w:r>
      <w:r w:rsidR="00050F6E" w:rsidRPr="00143888">
        <w:rPr>
          <w:rFonts w:ascii="Times New Roman" w:hAnsi="Times New Roman" w:cs="Times New Roman"/>
          <w:color w:val="000000"/>
          <w:sz w:val="24"/>
          <w:szCs w:val="24"/>
        </w:rPr>
        <w:fldChar w:fldCharType="separate"/>
      </w:r>
      <w:r w:rsidR="00050F6E" w:rsidRPr="00503423">
        <w:rPr>
          <w:rFonts w:ascii="Times New Roman" w:hAnsi="Times New Roman" w:cs="Times New Roman"/>
          <w:color w:val="0000FF"/>
          <w:sz w:val="24"/>
          <w:szCs w:val="24"/>
          <w:u w:val="single"/>
        </w:rPr>
        <w:t>(Ishtiaque, Shrestha and Chhetri, 2017; Khawaldah, Farhan and Alzboun, 2020)</w:t>
      </w:r>
      <w:r w:rsidR="00050F6E" w:rsidRPr="00143888">
        <w:rPr>
          <w:rFonts w:ascii="Times New Roman" w:hAnsi="Times New Roman" w:cs="Times New Roman"/>
          <w:color w:val="000000"/>
          <w:sz w:val="24"/>
          <w:szCs w:val="24"/>
        </w:rPr>
        <w:fldChar w:fldCharType="end"/>
      </w:r>
      <w:r w:rsidR="00050F6E" w:rsidRPr="00143888">
        <w:rPr>
          <w:rFonts w:ascii="Times New Roman" w:hAnsi="Times New Roman" w:cs="Times New Roman"/>
          <w:color w:val="000000"/>
          <w:sz w:val="24"/>
          <w:szCs w:val="24"/>
        </w:rPr>
        <w:t xml:space="preserve"> . </w:t>
      </w:r>
    </w:p>
    <w:p w14:paraId="7EBF2F23" w14:textId="22CB88DC" w:rsidR="009B66CA"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Emerging technologies, such as machine learning, remote sensing, and Geographic Information Systems (GIS), have proven to be invaluable tools for urban planners in their efforts to assess real-time land cover changes, detect informal settlements, and identify infrastructural deficits. The integration of these advanced analytical techniques can significantly enhance the efficiency of land-use planning, risk assessment, and environmental management, ensuring that urban expansion is conducted in a manner that is both sustainable and adaptive to future challenges.</w:t>
      </w:r>
    </w:p>
    <w:p w14:paraId="2F31E8E0" w14:textId="17687AE8" w:rsidR="005D4E93" w:rsidRPr="00F800B9" w:rsidRDefault="005D4E93" w:rsidP="00143888">
      <w:pPr>
        <w:spacing w:line="360" w:lineRule="auto"/>
        <w:jc w:val="both"/>
        <w:rPr>
          <w:rFonts w:ascii="Times New Roman" w:hAnsi="Times New Roman" w:cs="Times New Roman"/>
          <w:b/>
          <w:color w:val="000000"/>
          <w:sz w:val="24"/>
          <w:szCs w:val="24"/>
        </w:rPr>
      </w:pPr>
      <w:r w:rsidRPr="00F800B9">
        <w:rPr>
          <w:rFonts w:ascii="Times New Roman" w:hAnsi="Times New Roman" w:cs="Times New Roman"/>
          <w:b/>
          <w:color w:val="000000"/>
          <w:sz w:val="24"/>
          <w:szCs w:val="24"/>
        </w:rPr>
        <w:t>Environmental and social-economic challenges</w:t>
      </w:r>
    </w:p>
    <w:p w14:paraId="2E468639" w14:textId="5B6A9463" w:rsidR="009B66CA"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lastRenderedPageBreak/>
        <w:t>The unregulated and unchecked expansion of urban areas presents a host of human and ecological challenges. On the human side, the continuous influx of people into urban environments necessitates the provision of adequate housing, efficient transportation networks, and robust social services, all of which must evolve in tandem with growing demand. Failure to adequately address these needs can precipitate housing shortages, inefficient public transportation systems, and widening socio-economic disparities.</w:t>
      </w:r>
    </w:p>
    <w:p w14:paraId="0CC0F2A6" w14:textId="11AED1E3" w:rsidR="009132D9" w:rsidRPr="00143888" w:rsidRDefault="009B66CA"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From an environmental perspective, rapid urbanization results in the depletion of natural resources, habitat loss, deforestation, increased surface temperatures, and alterations in local climate patterns. Additionally, the large-scale conversion of natural landscapes into impervious urban surfaces has far-reaching consequences for hydrological systems, disrupting water cycles, exacerbating flood risks, and contributing to groundwater depletion. These ecological disruptions pose serious long-term sustainability challenges, emphasizing the urgency of adopting urban planning strategies that strike a balance between developmental needs and environmental conservation</w:t>
      </w:r>
      <w:r w:rsidR="001E2E32" w:rsidRPr="00143888">
        <w:rPr>
          <w:rFonts w:ascii="Times New Roman" w:hAnsi="Times New Roman" w:cs="Times New Roman"/>
          <w:color w:val="000000"/>
          <w:sz w:val="24"/>
          <w:szCs w:val="24"/>
        </w:rPr>
        <w:fldChar w:fldCharType="begin"/>
      </w:r>
      <w:r w:rsidR="00EE5313" w:rsidRPr="00143888">
        <w:rPr>
          <w:rFonts w:ascii="Times New Roman" w:hAnsi="Times New Roman" w:cs="Times New Roman"/>
          <w:color w:val="000000"/>
          <w:sz w:val="24"/>
          <w:szCs w:val="24"/>
        </w:rPr>
        <w:instrText xml:space="preserve"> ADDIN ZOTERO_ITEM CSL_CITATION {"citationID":"fwWbO2aK","properties":{"formattedCitation":"(Munthali and Murayama, 2011; Sexton {\\i{}et al.}, 2013; Munthali {\\i{}et al.}, 2019; Khawaldah, Farhan and Alzboun, 2020)","plainCitation":"(Munthali and Murayama, 2011; Sexton et al., 2013; Munthali et al., 2019; Khawaldah, Farhan and Alzboun, 2020)","dontUpdate":true,"noteIndex":0},"citationItems":[{"id":52,"uris":["http://zotero.org/users/16803167/items/MXW2J2D3"],"itemData":{"id":52,"type":"article-journal","abstract":"Natural ecological systems continue to be under severe threat from human influence in Malawi and Dzalanyama forest reserve in particular. To assist the relevant stakeholders understand the full extent of the problem and push for a reversal of the trend, a scenario analysis of the near-past, present and near-future deforestation levels was presented using fuzzy classification, the basic overlay and Markov chain analysis techniques. In trying to draw awareness by quantifying the gravity of the situation, the analysis has established that not only are the deforestation magnitudes worrisome but also that the trends will continue in the foreseeable future. The analysis also hinted on the complex factors driving the land cover changes. While acknowledging the roles played by population growth and poverty on deforestation, the influence of the changing economic opportunities triggered by social, political and infrastructural changes impacting on the rural population surrounding the forest reserve cannot be overemphasized. Upon deriving the direction and magnitude of change it is therefore only prudent that measures to address the problem should invoke and build on an all inclusive approach towards provision of a sustainable solution.","collection-title":"International Conference: Spatial Thinking and Geographic Information Sciences 2011","container-title":"Procedia - Social and Behavioral Sciences","DOI":"10.1016/j.sbspro.2011.07.035","ISSN":"1877-0428","journalAbbreviation":"Procedia - Social and Behavioral Sciences","page":"203-211","source":"ScienceDirect","title":"Land use/cover change detection and analysis for Dzalanyama forest reserve, Lilongwe, Malawi","volume":"21","author":[{"family":"Munthali","given":"Kondwani G."},{"family":"Murayama","given":"Yuji"}],"issued":{"date-parts":[["2011",1,1]]}}},{"id":50,"uris":["http://zotero.org/users/16803167/items/27TMG4WA"],"itemData":{"id":50,"type":"article-journal","abstract":"Cities and surrounding suburbs are Earth's fastest growing land use. Urban impervious surfaces affect hydrological and energy balances, as well as biological composition and functioning of ecosystems. Although datasets have been produced documenting urban growth at multiple time periods in coarse intervals, there remains an unmet need for observations spanning multiple decades at high frequency. We have developed an empirical method for retrieving annual, long-term continuous fields of impervious surface cover from the Landsat archive and applied it to the Washington, D.C.–Baltimore, MD megalopolis from 1984 to 2010. Fitting and applying a single regression model over time, the method relies on a multi-annual training sample of high-resolution impervious cover layers tied to coincident intra- and inter-annual Landsat image composites. These predictor images are composited and normalized to maximize discrimination of impervious surfaces from intermittently bare agricultural fields and minimize inter-annual variation due to phenology, solar illumination, and atmospheric noise. Excluding the year 2009 due to lack of data availability resulting from nearly continual winter snow cover, the resulting dataset is a continuous-field representation of impervious surface cover at 30-m horizontal and annual temporal resolution from 1984 to 2010. Average error was approximately ±6% cover, with outliers due to shadows from large buildings in winter images. The region's impervious surface cover grew from 881 to 1176±11km2 over the 27-year span—an average annual gain of approximately 11±2km2/year—with great variability among local municipalities in terms of rate of development. Patterns including intensification (i.e., “infill”) and expansion (i.e., exurban or “sprawl”) of development, as well as fragmentation and isolation of natural areas were clearly visible in the data at various places and times. Neither impervious surface loss nor deceleration of growth were observed in any of the cities or counties over the study span. These findings show that empirical retrieval of impervious coverage at the spatial and temporal scale of the Landsat archive is possible using dense time-stacks of calibrated Landsat images, and that long-term records such as this can provide new opportunities for analyzing land-use patterns and their underlying causes to improve understanding of socio-economic processes and human–environment interactions.","container-title":"Remote Sensing of Environment","DOI":"10.1016/j.rse.2012.10.025","ISSN":"0034-4257","journalAbbreviation":"Remote Sensing of Environment","page":"42-53","source":"ScienceDirect","title":"Urban growth of the Washington, D.C.–Baltimore, MD metropolitan region from 1984 to 2010 by annual, Landsat-based estimates of impervious cover","volume":"129","author":[{"family":"Sexton","given":"Joseph O."},{"family":"Song","given":"Xiao-Peng"},{"family":"Huang","given":"Chengquan"},{"family":"Channan","given":"Saurabh"},{"family":"Baker","given":"Matthew E."},{"family":"Townshend","given":"John R."}],"issued":{"date-parts":[["2013",2,15]]}}},{"id":61,"uris":["http://zotero.org/users/16803167/items/LENFEIDR"],"itemData":{"id":61,"type":"article-journal","abstract":"Research on Land Use and Land Cover (LULC) dynamics, and an understanding of the drivers responsible for these changes, are very crucial for modelling future LULC changes and the formulation of sustainable and robust land-management strategies and policy decisions. This study adopted a mixed method consisting of remote sensing and Geographic Information System (GIS)-based analysis, focus-group discussions, key informant interviews, and semi-structured interviews covering 586 households to assess LULC dynamics and associated LULC change drivers across the Dedza district, a central region of Malawi. GIS-based analysis of remotely sensed data revealed that barren land and built-up areas extensively increased at the expense of agricultural and forest land between 1991 and 2015. Analysis of the household-survey results revealed that the perceptions of respondents tended to validate the observed patterns during the remotely sensed data-analysis phase of the research, with 57.3% (n = 586) of the respondents reporting a decline in agricultural land use, and 87.4% (n = 586) observing a decline in forest areas in the district. Furthermore, firewood collection, charcoal production, population growth, and poverty were identified as the key drivers of these observed LULC changes in the study area. Undoubtedly, education has emerged as a significant factor influencing respondents’ perceptions of these drivers of LULC changes. However, unsustainable LULC changes observed in this study have negative implications on rural livelihoods and natural-resource management. Owing to the critical role that LULC dynamics play to rural livelihoods and the ecosystem, this study recommends further research to establish the consequences of these changes. The present study and future research will support decision makers and planners in the design of tenable and coherent land-management strategies.","container-title":"Sustainability","DOI":"10.3390/su11030832","ISSN":"2071-1050","issue":"3","language":"en","license":"http://creativecommons.org/licenses/by/3.0/","note":"number: 3\npublisher: Multidisciplinary Digital Publishing Institute","page":"832","source":"www.mdpi.com","title":"Local Perception of Drivers of Land-Use and Land-Cover Change Dynamics across Dedza District, Central Malawi Region","volume":"11","author":[{"family":"Munthali","given":"Maggie G."},{"family":"Davis","given":"Nerhene"},{"family":"Adeola","given":"Abiodun M."},{"family":"Botai","given":"Joel O."},{"family":"Kamwi","given":"Jonathan M."},{"family":"Chisale","given":"Harold L. W."},{"family":"Orimoogunje","given":"Oluwagbenga O. I."}],"issued":{"date-parts":[["2019",1]]}}},{"id":58,"uris":["http://zotero.org/users/16803167/items/VHRA8JUR"],"itemData":{"id":58,"type":"article-journal","abstract":"This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model","volume":"6","author":[{"family":"Khawaldah","given":"Hamzah"},{"family":"Farhan","given":"Ibrahim"},{"family":"Alzboun","given":"Nidal"}],"issued":{"date-parts":[["2020",2,1]]}}}],"schema":"https://github.com/citation-style-language/schema/raw/master/csl-citation.json"} </w:instrText>
      </w:r>
      <w:r w:rsidR="001E2E32"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 xml:space="preserve"> (Munthali and Murayama, 2011; Sexton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xml:space="preserve">, 2013; Munthali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2019; Khawaldah, Farhan and Alzboun, 2020)</w:t>
      </w:r>
      <w:r w:rsidR="001E2E32" w:rsidRPr="00143888">
        <w:rPr>
          <w:rFonts w:ascii="Times New Roman" w:hAnsi="Times New Roman" w:cs="Times New Roman"/>
          <w:color w:val="000000"/>
          <w:sz w:val="24"/>
          <w:szCs w:val="24"/>
        </w:rPr>
        <w:fldChar w:fldCharType="end"/>
      </w:r>
      <w:r w:rsidR="009132D9" w:rsidRPr="00143888">
        <w:rPr>
          <w:rFonts w:ascii="Times New Roman" w:hAnsi="Times New Roman" w:cs="Times New Roman"/>
          <w:color w:val="000000"/>
          <w:sz w:val="24"/>
          <w:szCs w:val="24"/>
        </w:rPr>
        <w:t xml:space="preserve">. </w:t>
      </w:r>
    </w:p>
    <w:p w14:paraId="4862471E" w14:textId="77777777" w:rsidR="00BA45DF" w:rsidRPr="00AD1DF7" w:rsidRDefault="002A70F7" w:rsidP="00143888">
      <w:pPr>
        <w:spacing w:line="360" w:lineRule="auto"/>
        <w:jc w:val="both"/>
        <w:rPr>
          <w:rFonts w:ascii="Times New Roman" w:hAnsi="Times New Roman" w:cs="Times New Roman"/>
          <w:b/>
          <w:color w:val="000000"/>
          <w:sz w:val="24"/>
          <w:szCs w:val="24"/>
        </w:rPr>
      </w:pPr>
      <w:r w:rsidRPr="00AD1DF7">
        <w:rPr>
          <w:rFonts w:ascii="Times New Roman" w:hAnsi="Times New Roman" w:cs="Times New Roman"/>
          <w:b/>
          <w:color w:val="000000"/>
          <w:sz w:val="24"/>
          <w:szCs w:val="24"/>
        </w:rPr>
        <w:t>Summary</w:t>
      </w:r>
    </w:p>
    <w:p w14:paraId="48E049C9" w14:textId="7C3B0CA9" w:rsidR="00BA45DF" w:rsidRPr="00143888" w:rsidRDefault="00BA45DF"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Like other rapidly evolving urban cities in developing countries, Juba's ongoing urban expansion can be seen in a two-faced reality: on one hand, it signifies a profound opportunity for economic development, while on the other, it poses significant challenges for sustainable resource management. Rapid urbanization, if unchecked, can lead to issues such as infrastructure strain, environmental degradation, and the displacement of vulnerable populations. Therefore, the effective prediction of urban growth is essential for informed decision-making and sustainable development. To mitigate the adverse consequences related to rapid urbanization, it is crucial to implement integrated urban planning strategies that prioritize the development of resilient infrastructure, efficient land-use policies, and climate-conscious urban designs. Leveraging cutting-edge geospatial technologies, remote sensing data, and predictive analytics can play a pivotal role in this effort.</w:t>
      </w:r>
    </w:p>
    <w:p w14:paraId="04FD44BB" w14:textId="0B7391A5" w:rsidR="00BA45DF" w:rsidRPr="00143888" w:rsidRDefault="00BA45DF"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this study, we propose the prediction of Juba’s urban growth from 2024 to 2033 based on Random Forest, a powerful and widely used Machine Learning model for spatial prediction tasks (mainly characterized into classification and regression tasks). By analyzing Landsat 5 and 7 data spanning from 1994 to 2023, this approach allows us to predict land-use changes, and urban sprawl </w:t>
      </w:r>
      <w:r w:rsidRPr="00143888">
        <w:rPr>
          <w:rFonts w:ascii="Times New Roman" w:hAnsi="Times New Roman" w:cs="Times New Roman"/>
          <w:color w:val="000000"/>
          <w:sz w:val="24"/>
          <w:szCs w:val="24"/>
        </w:rPr>
        <w:lastRenderedPageBreak/>
        <w:t>with high accuracy. Random Forest excels in handling large, complex datasets and capturing non-linear relationships between urban growth drivers, such as population density, land cover changes, and socioeconomic factors.</w:t>
      </w:r>
    </w:p>
    <w:p w14:paraId="7881AED1" w14:textId="16BF1476" w:rsidR="00BA45DF" w:rsidRPr="00143888" w:rsidRDefault="00BA45DF"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When trained on historical land-use patterns, and by recognizing these patterns, the Random Forest model can predict future urban growth trends. These predictions are vital for urban planners and policymakers to better monitor, forecast, and guide Juba’s expansion in a manner that fosters economic growth while minimizing environmental and social challenges.</w:t>
      </w:r>
    </w:p>
    <w:p w14:paraId="082E69A1" w14:textId="3E5E5095" w:rsidR="00BA45DF" w:rsidRPr="00143888" w:rsidRDefault="00BA45DF"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Achieving sustainable urban development in Juba will necessitate collaborative efforts between governmental agencies, academic researchers such as in this study, and local communities, ensuring that urban expansion aligns with broader sustainability objectives and contributes to the overall well-being of its inhabitants. Only through proactive and data-driven urban management approaches, such as this Random Forest-based prediction model, can Juba effectively navigate the complexities of its rapid growth trajectory. This study will contribute to creating resilient, sustainable, and economically viable urban environments, ensuring that Juba can emerge as a model for future cities in the region.</w:t>
      </w:r>
    </w:p>
    <w:p w14:paraId="1CEAD0E1" w14:textId="028086E0" w:rsidR="00BE3DCB" w:rsidRPr="00143888" w:rsidRDefault="00844997" w:rsidP="00AD1DF7">
      <w:pPr>
        <w:pStyle w:val="Heading2"/>
      </w:pPr>
      <w:r w:rsidRPr="00143888">
        <w:t xml:space="preserve">Objectives of the Study </w:t>
      </w:r>
    </w:p>
    <w:p w14:paraId="775C0EC4" w14:textId="2C2D0E9C" w:rsidR="00BE3DCB" w:rsidRPr="00143888" w:rsidRDefault="00844997" w:rsidP="00AD1DF7">
      <w:pPr>
        <w:pStyle w:val="Heading3"/>
      </w:pPr>
      <w:r w:rsidRPr="00143888">
        <w:t xml:space="preserve">Primary objective </w:t>
      </w:r>
    </w:p>
    <w:p w14:paraId="21AF7CE7" w14:textId="37938359" w:rsidR="00BE3DCB" w:rsidRDefault="00844997"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this study, </w:t>
      </w:r>
      <w:r w:rsidR="00BA45DF" w:rsidRPr="00143888">
        <w:rPr>
          <w:rFonts w:ascii="Times New Roman" w:hAnsi="Times New Roman" w:cs="Times New Roman"/>
          <w:sz w:val="24"/>
          <w:szCs w:val="24"/>
        </w:rPr>
        <w:t>we</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seek to develop a comprehensive understanding of both historical and future</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 xml:space="preserve">urban growth patterns in Juba, South Sudan, by analyzing past trends from </w:t>
      </w:r>
      <w:r w:rsidR="00BA45DF" w:rsidRPr="00143888">
        <w:rPr>
          <w:rFonts w:ascii="Times New Roman" w:hAnsi="Times New Roman" w:cs="Times New Roman"/>
          <w:sz w:val="24"/>
          <w:szCs w:val="24"/>
        </w:rPr>
        <w:t>1994</w:t>
      </w:r>
      <w:r w:rsidRPr="00143888">
        <w:rPr>
          <w:rFonts w:ascii="Times New Roman" w:hAnsi="Times New Roman" w:cs="Times New Roman"/>
          <w:color w:val="000000"/>
          <w:sz w:val="24"/>
          <w:szCs w:val="24"/>
        </w:rPr>
        <w:t xml:space="preserve"> to </w:t>
      </w:r>
      <w:r w:rsidRPr="00143888">
        <w:rPr>
          <w:rFonts w:ascii="Times New Roman" w:hAnsi="Times New Roman" w:cs="Times New Roman"/>
          <w:sz w:val="24"/>
          <w:szCs w:val="24"/>
        </w:rPr>
        <w:t>202</w:t>
      </w:r>
      <w:r w:rsidR="00BA45DF" w:rsidRPr="00143888">
        <w:rPr>
          <w:rFonts w:ascii="Times New Roman" w:hAnsi="Times New Roman" w:cs="Times New Roman"/>
          <w:sz w:val="24"/>
          <w:szCs w:val="24"/>
        </w:rPr>
        <w:t>3</w:t>
      </w:r>
      <w:r w:rsidRPr="00143888">
        <w:rPr>
          <w:rFonts w:ascii="Times New Roman" w:hAnsi="Times New Roman" w:cs="Times New Roman"/>
          <w:color w:val="000000"/>
          <w:sz w:val="24"/>
          <w:szCs w:val="24"/>
        </w:rPr>
        <w:t xml:space="preserve"> and</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predicting future expansion from 202</w:t>
      </w:r>
      <w:r w:rsidR="00BA45DF" w:rsidRPr="00143888">
        <w:rPr>
          <w:rFonts w:ascii="Times New Roman" w:hAnsi="Times New Roman" w:cs="Times New Roman"/>
          <w:color w:val="000000"/>
          <w:sz w:val="24"/>
          <w:szCs w:val="24"/>
        </w:rPr>
        <w:t>4</w:t>
      </w:r>
      <w:r w:rsidRPr="00143888">
        <w:rPr>
          <w:rFonts w:ascii="Times New Roman" w:hAnsi="Times New Roman" w:cs="Times New Roman"/>
          <w:color w:val="000000"/>
          <w:sz w:val="24"/>
          <w:szCs w:val="24"/>
        </w:rPr>
        <w:t xml:space="preserve"> up to the year 20</w:t>
      </w:r>
      <w:r w:rsidR="00BA45DF" w:rsidRPr="00143888">
        <w:rPr>
          <w:rFonts w:ascii="Times New Roman" w:hAnsi="Times New Roman" w:cs="Times New Roman"/>
          <w:color w:val="000000"/>
          <w:sz w:val="24"/>
          <w:szCs w:val="24"/>
        </w:rPr>
        <w:t>33</w:t>
      </w:r>
      <w:r w:rsidRPr="00143888">
        <w:rPr>
          <w:rFonts w:ascii="Times New Roman" w:hAnsi="Times New Roman" w:cs="Times New Roman"/>
          <w:color w:val="000000"/>
          <w:sz w:val="24"/>
          <w:szCs w:val="24"/>
        </w:rPr>
        <w:t xml:space="preserve">. This includes utilizing advanced predictive </w:t>
      </w:r>
      <w:r w:rsidRPr="00143888">
        <w:rPr>
          <w:rFonts w:ascii="Times New Roman" w:hAnsi="Times New Roman" w:cs="Times New Roman"/>
          <w:sz w:val="24"/>
          <w:szCs w:val="24"/>
        </w:rPr>
        <w:t>models</w:t>
      </w:r>
      <w:r w:rsidR="004B7B60" w:rsidRPr="00143888">
        <w:rPr>
          <w:rFonts w:ascii="Times New Roman" w:hAnsi="Times New Roman" w:cs="Times New Roman"/>
          <w:sz w:val="24"/>
          <w:szCs w:val="24"/>
        </w:rPr>
        <w:t>, specifically Machine Learning’s Random Forest</w:t>
      </w:r>
      <w:r w:rsidRPr="00143888">
        <w:rPr>
          <w:rFonts w:ascii="Times New Roman" w:hAnsi="Times New Roman" w:cs="Times New Roman"/>
          <w:color w:val="000000"/>
          <w:sz w:val="24"/>
          <w:szCs w:val="24"/>
        </w:rPr>
        <w:t xml:space="preserve"> and </w:t>
      </w:r>
      <w:r w:rsidR="004B7B60" w:rsidRPr="00143888">
        <w:rPr>
          <w:rFonts w:ascii="Times New Roman" w:hAnsi="Times New Roman" w:cs="Times New Roman"/>
          <w:color w:val="000000"/>
          <w:sz w:val="24"/>
          <w:szCs w:val="24"/>
        </w:rPr>
        <w:t>advanced geospatial pre-processing techniques</w:t>
      </w:r>
      <w:r w:rsidRPr="00143888">
        <w:rPr>
          <w:rFonts w:ascii="Times New Roman" w:hAnsi="Times New Roman" w:cs="Times New Roman"/>
          <w:color w:val="000000"/>
          <w:sz w:val="24"/>
          <w:szCs w:val="24"/>
        </w:rPr>
        <w:t xml:space="preserve"> </w:t>
      </w:r>
      <w:r w:rsidR="004B7B60" w:rsidRPr="00143888">
        <w:rPr>
          <w:rFonts w:ascii="Times New Roman" w:hAnsi="Times New Roman" w:cs="Times New Roman"/>
          <w:color w:val="000000"/>
          <w:sz w:val="24"/>
          <w:szCs w:val="24"/>
        </w:rPr>
        <w:t xml:space="preserve">such as cloud masking and ground control points (GCPs) </w:t>
      </w:r>
      <w:r w:rsidRPr="00143888">
        <w:rPr>
          <w:rFonts w:ascii="Times New Roman" w:hAnsi="Times New Roman" w:cs="Times New Roman"/>
          <w:color w:val="000000"/>
          <w:sz w:val="24"/>
          <w:szCs w:val="24"/>
        </w:rPr>
        <w:t xml:space="preserve">to </w:t>
      </w:r>
      <w:r w:rsidR="004B7B60" w:rsidRPr="00143888">
        <w:rPr>
          <w:rFonts w:ascii="Times New Roman" w:hAnsi="Times New Roman" w:cs="Times New Roman"/>
          <w:color w:val="000000"/>
          <w:sz w:val="24"/>
          <w:szCs w:val="24"/>
        </w:rPr>
        <w:t xml:space="preserve">collect, extract, and manipulate data to </w:t>
      </w:r>
      <w:r w:rsidRPr="00143888">
        <w:rPr>
          <w:rFonts w:ascii="Times New Roman" w:hAnsi="Times New Roman" w:cs="Times New Roman"/>
          <w:color w:val="000000"/>
          <w:sz w:val="24"/>
          <w:szCs w:val="24"/>
        </w:rPr>
        <w:t xml:space="preserve">inform urban planning and development strategies. </w:t>
      </w:r>
    </w:p>
    <w:p w14:paraId="49ED9A66" w14:textId="6C8CE216" w:rsidR="00AD1DF7" w:rsidRPr="00143888" w:rsidRDefault="00AD1DF7" w:rsidP="00AD1DF7">
      <w:pPr>
        <w:pStyle w:val="Heading3"/>
      </w:pPr>
      <w:r>
        <w:t>Specific Objectives</w:t>
      </w:r>
    </w:p>
    <w:p w14:paraId="48267444" w14:textId="2E2C0C5B" w:rsidR="004B7B60" w:rsidRPr="00143888" w:rsidRDefault="004B7B60" w:rsidP="00143888">
      <w:pPr>
        <w:spacing w:line="360" w:lineRule="auto"/>
        <w:jc w:val="both"/>
        <w:rPr>
          <w:rFonts w:ascii="Times New Roman" w:hAnsi="Times New Roman" w:cs="Times New Roman"/>
          <w:sz w:val="24"/>
          <w:szCs w:val="24"/>
        </w:rPr>
      </w:pPr>
      <w:r w:rsidRPr="00143888">
        <w:rPr>
          <w:rFonts w:ascii="Times New Roman" w:hAnsi="Times New Roman" w:cs="Times New Roman"/>
          <w:color w:val="000000"/>
          <w:sz w:val="24"/>
          <w:szCs w:val="24"/>
        </w:rPr>
        <w:t xml:space="preserve">To collect historical time series data from Landsat 5 and 7 </w:t>
      </w:r>
      <w:r w:rsidR="00630675" w:rsidRPr="00143888">
        <w:rPr>
          <w:rFonts w:ascii="Times New Roman" w:hAnsi="Times New Roman" w:cs="Times New Roman"/>
          <w:color w:val="000000"/>
          <w:sz w:val="24"/>
          <w:szCs w:val="24"/>
        </w:rPr>
        <w:t>spanning</w:t>
      </w:r>
      <w:r w:rsidRPr="00143888">
        <w:rPr>
          <w:rFonts w:ascii="Times New Roman" w:hAnsi="Times New Roman" w:cs="Times New Roman"/>
          <w:color w:val="000000"/>
          <w:sz w:val="24"/>
          <w:szCs w:val="24"/>
        </w:rPr>
        <w:t xml:space="preserve"> 1994 to 2023</w:t>
      </w:r>
      <w:r w:rsidRPr="00143888">
        <w:rPr>
          <w:rFonts w:ascii="Times New Roman" w:hAnsi="Times New Roman" w:cs="Times New Roman"/>
          <w:sz w:val="24"/>
          <w:szCs w:val="24"/>
        </w:rPr>
        <w:t xml:space="preserve">. </w:t>
      </w:r>
    </w:p>
    <w:p w14:paraId="0661C079" w14:textId="5777FD82"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To develop a </w:t>
      </w:r>
      <w:r w:rsidR="00630675" w:rsidRPr="00143888">
        <w:rPr>
          <w:rFonts w:ascii="Times New Roman" w:hAnsi="Times New Roman" w:cs="Times New Roman"/>
          <w:sz w:val="24"/>
          <w:szCs w:val="24"/>
        </w:rPr>
        <w:t xml:space="preserve">Random Forest </w:t>
      </w:r>
      <w:r w:rsidRPr="00143888">
        <w:rPr>
          <w:rFonts w:ascii="Times New Roman" w:hAnsi="Times New Roman" w:cs="Times New Roman"/>
          <w:sz w:val="24"/>
          <w:szCs w:val="24"/>
        </w:rPr>
        <w:t xml:space="preserve">machine learning model </w:t>
      </w:r>
      <w:r w:rsidR="00630675" w:rsidRPr="00143888">
        <w:rPr>
          <w:rFonts w:ascii="Times New Roman" w:hAnsi="Times New Roman" w:cs="Times New Roman"/>
          <w:sz w:val="24"/>
          <w:szCs w:val="24"/>
        </w:rPr>
        <w:t>that identifies</w:t>
      </w:r>
      <w:r w:rsidRPr="00143888">
        <w:rPr>
          <w:rFonts w:ascii="Times New Roman" w:hAnsi="Times New Roman" w:cs="Times New Roman"/>
          <w:sz w:val="24"/>
          <w:szCs w:val="24"/>
        </w:rPr>
        <w:t xml:space="preserve"> historical </w:t>
      </w:r>
      <w:r w:rsidR="00630675" w:rsidRPr="00143888">
        <w:rPr>
          <w:rFonts w:ascii="Times New Roman" w:hAnsi="Times New Roman" w:cs="Times New Roman"/>
          <w:sz w:val="24"/>
          <w:szCs w:val="24"/>
        </w:rPr>
        <w:t xml:space="preserve">urban growth </w:t>
      </w:r>
      <w:r w:rsidRPr="00143888">
        <w:rPr>
          <w:rFonts w:ascii="Times New Roman" w:hAnsi="Times New Roman" w:cs="Times New Roman"/>
          <w:sz w:val="24"/>
          <w:szCs w:val="24"/>
        </w:rPr>
        <w:t xml:space="preserve">trends </w:t>
      </w:r>
      <w:r w:rsidR="00630675" w:rsidRPr="00143888">
        <w:rPr>
          <w:rFonts w:ascii="Times New Roman" w:hAnsi="Times New Roman" w:cs="Times New Roman"/>
          <w:sz w:val="24"/>
          <w:szCs w:val="24"/>
        </w:rPr>
        <w:t xml:space="preserve">in </w:t>
      </w:r>
      <w:r w:rsidRPr="00143888">
        <w:rPr>
          <w:rFonts w:ascii="Times New Roman" w:hAnsi="Times New Roman" w:cs="Times New Roman"/>
          <w:sz w:val="24"/>
          <w:szCs w:val="24"/>
        </w:rPr>
        <w:t>Juba from 199</w:t>
      </w:r>
      <w:r w:rsidR="00630675" w:rsidRPr="00143888">
        <w:rPr>
          <w:rFonts w:ascii="Times New Roman" w:hAnsi="Times New Roman" w:cs="Times New Roman"/>
          <w:sz w:val="24"/>
          <w:szCs w:val="24"/>
        </w:rPr>
        <w:t>4</w:t>
      </w:r>
      <w:r w:rsidRPr="00143888">
        <w:rPr>
          <w:rFonts w:ascii="Times New Roman" w:hAnsi="Times New Roman" w:cs="Times New Roman"/>
          <w:sz w:val="24"/>
          <w:szCs w:val="24"/>
        </w:rPr>
        <w:t xml:space="preserve"> to </w:t>
      </w:r>
      <w:r w:rsidR="00630675" w:rsidRPr="00143888">
        <w:rPr>
          <w:rFonts w:ascii="Times New Roman" w:hAnsi="Times New Roman" w:cs="Times New Roman"/>
          <w:sz w:val="24"/>
          <w:szCs w:val="24"/>
        </w:rPr>
        <w:t>2023, focusing on changes in land use and land cover</w:t>
      </w:r>
      <w:r w:rsidRPr="00143888">
        <w:rPr>
          <w:rFonts w:ascii="Times New Roman" w:hAnsi="Times New Roman" w:cs="Times New Roman"/>
          <w:sz w:val="24"/>
          <w:szCs w:val="24"/>
        </w:rPr>
        <w:t xml:space="preserve">. </w:t>
      </w:r>
    </w:p>
    <w:p w14:paraId="5B575FBC" w14:textId="0333F954" w:rsidR="004B7B60" w:rsidRPr="00143888" w:rsidRDefault="00630675" w:rsidP="00143888">
      <w:pPr>
        <w:spacing w:line="360" w:lineRule="auto"/>
        <w:jc w:val="both"/>
        <w:rPr>
          <w:rFonts w:ascii="Times New Roman" w:hAnsi="Times New Roman" w:cs="Times New Roman"/>
          <w:sz w:val="24"/>
          <w:szCs w:val="24"/>
        </w:rPr>
      </w:pPr>
      <w:r w:rsidRPr="00143888">
        <w:rPr>
          <w:rFonts w:ascii="Times New Roman" w:hAnsi="Times New Roman" w:cs="Times New Roman"/>
          <w:color w:val="000000"/>
          <w:sz w:val="24"/>
          <w:szCs w:val="24"/>
        </w:rPr>
        <w:t>To t</w:t>
      </w:r>
      <w:r w:rsidRPr="00143888">
        <w:rPr>
          <w:rFonts w:ascii="Times New Roman" w:hAnsi="Times New Roman" w:cs="Times New Roman"/>
          <w:sz w:val="24"/>
          <w:szCs w:val="24"/>
        </w:rPr>
        <w:t xml:space="preserve">rain the model to </w:t>
      </w:r>
      <w:r w:rsidR="004B7B60" w:rsidRPr="00143888">
        <w:rPr>
          <w:rFonts w:ascii="Times New Roman" w:hAnsi="Times New Roman" w:cs="Times New Roman"/>
          <w:sz w:val="24"/>
          <w:szCs w:val="24"/>
        </w:rPr>
        <w:t>generate visible historical</w:t>
      </w:r>
      <w:r w:rsidRPr="00143888">
        <w:rPr>
          <w:rFonts w:ascii="Times New Roman" w:hAnsi="Times New Roman" w:cs="Times New Roman"/>
          <w:sz w:val="24"/>
          <w:szCs w:val="24"/>
        </w:rPr>
        <w:t xml:space="preserve"> urban growth patterns</w:t>
      </w:r>
      <w:r w:rsidR="004B7B60" w:rsidRPr="00143888">
        <w:rPr>
          <w:rFonts w:ascii="Times New Roman" w:hAnsi="Times New Roman" w:cs="Times New Roman"/>
          <w:sz w:val="24"/>
          <w:szCs w:val="24"/>
        </w:rPr>
        <w:t xml:space="preserve"> merged for the years 1994-2003, 2004-2013 and 2014-2023</w:t>
      </w:r>
      <w:r w:rsidRPr="00143888">
        <w:rPr>
          <w:rFonts w:ascii="Times New Roman" w:hAnsi="Times New Roman" w:cs="Times New Roman"/>
          <w:sz w:val="24"/>
          <w:szCs w:val="24"/>
        </w:rPr>
        <w:t xml:space="preserve">. </w:t>
      </w:r>
    </w:p>
    <w:p w14:paraId="2F5FE1DE" w14:textId="2B7544FE" w:rsidR="004B7B60" w:rsidRPr="00143888" w:rsidRDefault="00630675" w:rsidP="00143888">
      <w:pPr>
        <w:spacing w:line="360" w:lineRule="auto"/>
        <w:jc w:val="both"/>
        <w:rPr>
          <w:rFonts w:ascii="Times New Roman" w:hAnsi="Times New Roman" w:cs="Times New Roman"/>
          <w:sz w:val="24"/>
          <w:szCs w:val="24"/>
        </w:rPr>
      </w:pPr>
      <w:r w:rsidRPr="00143888">
        <w:rPr>
          <w:rFonts w:ascii="Times New Roman" w:hAnsi="Times New Roman" w:cs="Times New Roman"/>
          <w:color w:val="000000"/>
          <w:sz w:val="24"/>
          <w:szCs w:val="24"/>
        </w:rPr>
        <w:lastRenderedPageBreak/>
        <w:t>To evaluate</w:t>
      </w:r>
      <w:r w:rsidR="004B7B60" w:rsidRPr="00143888">
        <w:rPr>
          <w:rFonts w:ascii="Times New Roman" w:hAnsi="Times New Roman" w:cs="Times New Roman"/>
          <w:color w:val="000000"/>
          <w:sz w:val="24"/>
          <w:szCs w:val="24"/>
        </w:rPr>
        <w:t xml:space="preserve"> the performance of the trained model (Random Forest) using </w:t>
      </w:r>
      <w:r w:rsidRPr="00143888">
        <w:rPr>
          <w:rFonts w:ascii="Times New Roman" w:hAnsi="Times New Roman" w:cs="Times New Roman"/>
          <w:color w:val="000000"/>
          <w:sz w:val="24"/>
          <w:szCs w:val="24"/>
        </w:rPr>
        <w:t>a confusion matrix as a metric.</w:t>
      </w:r>
    </w:p>
    <w:p w14:paraId="6F2184CC" w14:textId="7A6E60C4"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color w:val="000000"/>
          <w:sz w:val="24"/>
          <w:szCs w:val="24"/>
        </w:rPr>
        <w:t xml:space="preserve">To </w:t>
      </w:r>
      <w:r w:rsidR="004B7B60" w:rsidRPr="00143888">
        <w:rPr>
          <w:rFonts w:ascii="Times New Roman" w:hAnsi="Times New Roman" w:cs="Times New Roman"/>
          <w:color w:val="000000"/>
          <w:sz w:val="24"/>
          <w:szCs w:val="24"/>
        </w:rPr>
        <w:t>predict</w:t>
      </w:r>
      <w:r w:rsidRPr="00143888">
        <w:rPr>
          <w:rFonts w:ascii="Times New Roman" w:hAnsi="Times New Roman" w:cs="Times New Roman"/>
          <w:color w:val="000000"/>
          <w:sz w:val="24"/>
          <w:szCs w:val="24"/>
        </w:rPr>
        <w:t xml:space="preserve"> </w:t>
      </w:r>
      <w:r w:rsidR="00630675" w:rsidRPr="00143888">
        <w:rPr>
          <w:rFonts w:ascii="Times New Roman" w:hAnsi="Times New Roman" w:cs="Times New Roman"/>
          <w:color w:val="000000"/>
          <w:sz w:val="24"/>
          <w:szCs w:val="24"/>
        </w:rPr>
        <w:t>future urban growth</w:t>
      </w:r>
      <w:r w:rsidRPr="00143888">
        <w:rPr>
          <w:rFonts w:ascii="Times New Roman" w:hAnsi="Times New Roman" w:cs="Times New Roman"/>
          <w:color w:val="000000"/>
          <w:sz w:val="24"/>
          <w:szCs w:val="24"/>
        </w:rPr>
        <w:t xml:space="preserve"> patterns in Juba </w:t>
      </w:r>
      <w:r w:rsidR="00630675" w:rsidRPr="00143888">
        <w:rPr>
          <w:rFonts w:ascii="Times New Roman" w:hAnsi="Times New Roman" w:cs="Times New Roman"/>
          <w:color w:val="000000"/>
          <w:sz w:val="24"/>
          <w:szCs w:val="24"/>
        </w:rPr>
        <w:t>for the period</w:t>
      </w:r>
      <w:r w:rsidR="004B7B60" w:rsidRPr="00143888">
        <w:rPr>
          <w:rFonts w:ascii="Times New Roman" w:hAnsi="Times New Roman" w:cs="Times New Roman"/>
          <w:color w:val="000000"/>
          <w:sz w:val="24"/>
          <w:szCs w:val="24"/>
        </w:rPr>
        <w:t xml:space="preserve"> 2024-2033 using the trained model</w:t>
      </w:r>
      <w:r w:rsidRPr="00143888">
        <w:rPr>
          <w:rFonts w:ascii="Times New Roman" w:hAnsi="Times New Roman" w:cs="Times New Roman"/>
          <w:color w:val="000000"/>
          <w:sz w:val="24"/>
          <w:szCs w:val="24"/>
        </w:rPr>
        <w:t xml:space="preserve">. </w:t>
      </w:r>
    </w:p>
    <w:p w14:paraId="73F071B4" w14:textId="0E3F9D21" w:rsidR="00BE3DCB" w:rsidRPr="00143888" w:rsidRDefault="00844997" w:rsidP="00AD1DF7">
      <w:pPr>
        <w:pStyle w:val="Heading2"/>
      </w:pPr>
      <w:r w:rsidRPr="00143888">
        <w:t xml:space="preserve">Significance of the study </w:t>
      </w:r>
    </w:p>
    <w:p w14:paraId="5CFF3DB8" w14:textId="1F0595D3" w:rsidR="00630675" w:rsidRPr="00143888" w:rsidRDefault="0063067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Urbanization in Juba, South Sudan, is rapidly transforming the city and the landscape of its neighborhood, presenting both opportunities for economic development and challenges related to infrastructure, environmental sustainability, and resource management. Understanding past trends and forecasting future urban expansion will be vital for informed decision-making and sustainable urban planning.</w:t>
      </w:r>
    </w:p>
    <w:p w14:paraId="38499628" w14:textId="2A7DC117" w:rsidR="00630675" w:rsidRPr="00143888" w:rsidRDefault="0063067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This study is significant as it leverages Machine Learning’s Random Forest and advanced</w:t>
      </w:r>
      <w:r w:rsidR="00980748" w:rsidRPr="00143888">
        <w:rPr>
          <w:rFonts w:ascii="Times New Roman" w:hAnsi="Times New Roman" w:cs="Times New Roman"/>
          <w:color w:val="000000"/>
          <w:sz w:val="24"/>
          <w:szCs w:val="24"/>
        </w:rPr>
        <w:t xml:space="preserve"> open-source</w:t>
      </w:r>
      <w:r w:rsidRPr="00143888">
        <w:rPr>
          <w:rFonts w:ascii="Times New Roman" w:hAnsi="Times New Roman" w:cs="Times New Roman"/>
          <w:color w:val="000000"/>
          <w:sz w:val="24"/>
          <w:szCs w:val="24"/>
        </w:rPr>
        <w:t xml:space="preserve"> geospatial pre-processing techniques</w:t>
      </w:r>
      <w:r w:rsidR="00980748" w:rsidRPr="00143888">
        <w:rPr>
          <w:rFonts w:ascii="Times New Roman" w:hAnsi="Times New Roman" w:cs="Times New Roman"/>
          <w:color w:val="000000"/>
          <w:sz w:val="24"/>
          <w:szCs w:val="24"/>
        </w:rPr>
        <w:t xml:space="preserve"> using both Google Earth Engine (GEE) and Quantum Geographic Information System (GIS)</w:t>
      </w:r>
      <w:r w:rsidRPr="00143888">
        <w:rPr>
          <w:rFonts w:ascii="Times New Roman" w:hAnsi="Times New Roman" w:cs="Times New Roman"/>
          <w:color w:val="000000"/>
          <w:sz w:val="24"/>
          <w:szCs w:val="24"/>
        </w:rPr>
        <w:t xml:space="preserve">, including cloud masking and ground control points (GCPs), to analyze urban growth patterns. By utilizing Landsat 5 and 7 data from 1994 to 2023, this research provides </w:t>
      </w:r>
      <w:r w:rsidR="00980748" w:rsidRPr="00143888">
        <w:rPr>
          <w:rFonts w:ascii="Times New Roman" w:hAnsi="Times New Roman" w:cs="Times New Roman"/>
          <w:color w:val="000000"/>
          <w:sz w:val="24"/>
          <w:szCs w:val="24"/>
        </w:rPr>
        <w:t xml:space="preserve">an Informatics-informed </w:t>
      </w:r>
      <w:r w:rsidRPr="00143888">
        <w:rPr>
          <w:rFonts w:ascii="Times New Roman" w:hAnsi="Times New Roman" w:cs="Times New Roman"/>
          <w:color w:val="000000"/>
          <w:sz w:val="24"/>
          <w:szCs w:val="24"/>
        </w:rPr>
        <w:t>data-driven foundation for predicting Juba’s urban expansion from 2024 to 2033. The findings will enable urban planners, policymakers, and researchers to:</w:t>
      </w:r>
    </w:p>
    <w:p w14:paraId="53E7D6A1" w14:textId="4F1D8CD5"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Enhance Urban Planning: By identifying historical land-use trends and forecasting future urban growth, national, state, and city planners</w:t>
      </w:r>
      <w:r w:rsidR="003A07C7" w:rsidRPr="00143888">
        <w:rPr>
          <w:rFonts w:ascii="Times New Roman" w:hAnsi="Times New Roman" w:cs="Times New Roman"/>
          <w:color w:val="000000"/>
          <w:sz w:val="24"/>
          <w:szCs w:val="24"/>
        </w:rPr>
        <w:t xml:space="preserve"> and policy makers</w:t>
      </w:r>
      <w:r w:rsidRPr="00143888">
        <w:rPr>
          <w:rFonts w:ascii="Times New Roman" w:hAnsi="Times New Roman" w:cs="Times New Roman"/>
          <w:color w:val="000000"/>
          <w:sz w:val="24"/>
          <w:szCs w:val="24"/>
        </w:rPr>
        <w:t xml:space="preserve"> can implement data-driven policies that promote sustainable development and efficient land management.</w:t>
      </w:r>
    </w:p>
    <w:p w14:paraId="284D4454" w14:textId="44618122"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Support Infrastructure Development: Accurate predictions of </w:t>
      </w:r>
      <w:r w:rsidR="003A07C7" w:rsidRPr="00143888">
        <w:rPr>
          <w:rFonts w:ascii="Times New Roman" w:hAnsi="Times New Roman" w:cs="Times New Roman"/>
          <w:color w:val="000000"/>
          <w:sz w:val="24"/>
          <w:szCs w:val="24"/>
        </w:rPr>
        <w:t xml:space="preserve">Juba’s </w:t>
      </w:r>
      <w:r w:rsidRPr="00143888">
        <w:rPr>
          <w:rFonts w:ascii="Times New Roman" w:hAnsi="Times New Roman" w:cs="Times New Roman"/>
          <w:color w:val="000000"/>
          <w:sz w:val="24"/>
          <w:szCs w:val="24"/>
        </w:rPr>
        <w:t xml:space="preserve">urban expansion can inform the strategic placement of roads, utilities, housing, </w:t>
      </w:r>
      <w:r w:rsidR="003A07C7" w:rsidRPr="00143888">
        <w:rPr>
          <w:rFonts w:ascii="Times New Roman" w:hAnsi="Times New Roman" w:cs="Times New Roman"/>
          <w:color w:val="000000"/>
          <w:sz w:val="24"/>
          <w:szCs w:val="24"/>
        </w:rPr>
        <w:t xml:space="preserve">disaster preparedness, </w:t>
      </w:r>
      <w:r w:rsidRPr="00143888">
        <w:rPr>
          <w:rFonts w:ascii="Times New Roman" w:hAnsi="Times New Roman" w:cs="Times New Roman"/>
          <w:color w:val="000000"/>
          <w:sz w:val="24"/>
          <w:szCs w:val="24"/>
        </w:rPr>
        <w:t>and public services, ensuring that infrastructure development aligns with population growth.</w:t>
      </w:r>
    </w:p>
    <w:p w14:paraId="22897D24" w14:textId="79E33591"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Mitigate Environmental and Social Risks: Understanding patterns of urbanization allows stakeholders to anticipate and address potential challenges, such as deforestation, loss of green spaces, </w:t>
      </w:r>
      <w:r w:rsidR="003A07C7" w:rsidRPr="00143888">
        <w:rPr>
          <w:rFonts w:ascii="Times New Roman" w:hAnsi="Times New Roman" w:cs="Times New Roman"/>
          <w:color w:val="000000"/>
          <w:sz w:val="24"/>
          <w:szCs w:val="24"/>
        </w:rPr>
        <w:t xml:space="preserve">flood planning, </w:t>
      </w:r>
      <w:r w:rsidRPr="00143888">
        <w:rPr>
          <w:rFonts w:ascii="Times New Roman" w:hAnsi="Times New Roman" w:cs="Times New Roman"/>
          <w:color w:val="000000"/>
          <w:sz w:val="24"/>
          <w:szCs w:val="24"/>
        </w:rPr>
        <w:t>and informal settlements, which can impact climate resilience and socio-economic stability.</w:t>
      </w:r>
    </w:p>
    <w:p w14:paraId="051058C7" w14:textId="7942219A"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Advance Geospatial and Machine Learning Applications: This study contributes to the growing field of geospatial machine learning by demonstrating the effectiveness of Random Forest in modeling and predicting urban growth, setting a benchmark for future studies in the region.</w:t>
      </w:r>
    </w:p>
    <w:p w14:paraId="0AD29F42" w14:textId="5F2A6A70" w:rsidR="00980748" w:rsidRPr="00143888" w:rsidRDefault="00980748"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lastRenderedPageBreak/>
        <w:t>Provide a Decision-Support Tool: The predictive model developed in this study can serve as a decision-support system, enabling government agencies, urban developers, and policymakers to make proactive, evidence-based choices for Juba’s future growth.</w:t>
      </w:r>
    </w:p>
    <w:p w14:paraId="2D7D7E13" w14:textId="255D7803" w:rsidR="00BE3DCB" w:rsidRPr="00143888" w:rsidRDefault="00844997"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 </w:t>
      </w:r>
      <w:r w:rsidR="003A07C7" w:rsidRPr="00143888">
        <w:rPr>
          <w:rFonts w:ascii="Times New Roman" w:hAnsi="Times New Roman" w:cs="Times New Roman"/>
          <w:color w:val="000000"/>
          <w:sz w:val="24"/>
          <w:szCs w:val="24"/>
        </w:rPr>
        <w:t>By combining historical analysis with predictive modeling, this research will not only deepen the understanding of Juba’s urban transformation but also provide practical insights for managing its expansion in a sustainable and resilient manner.</w:t>
      </w:r>
    </w:p>
    <w:p w14:paraId="425A72D2" w14:textId="3E638C54" w:rsidR="00BE3DCB" w:rsidRPr="00143888" w:rsidRDefault="00844997" w:rsidP="00AD1DF7">
      <w:pPr>
        <w:pStyle w:val="Heading2"/>
      </w:pPr>
      <w:r w:rsidRPr="00143888">
        <w:t xml:space="preserve">Research Questions </w:t>
      </w:r>
    </w:p>
    <w:p w14:paraId="6CA69ADA" w14:textId="77777777" w:rsidR="008A4DF7" w:rsidRDefault="00844997" w:rsidP="008A4DF7">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To achieve the research objectives, the study shall address </w:t>
      </w:r>
      <w:r w:rsidR="008A4DF7">
        <w:rPr>
          <w:rFonts w:ascii="Times New Roman" w:hAnsi="Times New Roman" w:cs="Times New Roman"/>
          <w:color w:val="000000"/>
          <w:sz w:val="24"/>
          <w:szCs w:val="24"/>
        </w:rPr>
        <w:t>four</w:t>
      </w:r>
      <w:r w:rsidRPr="00143888">
        <w:rPr>
          <w:rFonts w:ascii="Times New Roman" w:hAnsi="Times New Roman" w:cs="Times New Roman"/>
          <w:color w:val="000000"/>
          <w:sz w:val="24"/>
          <w:szCs w:val="24"/>
        </w:rPr>
        <w:t xml:space="preserve"> (</w:t>
      </w:r>
      <w:r w:rsidR="008A4DF7">
        <w:rPr>
          <w:rFonts w:ascii="Times New Roman" w:hAnsi="Times New Roman" w:cs="Times New Roman"/>
          <w:color w:val="000000"/>
          <w:sz w:val="24"/>
          <w:szCs w:val="24"/>
        </w:rPr>
        <w:t>4</w:t>
      </w:r>
      <w:r w:rsidRPr="00143888">
        <w:rPr>
          <w:rFonts w:ascii="Times New Roman" w:hAnsi="Times New Roman" w:cs="Times New Roman"/>
          <w:color w:val="000000"/>
          <w:sz w:val="24"/>
          <w:szCs w:val="24"/>
        </w:rPr>
        <w:t>) key questions. These are:</w:t>
      </w:r>
    </w:p>
    <w:p w14:paraId="62633D9C" w14:textId="77777777" w:rsidR="008A4DF7" w:rsidRPr="008A4DF7" w:rsidRDefault="00844997" w:rsidP="008A4DF7">
      <w:pPr>
        <w:pStyle w:val="ListParagraph"/>
        <w:numPr>
          <w:ilvl w:val="0"/>
          <w:numId w:val="30"/>
        </w:numPr>
        <w:spacing w:line="360" w:lineRule="auto"/>
        <w:jc w:val="both"/>
        <w:rPr>
          <w:rFonts w:ascii="Times New Roman" w:hAnsi="Times New Roman" w:cs="Times New Roman"/>
          <w:sz w:val="24"/>
          <w:szCs w:val="24"/>
        </w:rPr>
      </w:pPr>
      <w:r w:rsidRPr="008A4DF7">
        <w:rPr>
          <w:rFonts w:ascii="Times New Roman" w:hAnsi="Times New Roman" w:cs="Times New Roman"/>
          <w:sz w:val="24"/>
          <w:szCs w:val="24"/>
        </w:rPr>
        <w:t xml:space="preserve">What are the historical trends and patterns of urban growth in Juba from </w:t>
      </w:r>
      <w:r w:rsidR="00700655" w:rsidRPr="008A4DF7">
        <w:rPr>
          <w:rFonts w:ascii="Times New Roman" w:hAnsi="Times New Roman" w:cs="Times New Roman"/>
          <w:sz w:val="24"/>
          <w:szCs w:val="24"/>
        </w:rPr>
        <w:t>1994</w:t>
      </w:r>
      <w:r w:rsidRPr="008A4DF7">
        <w:rPr>
          <w:rFonts w:ascii="Times New Roman" w:hAnsi="Times New Roman" w:cs="Times New Roman"/>
          <w:sz w:val="24"/>
          <w:szCs w:val="24"/>
        </w:rPr>
        <w:t xml:space="preserve"> to </w:t>
      </w:r>
      <w:r w:rsidR="00700655" w:rsidRPr="008A4DF7">
        <w:rPr>
          <w:rFonts w:ascii="Times New Roman" w:hAnsi="Times New Roman" w:cs="Times New Roman"/>
          <w:sz w:val="24"/>
          <w:szCs w:val="24"/>
        </w:rPr>
        <w:t>the present (2023)</w:t>
      </w:r>
      <w:r w:rsidR="00E90F40" w:rsidRPr="008A4DF7">
        <w:rPr>
          <w:rFonts w:ascii="Times New Roman" w:hAnsi="Times New Roman" w:cs="Times New Roman"/>
          <w:sz w:val="24"/>
          <w:szCs w:val="24"/>
        </w:rPr>
        <w:t xml:space="preserve"> based on Landsat 5 and 7 data</w:t>
      </w:r>
      <w:r w:rsidRPr="008A4DF7">
        <w:rPr>
          <w:rFonts w:ascii="Times New Roman" w:hAnsi="Times New Roman" w:cs="Times New Roman"/>
          <w:sz w:val="24"/>
          <w:szCs w:val="24"/>
        </w:rPr>
        <w:t xml:space="preserve">? </w:t>
      </w:r>
    </w:p>
    <w:p w14:paraId="536B0D3D" w14:textId="77777777" w:rsidR="008A4DF7" w:rsidRPr="008A4DF7" w:rsidRDefault="00E90F40" w:rsidP="008A4DF7">
      <w:pPr>
        <w:pStyle w:val="ListParagraph"/>
        <w:numPr>
          <w:ilvl w:val="0"/>
          <w:numId w:val="30"/>
        </w:numPr>
        <w:spacing w:line="360" w:lineRule="auto"/>
        <w:jc w:val="both"/>
        <w:rPr>
          <w:rFonts w:ascii="Times New Roman" w:hAnsi="Times New Roman" w:cs="Times New Roman"/>
          <w:sz w:val="24"/>
          <w:szCs w:val="24"/>
        </w:rPr>
      </w:pPr>
      <w:r w:rsidRPr="008A4DF7">
        <w:rPr>
          <w:rFonts w:ascii="Times New Roman" w:hAnsi="Times New Roman" w:cs="Times New Roman"/>
          <w:sz w:val="24"/>
          <w:szCs w:val="24"/>
        </w:rPr>
        <w:t>How well does the trained Random Forest model perform in detecting historical urban growth trends in Juba from 1994-2003?</w:t>
      </w:r>
    </w:p>
    <w:p w14:paraId="68A3D453" w14:textId="77777777" w:rsidR="008A4DF7" w:rsidRPr="008A4DF7" w:rsidRDefault="00844997" w:rsidP="008A4DF7">
      <w:pPr>
        <w:pStyle w:val="ListParagraph"/>
        <w:numPr>
          <w:ilvl w:val="0"/>
          <w:numId w:val="30"/>
        </w:numPr>
        <w:spacing w:line="360" w:lineRule="auto"/>
        <w:jc w:val="both"/>
        <w:rPr>
          <w:rFonts w:ascii="Times New Roman" w:hAnsi="Times New Roman" w:cs="Times New Roman"/>
          <w:sz w:val="24"/>
          <w:szCs w:val="24"/>
        </w:rPr>
      </w:pPr>
      <w:r w:rsidRPr="008A4DF7">
        <w:rPr>
          <w:rFonts w:ascii="Times New Roman" w:hAnsi="Times New Roman" w:cs="Times New Roman"/>
          <w:sz w:val="24"/>
          <w:szCs w:val="24"/>
        </w:rPr>
        <w:t>What are the anticipated</w:t>
      </w:r>
      <w:r w:rsidR="00DF7CB2" w:rsidRPr="008A4DF7">
        <w:rPr>
          <w:rFonts w:ascii="Times New Roman" w:hAnsi="Times New Roman" w:cs="Times New Roman"/>
          <w:sz w:val="24"/>
          <w:szCs w:val="24"/>
        </w:rPr>
        <w:t xml:space="preserve"> (predicted)</w:t>
      </w:r>
      <w:r w:rsidRPr="008A4DF7">
        <w:rPr>
          <w:rFonts w:ascii="Times New Roman" w:hAnsi="Times New Roman" w:cs="Times New Roman"/>
          <w:sz w:val="24"/>
          <w:szCs w:val="24"/>
        </w:rPr>
        <w:t xml:space="preserve"> future patterns of urban growth in Juba </w:t>
      </w:r>
      <w:r w:rsidR="00DF7CB2" w:rsidRPr="008A4DF7">
        <w:rPr>
          <w:rFonts w:ascii="Times New Roman" w:hAnsi="Times New Roman" w:cs="Times New Roman"/>
          <w:sz w:val="24"/>
          <w:szCs w:val="24"/>
        </w:rPr>
        <w:t>from 2024-2033</w:t>
      </w:r>
      <w:r w:rsidRPr="008A4DF7">
        <w:rPr>
          <w:rFonts w:ascii="Times New Roman" w:hAnsi="Times New Roman" w:cs="Times New Roman"/>
          <w:sz w:val="24"/>
          <w:szCs w:val="24"/>
        </w:rPr>
        <w:t xml:space="preserve">? </w:t>
      </w:r>
    </w:p>
    <w:p w14:paraId="7048672F" w14:textId="6FBAB44D" w:rsidR="00DF7CB2" w:rsidRPr="008A4DF7" w:rsidRDefault="00DF7CB2" w:rsidP="008A4DF7">
      <w:pPr>
        <w:pStyle w:val="ListParagraph"/>
        <w:numPr>
          <w:ilvl w:val="0"/>
          <w:numId w:val="30"/>
        </w:numPr>
        <w:spacing w:line="360" w:lineRule="auto"/>
        <w:jc w:val="both"/>
        <w:rPr>
          <w:rFonts w:ascii="Times New Roman" w:hAnsi="Times New Roman" w:cs="Times New Roman"/>
          <w:color w:val="000000"/>
          <w:sz w:val="24"/>
          <w:szCs w:val="24"/>
        </w:rPr>
      </w:pPr>
      <w:r w:rsidRPr="008A4DF7">
        <w:rPr>
          <w:rFonts w:ascii="Times New Roman" w:hAnsi="Times New Roman" w:cs="Times New Roman"/>
          <w:sz w:val="24"/>
          <w:szCs w:val="24"/>
        </w:rPr>
        <w:t>How can predictive urban growth modeling support decision-making for sustainable land management and infrastructure planning in Juba?</w:t>
      </w:r>
    </w:p>
    <w:p w14:paraId="77ED0107" w14:textId="77777777" w:rsidR="00DF7CB2" w:rsidRPr="00143888" w:rsidRDefault="00DF7CB2" w:rsidP="00143888">
      <w:pPr>
        <w:spacing w:line="360" w:lineRule="auto"/>
        <w:jc w:val="both"/>
        <w:rPr>
          <w:rFonts w:ascii="Times New Roman" w:hAnsi="Times New Roman" w:cs="Times New Roman"/>
          <w:sz w:val="24"/>
          <w:szCs w:val="24"/>
        </w:rPr>
      </w:pPr>
    </w:p>
    <w:p w14:paraId="3A149A08" w14:textId="77777777" w:rsidR="00DF7CB2" w:rsidRPr="00143888" w:rsidRDefault="00DF7CB2" w:rsidP="00143888">
      <w:pPr>
        <w:spacing w:line="360" w:lineRule="auto"/>
        <w:jc w:val="both"/>
        <w:rPr>
          <w:rFonts w:ascii="Times New Roman" w:hAnsi="Times New Roman" w:cs="Times New Roman"/>
          <w:sz w:val="24"/>
          <w:szCs w:val="24"/>
        </w:rPr>
      </w:pPr>
    </w:p>
    <w:p w14:paraId="596FF4C7" w14:textId="77777777" w:rsidR="00DF7CB2" w:rsidRPr="00143888" w:rsidRDefault="00DF7CB2"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br w:type="page"/>
      </w:r>
    </w:p>
    <w:p w14:paraId="70C455AB" w14:textId="41D662B4" w:rsidR="00BE3DCB" w:rsidRDefault="00844997" w:rsidP="008A4DF7">
      <w:pPr>
        <w:pStyle w:val="Heading1"/>
      </w:pPr>
      <w:r w:rsidRPr="00143888">
        <w:lastRenderedPageBreak/>
        <w:t>Literature review</w:t>
      </w:r>
    </w:p>
    <w:p w14:paraId="7730463E" w14:textId="137AC7E9" w:rsidR="00F204A5" w:rsidRPr="00F204A5" w:rsidRDefault="00F204A5" w:rsidP="00F204A5">
      <w:r w:rsidRPr="000F0885">
        <w:rPr>
          <w:noProof/>
        </w:rPr>
        <mc:AlternateContent>
          <mc:Choice Requires="wps">
            <w:drawing>
              <wp:anchor distT="91440" distB="91440" distL="365760" distR="365760" simplePos="0" relativeHeight="251669504" behindDoc="0" locked="0" layoutInCell="1" allowOverlap="1" wp14:anchorId="6853E36C" wp14:editId="4D651686">
                <wp:simplePos x="0" y="0"/>
                <wp:positionH relativeFrom="margin">
                  <wp:align>right</wp:align>
                </wp:positionH>
                <wp:positionV relativeFrom="margin">
                  <wp:posOffset>752475</wp:posOffset>
                </wp:positionV>
                <wp:extent cx="5984875" cy="2511425"/>
                <wp:effectExtent l="0" t="0" r="0" b="3175"/>
                <wp:wrapTopAndBottom/>
                <wp:docPr id="595690451" name="Rectangle 152"/>
                <wp:cNvGraphicFramePr/>
                <a:graphic xmlns:a="http://schemas.openxmlformats.org/drawingml/2006/main">
                  <a:graphicData uri="http://schemas.microsoft.com/office/word/2010/wordprocessingShape">
                    <wps:wsp>
                      <wps:cNvSpPr/>
                      <wps:spPr>
                        <a:xfrm>
                          <a:off x="0" y="0"/>
                          <a:ext cx="5984875" cy="2511631"/>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203A2B3"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578E6337" w14:textId="77777777" w:rsidR="00AD2C6B" w:rsidRDefault="00AD2C6B" w:rsidP="00AD2C6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 xml:space="preserve">This literature review examines urban growth prediction methodologies, focusing on Juba, South Sudan - a rapidly urbanizing post-conflict city. Key approaches include Random Forest (RF) machine learning for land cover classification, Cellular Automata for spatial dynamics, and Markov Chains for transition probabilities. </w:t>
                            </w:r>
                          </w:p>
                          <w:p w14:paraId="4E6FFC78" w14:textId="77777777" w:rsidR="00AD2C6B" w:rsidRDefault="00AD2C6B" w:rsidP="00AD2C6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 xml:space="preserve">The study highlights Juba's unique challenges: scarce data due to conflict, unplanned expansion, and environmental impacts. By integrating Google Earth Engine and QGIS, this research advances urban prediction in data-scarce contexts using 1994-2023 Landsat imagery. </w:t>
                            </w:r>
                          </w:p>
                          <w:p w14:paraId="16DFC2BD" w14:textId="393564CE" w:rsidR="00AD2C6B" w:rsidRPr="000F0885" w:rsidRDefault="00AD2C6B" w:rsidP="00F204A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The novelty lies in applying RF with cloud masking and ground control points to develop a decision-support tool for sustainable planning in fragile urban environments.</w:t>
                            </w:r>
                          </w:p>
                          <w:p w14:paraId="1F85EE45"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3E36C" id="_x0000_s1027" style="position:absolute;margin-left:420.05pt;margin-top:59.25pt;width:471.25pt;height:197.75pt;z-index:251669504;visibility:visible;mso-wrap-style:square;mso-width-percent:0;mso-height-percent:0;mso-wrap-distance-left:28.8pt;mso-wrap-distance-top:7.2pt;mso-wrap-distance-right:28.8pt;mso-wrap-distance-bottom:7.2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" filled="f" stroked="f" strokeweight="2pt">
                <v:textbox inset="10.8pt,0,10.8pt,0">
                  <w:txbxContent>
                    <w:p w14:paraId="1203A2B3"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578E6337" w14:textId="77777777" w:rsidR="00AD2C6B" w:rsidRDefault="00AD2C6B" w:rsidP="00AD2C6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 xml:space="preserve">This literature review examines urban growth prediction methodologies, focusing on Juba, South Sudan - a rapidly urbanizing post-conflict city. Key approaches include Random Forest (RF) machine learning for land cover classification, Cellular Automata for spatial dynamics, and Markov Chains for transition probabilities. </w:t>
                      </w:r>
                    </w:p>
                    <w:p w14:paraId="4E6FFC78" w14:textId="77777777" w:rsidR="00AD2C6B" w:rsidRDefault="00AD2C6B" w:rsidP="00AD2C6B">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 xml:space="preserve">The study highlights Juba's unique challenges: scarce data due to conflict, unplanned expansion, and environmental impacts. By integrating Google Earth Engine and QGIS, this research advances urban prediction in data-scarce contexts using 1994-2023 Landsat imagery. </w:t>
                      </w:r>
                    </w:p>
                    <w:p w14:paraId="16DFC2BD" w14:textId="393564CE" w:rsidR="00AD2C6B" w:rsidRPr="000F0885" w:rsidRDefault="00AD2C6B" w:rsidP="00F204A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AD2C6B">
                        <w:rPr>
                          <w:rFonts w:ascii="Times New Roman" w:hAnsi="Times New Roman" w:cs="Times New Roman"/>
                          <w:color w:val="4F81BD" w:themeColor="accent1"/>
                        </w:rPr>
                        <w:t>The novelty lies in applying RF with cloud masking and ground control points to develop a decision-support tool for sustainable planning in fragile urban environments.</w:t>
                      </w:r>
                    </w:p>
                    <w:p w14:paraId="1F85EE45"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371773FD" w14:textId="4CBD17E7" w:rsidR="00BE3DCB" w:rsidRPr="00143888" w:rsidRDefault="00844997" w:rsidP="008A4DF7">
      <w:pPr>
        <w:pStyle w:val="Heading2"/>
      </w:pPr>
      <w:r w:rsidRPr="00143888">
        <w:t xml:space="preserve">Introduction  </w:t>
      </w:r>
    </w:p>
    <w:p w14:paraId="19C975EC" w14:textId="3657903B" w:rsidR="00BE3DCB" w:rsidRPr="00143888" w:rsidRDefault="00844997"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Urban growth prediction is a</w:t>
      </w:r>
      <w:r w:rsidR="003B56D5" w:rsidRPr="00143888">
        <w:rPr>
          <w:rFonts w:ascii="Times New Roman" w:hAnsi="Times New Roman" w:cs="Times New Roman"/>
          <w:color w:val="000000"/>
          <w:sz w:val="24"/>
          <w:szCs w:val="24"/>
        </w:rPr>
        <w:t xml:space="preserve">n important </w:t>
      </w:r>
      <w:r w:rsidRPr="00143888">
        <w:rPr>
          <w:rFonts w:ascii="Times New Roman" w:hAnsi="Times New Roman" w:cs="Times New Roman"/>
          <w:color w:val="000000"/>
          <w:sz w:val="24"/>
          <w:szCs w:val="24"/>
        </w:rPr>
        <w:t xml:space="preserve">component of urban planning and sustainable development,  particularly in rapidly urbanizing regions such as Juba, the </w:t>
      </w:r>
      <w:r w:rsidR="003B56D5" w:rsidRPr="00143888">
        <w:rPr>
          <w:rFonts w:ascii="Times New Roman" w:hAnsi="Times New Roman" w:cs="Times New Roman"/>
          <w:color w:val="000000"/>
          <w:sz w:val="24"/>
          <w:szCs w:val="24"/>
        </w:rPr>
        <w:t>capital of Central Equatoria State that doubles as the C</w:t>
      </w:r>
      <w:r w:rsidRPr="00143888">
        <w:rPr>
          <w:rFonts w:ascii="Times New Roman" w:hAnsi="Times New Roman" w:cs="Times New Roman"/>
          <w:color w:val="000000"/>
          <w:sz w:val="24"/>
          <w:szCs w:val="24"/>
        </w:rPr>
        <w:t>apital city of South Sudan. Juba has</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experienced significant changes in land use and land cover (LULC) over the past few decades</w:t>
      </w:r>
      <w:r w:rsidR="003B56D5" w:rsidRPr="00143888">
        <w:rPr>
          <w:rFonts w:ascii="Times New Roman" w:hAnsi="Times New Roman" w:cs="Times New Roman"/>
          <w:color w:val="000000"/>
          <w:sz w:val="24"/>
          <w:szCs w:val="24"/>
        </w:rPr>
        <w:t xml:space="preserve"> as noted by </w:t>
      </w:r>
      <w:r w:rsidR="003B56D5"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{"citationID":"B8zrg8nI","properties":{"formattedCitation":"(Gudo, Deng and Qureshi, 2022a; UN-HABITAT {\\i{}et al.}, 2023)","plainCitation":"(Gudo, Deng and Qureshi, 2022a; UN-HABITAT et al., 2023)","noteIndex":0},"citationItems":[{"id":"z3TBblIN/RtA5r3hs","uris":["http://zotero.org/users/16803167/items/CVJWRBRK"],"itemData":{"id":77,"type":"article-journal","abstract":"The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Sarwar"}],"issued":{"date-parts":[["2022",8,29]]}}},{"id":46,"uris":["http://zotero.org/users/16803167/items/FCK9LEVF"],"itemData":{"id":46,"type":"webpage","title":"Juba Strategic Plan | UN-Habitat","URL":"https://unhabitat.org/juba-strategic-plan","author":[{"family":"UN-HABITAT","given":""},{"family":"Salvatore","given":"Fundaro"},{"family":"Luis Del","given":"Llano Gilio"},{"family":"Oumar","given":"Sylla"},{"family":"Thomas","given":"Chiramba"},{"family":"Shaku","given":"Matumbi"},{"family":"Alex","given":"Koech"},{"family":"Toma","given":"Canesi"},{"family":"Helio Munhoz","given":"Buba"},{"family":"Edoardo","given":"Forzano"},{"family":"Anahide","given":"Nahhal"},{"family":"Huang","given":"Qigi"},{"family":"Grace","given":"Nyoka"},{"family":"Martin Malish","given":"Isaac"}],"accessed":{"date-parts":[["2025",3,30]]},"issued":{"date-parts":[["2023"]]}}}],"schema":"https://github.com/citation-style-language/schema/raw/master/csl-citation.json"} </w:instrText>
      </w:r>
      <w:r w:rsidR="003B56D5" w:rsidRPr="00143888">
        <w:rPr>
          <w:rFonts w:ascii="Times New Roman" w:hAnsi="Times New Roman" w:cs="Times New Roman"/>
          <w:color w:val="000000"/>
          <w:sz w:val="24"/>
          <w:szCs w:val="24"/>
        </w:rPr>
        <w:fldChar w:fldCharType="separate"/>
      </w:r>
      <w:r w:rsidR="003B56D5" w:rsidRPr="00503423">
        <w:rPr>
          <w:rFonts w:ascii="Times New Roman" w:hAnsi="Times New Roman" w:cs="Times New Roman"/>
          <w:color w:val="0000FF"/>
          <w:sz w:val="24"/>
          <w:szCs w:val="24"/>
          <w:u w:val="single"/>
        </w:rPr>
        <w:t xml:space="preserve">(Gudo, Deng and Qureshi, 2022a; UN-HABITAT </w:t>
      </w:r>
      <w:r w:rsidR="003B56D5" w:rsidRPr="00503423">
        <w:rPr>
          <w:rFonts w:ascii="Times New Roman" w:hAnsi="Times New Roman" w:cs="Times New Roman"/>
          <w:i/>
          <w:iCs/>
          <w:color w:val="0000FF"/>
          <w:sz w:val="24"/>
          <w:szCs w:val="24"/>
          <w:u w:val="single"/>
        </w:rPr>
        <w:t>et al.</w:t>
      </w:r>
      <w:r w:rsidR="003B56D5" w:rsidRPr="00503423">
        <w:rPr>
          <w:rFonts w:ascii="Times New Roman" w:hAnsi="Times New Roman" w:cs="Times New Roman"/>
          <w:color w:val="0000FF"/>
          <w:sz w:val="24"/>
          <w:szCs w:val="24"/>
          <w:u w:val="single"/>
        </w:rPr>
        <w:t>, 2023)</w:t>
      </w:r>
      <w:r w:rsidR="003B56D5"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driven by factors such as population growth, civil unrest, and economic development. This literature review explores the methodologies and findings of recent studies on urban growth prediction</w:t>
      </w:r>
      <w:r w:rsidR="003B56D5" w:rsidRPr="00143888">
        <w:rPr>
          <w:rFonts w:ascii="Times New Roman" w:hAnsi="Times New Roman" w:cs="Times New Roman"/>
          <w:color w:val="000000"/>
          <w:sz w:val="24"/>
          <w:szCs w:val="24"/>
        </w:rPr>
        <w:t xml:space="preserve"> in general and</w:t>
      </w:r>
      <w:r w:rsidRPr="00143888">
        <w:rPr>
          <w:rFonts w:ascii="Times New Roman" w:hAnsi="Times New Roman" w:cs="Times New Roman"/>
          <w:sz w:val="24"/>
          <w:szCs w:val="24"/>
        </w:rPr>
        <w:t xml:space="preserve"> </w:t>
      </w:r>
      <w:r w:rsidRPr="00143888">
        <w:rPr>
          <w:rFonts w:ascii="Times New Roman" w:hAnsi="Times New Roman" w:cs="Times New Roman"/>
          <w:color w:val="000000"/>
          <w:sz w:val="24"/>
          <w:szCs w:val="24"/>
        </w:rPr>
        <w:t>Juba</w:t>
      </w:r>
      <w:r w:rsidR="003B56D5" w:rsidRPr="00143888">
        <w:rPr>
          <w:rFonts w:ascii="Times New Roman" w:hAnsi="Times New Roman" w:cs="Times New Roman"/>
          <w:color w:val="000000"/>
          <w:sz w:val="24"/>
          <w:szCs w:val="24"/>
        </w:rPr>
        <w:t xml:space="preserve"> in particular</w:t>
      </w:r>
      <w:r w:rsidRPr="00143888">
        <w:rPr>
          <w:rFonts w:ascii="Times New Roman" w:hAnsi="Times New Roman" w:cs="Times New Roman"/>
          <w:color w:val="000000"/>
          <w:sz w:val="24"/>
          <w:szCs w:val="24"/>
        </w:rPr>
        <w:t xml:space="preserve">. </w:t>
      </w:r>
    </w:p>
    <w:p w14:paraId="0D513031" w14:textId="26088446" w:rsidR="002C1399" w:rsidRPr="00143888" w:rsidRDefault="00844997" w:rsidP="008A4DF7">
      <w:pPr>
        <w:pStyle w:val="Heading2"/>
      </w:pPr>
      <w:r w:rsidRPr="00143888">
        <w:t xml:space="preserve">Methodologies for Urban Growth Prediction </w:t>
      </w:r>
    </w:p>
    <w:p w14:paraId="086414E3" w14:textId="53D6632D" w:rsidR="00CE074E" w:rsidRPr="00143888"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Urban growth prediction methodologies employ a variety of models and technologies to simulate future urban expansion patterns. These approaches aim to generate accurate forecasts that support urban planning, infrastructure development, and </w:t>
      </w:r>
      <w:proofErr w:type="gramStart"/>
      <w:r w:rsidRPr="00143888">
        <w:rPr>
          <w:rFonts w:ascii="Times New Roman" w:hAnsi="Times New Roman" w:cs="Times New Roman"/>
          <w:color w:val="000000"/>
          <w:sz w:val="24"/>
          <w:szCs w:val="24"/>
        </w:rPr>
        <w:t>policy-making</w:t>
      </w:r>
      <w:proofErr w:type="gramEnd"/>
      <w:r w:rsidRPr="00143888">
        <w:rPr>
          <w:rFonts w:ascii="Times New Roman" w:hAnsi="Times New Roman" w:cs="Times New Roman"/>
          <w:color w:val="000000"/>
          <w:sz w:val="24"/>
          <w:szCs w:val="24"/>
        </w:rPr>
        <w:t>, ensuring sustainable urban growth. By analyzing historical trends and incorporating spatial and statistical data, these methodologies provide insights into the drivers of urbanization and help stakeholders make informed decisions.</w:t>
      </w:r>
    </w:p>
    <w:p w14:paraId="1DB35753" w14:textId="05A54A83" w:rsidR="0035345A" w:rsidRPr="00143888" w:rsidRDefault="0035345A" w:rsidP="008A4DF7">
      <w:pPr>
        <w:pStyle w:val="Heading3"/>
      </w:pPr>
      <w:r w:rsidRPr="00143888">
        <w:lastRenderedPageBreak/>
        <w:t>Machine Learning Models (Random Forest)</w:t>
      </w:r>
    </w:p>
    <w:p w14:paraId="7CD0EBBD" w14:textId="7FEF62EF" w:rsidR="00CE074E" w:rsidRPr="00143888" w:rsidRDefault="00CE074E"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Machine learning models have become indispensable tools in urban growth prediction, offering the capability to analyze complex patterns in large spatial datasets. Among these, Random Forest (RF) has gained significant traction for land use classification due to its ability to leverage historical remote sensing data and spatial attributes to identify urban expansion trends </w:t>
      </w:r>
      <w:r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{"citationID":"QHF0iLKH","properties":{"formattedCitation":"(Balzter {\\i{}et al.}, 2015; Ouma {\\i{}et al.}, 2024; Sulistiyono {\\i{}et al.}, 2024)","plainCitation":"(Balzter et al., 2015; Ouma et al., 2024; Sulistiyono et al., 2024)","noteIndex":0},"citationItems":[{"id":84,"uris":["http://zotero.org/users/16803167/items/K5A36DKS"],"itemData":{"id":84,"type":"article-journal","abstract":"The European CORINE land cover mapping scheme is a standardized classification system with 44 land cover and land use classes. It is used by the European Environment Agency to report large-scale land cover change with a minimum mapping unit of 5 ha every six years and operationally mapped by its member states. The most commonly applied method to map CORINE land cover change is by visual interpretation of optical/near-infrared satellite imagery. The Sentinel-1A satellite carries a C-band Synthetic Aperture Radar (SAR) and was launched in 2014 by the European Space Agency as the first operational Copernicus mission. This study is the first investigation of Sentinel-1A for CORINE land cover mapping. Two of the first Sentinel-1A images acquired during its ramp-up phase in May and December 2014 over Thuringia in Germany are analysed. 27 hybrid level 2/3 CORINE classes are defined. 17 of these were present at the study site and classified based on a stratified random sample of training pixels from the polygon-eroded CORINE 2006 map. Sentinel-1A logarithmic radar backscatter at HH and HV polarisation (May acquisition), VV and VH polarisation (December acquisition), and the HH image texture are used as input bands to the classification. In addition, a Digital Terrain Model (DTM), a Canopy Height Model (CHM) and slope and aspect maps from the Shuttle Radar Topography Mission (SRTM) are used as input bands to account for geomorphological features of the landscape. In future, elevation data will be delivered for areas with sufficiently high coherence from the Sentinel-1A Interferometric Wide-Swath Mode itself. When augmented by elevation data from radar interferometry, Sentinel-1A is able to discriminate several CORINE land cover classes, making it useful for monitoring of  cloud-covered regions. A bistatic Sentinel-1 Convoy mission would enable single-pass interferometric acquisitions without temporal decorrelation.","container-title":"Remote Sensing","DOI":"10.3390/rs71114876","ISSN":"2072-4292","issue":"11","journalAbbreviation":"Remote Sensing","language":"en","license":"https://creativecommons.org/licenses/by/4.0/","page":"14876-14898","source":"DOI.org (Crossref)","title":"Mapping CORINE Land Cover from Sentinel-1A SAR and SRTM Digital Elevation Model Data using Random Forests","volume":"7","author":[{"family":"Balzter","given":"Heiko"},{"family":"Cole","given":"Beth"},{"family":"Thiel","given":"Christian"},{"family":"Schmullius","given":"Christiane"}],"issued":{"date-parts":[["2015",11,6]]}}},{"id":82,"uris":["http://zotero.org/users/16803167/items/KFF7TIZD"],"itemData":{"id":82,"type":"article-journal","abstract":"For sustainable water resource management within dam catchments, accurate knowledge of land-use and land-cover change (LULCC) and the relationships with dam water variability is necessary. To improve LULCC prediction, this study proposes the use of a random forest regression (RFR) model, in comparison with logistic regression–cellular automata (LR-CA) and artificial neural network–cellular automata (ANN-CA), for the prediction of LULCC (2019–2030) in the Gaborone dam catchment (Botswana). RFR is proposed as it is able to capture the existing and potential interactions between the LULC intensity and their nonlinear interactions with the change-driving factors. For LULCC forecasting, the driving factors comprised physiographic variables (elevation, slope and aspect) and proximity-neighborhood factors (distances to water bodies, roads and urban areas). In simulating the historical LULC (1986–2019) at 5-year time steps, RFR outperformed ANN-CA and LR-CA models with respective percentage accuracies of 84.9%, 62.1% and 60.7%. Using the RFR model, the predicted LULCCs were determined as vegetation (−8.9%), bare soil (+8.9%), built-up (+2.49%) and cropland (−2.8%), with water bodies exhibiting insignificant change. The correlation between land use (built-up areas) and water depicted an increasing population against decreasing dam water capacity. The study approach has the potential for deriving the catchment land–water nexus, which can aid in the formulation of sustainable catchment monitoring and development strategies.","container-title":"Sustainability","DOI":"10.3390/su16041699","ISSN":"2071-1050","issue":"4","language":"en","license":"http://creativecommons.org/licenses/by/3.0/","note":"number: 4\npublisher: Multidisciplinary Digital Publishing Institute","page":"1699","source":"www.mdpi.com","title":"Land-Use Change Prediction in Dam Catchment Using Logistic Regression-CA, ANN-CA and Random Forest Regression and Implications for Sustainable Land–Water Nexus","volume":"16","author":[{"family":"Ouma","given":"Yashon O."},{"family":"Nkwae","given":"Boipuso"},{"family":"Odirile","given":"Phillimon"},{"family":"Moalafhi","given":"Ditiro B."},{"family":"Anderson","given":"George"},{"family":"Parida","given":"Bhagabat"},{"family":"Qi","given":"Jiaguo"}],"issued":{"date-parts":[["2024",1]]}}},{"id":86,"uris":["http://zotero.org/users/16803167/items/X6QVCFWF"],"itemData":{"id":86,"type":"article-journal","abstract":"Abstract\n            Mangroves are a forest ecosystem tolerant to salt (halophytic) and influenced by sea tides. Mangrove forests are producers of ecosystem services that all living things need. The use of remote sensing can be used to identify mangrove forests in large areas in a short time. Sentinel-1 is a satellite product widely used to monitor land cover, including mangrove forests. The research objective was to identify mangrove forests in the Medan Belawan District using Sentinel-1 satellite imagery. Land cover classification in digital images was done using supervised classification with the maximum likelihood and random forest method. The results showed that random forest methods are more accurate than the maximum likelihood of identifying mangrove forests in Medan Belawan. The kappa accuracy value of the digital satellite image classification using the random forest method is 85.09%, and the maximum likelihood method is 77.4%. Based on the random forest method, the mangrove forest area is 1,325.81 hectares or 43.64% of the Belawan District area.","container-title":"IOP Conference Series: Earth and Environmental Science","DOI":"10.1088/1755-1315/1352/1/012051","ISSN":"1755-1307, 1755-1315","issue":"1","journalAbbreviation":"IOP Conf. Ser.: Earth Environ. Sci.","page":"012051","source":"DOI.org (Crossref)","title":"Identification of mangrove forests using Sentinel-1 Synthetic Aperture Radar (SAR) satellite imagery in Medan Belawan District, Medan City","volume":"1352","author":[{"family":"Sulistiyono","given":"N"},{"family":"Tarigan","given":"C P"},{"family":"Daulay","given":"A F"},{"family":"Hudjimartsu","given":"S A"},{"family":"Putri","given":"Y U"}],"issued":{"date-parts":[["2024",5,1]]}}}],"schema":"https://github.com/citation-style-language/schema/raw/master/csl-citation.json"} </w:instrText>
      </w:r>
      <w:r w:rsidRPr="00143888">
        <w:rPr>
          <w:rFonts w:ascii="Times New Roman" w:hAnsi="Times New Roman" w:cs="Times New Roman"/>
          <w:color w:val="000000"/>
          <w:sz w:val="24"/>
          <w:szCs w:val="24"/>
        </w:rPr>
        <w:fldChar w:fldCharType="separate"/>
      </w:r>
      <w:r w:rsidR="0035345A" w:rsidRPr="00503423">
        <w:rPr>
          <w:rFonts w:ascii="Times New Roman" w:hAnsi="Times New Roman" w:cs="Times New Roman"/>
          <w:color w:val="0000FF"/>
          <w:sz w:val="24"/>
          <w:szCs w:val="24"/>
          <w:u w:val="single"/>
        </w:rPr>
        <w:t xml:space="preserve">(Balzter </w:t>
      </w:r>
      <w:r w:rsidR="0035345A" w:rsidRPr="00503423">
        <w:rPr>
          <w:rFonts w:ascii="Times New Roman" w:hAnsi="Times New Roman" w:cs="Times New Roman"/>
          <w:i/>
          <w:iCs/>
          <w:color w:val="0000FF"/>
          <w:sz w:val="24"/>
          <w:szCs w:val="24"/>
          <w:u w:val="single"/>
        </w:rPr>
        <w:t>et al.</w:t>
      </w:r>
      <w:r w:rsidR="0035345A" w:rsidRPr="00503423">
        <w:rPr>
          <w:rFonts w:ascii="Times New Roman" w:hAnsi="Times New Roman" w:cs="Times New Roman"/>
          <w:color w:val="0000FF"/>
          <w:sz w:val="24"/>
          <w:szCs w:val="24"/>
          <w:u w:val="single"/>
        </w:rPr>
        <w:t xml:space="preserve">, 2015; Ouma </w:t>
      </w:r>
      <w:r w:rsidR="0035345A" w:rsidRPr="00503423">
        <w:rPr>
          <w:rFonts w:ascii="Times New Roman" w:hAnsi="Times New Roman" w:cs="Times New Roman"/>
          <w:i/>
          <w:iCs/>
          <w:color w:val="0000FF"/>
          <w:sz w:val="24"/>
          <w:szCs w:val="24"/>
          <w:u w:val="single"/>
        </w:rPr>
        <w:t>et al.</w:t>
      </w:r>
      <w:r w:rsidR="0035345A" w:rsidRPr="00503423">
        <w:rPr>
          <w:rFonts w:ascii="Times New Roman" w:hAnsi="Times New Roman" w:cs="Times New Roman"/>
          <w:color w:val="0000FF"/>
          <w:sz w:val="24"/>
          <w:szCs w:val="24"/>
          <w:u w:val="single"/>
        </w:rPr>
        <w:t xml:space="preserve">, 2024; Sulistiyono </w:t>
      </w:r>
      <w:r w:rsidR="0035345A" w:rsidRPr="00503423">
        <w:rPr>
          <w:rFonts w:ascii="Times New Roman" w:hAnsi="Times New Roman" w:cs="Times New Roman"/>
          <w:i/>
          <w:iCs/>
          <w:color w:val="0000FF"/>
          <w:sz w:val="24"/>
          <w:szCs w:val="24"/>
          <w:u w:val="single"/>
        </w:rPr>
        <w:t>et al.</w:t>
      </w:r>
      <w:r w:rsidR="0035345A" w:rsidRPr="00503423">
        <w:rPr>
          <w:rFonts w:ascii="Times New Roman" w:hAnsi="Times New Roman" w:cs="Times New Roman"/>
          <w:color w:val="0000FF"/>
          <w:sz w:val="24"/>
          <w:szCs w:val="24"/>
          <w:u w:val="single"/>
        </w:rPr>
        <w:t>, 2024)</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Similarly, Support Vector Machines (SVM) have proven effective in distinguishing land cover types and detecting urbanization dynamics by identifying decision boundaries in high-dimensional feature spaces</w:t>
      </w:r>
      <w:r w:rsidR="0035345A" w:rsidRPr="00143888">
        <w:rPr>
          <w:rFonts w:ascii="Times New Roman" w:hAnsi="Times New Roman" w:cs="Times New Roman"/>
          <w:color w:val="000000"/>
          <w:sz w:val="24"/>
          <w:szCs w:val="24"/>
        </w:rPr>
        <w:t xml:space="preserve">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{"citationID":"AYjWSCJ5","properties":{"formattedCitation":"(Bouaziz, Eisold and Guermazi, 2017; Trabelsi {\\i{}et al.}, 2023)","plainCitation":"(Bouaziz, Eisold and Guermazi, 2017; Trabelsi et al., 2023)","noteIndex":0},"citationItems":[{"id":88,"uris":["http://zotero.org/users/16803167/items/5Q3GF2SS"],"itemData":{"id":88,"type":"article-journal","container-title":"Euro-Mediterranean Journal for Environmental Integration","DOI":"10.1007/s41207-017-0036-7","ISSN":"2365-6433, 2365-7448","issue":"1","journalAbbreviation":"Euro-Mediterr J Environ Integr","language":"en","page":"24","source":"DOI.org (Crossref)","title":"Semiautomatic approach for land cover classification: a remote sensing study for arid climate in southeastern Tunisia","title-short":"Semiautomatic approach for land cover classification","volume":"2","author":[{"family":"Bouaziz","given":"Moncef"},{"family":"Eisold","given":"Stefanie"},{"family":"Guermazi","given":"Emna"}],"issued":{"date-parts":[["2017",10]]}}},{"id":90,"uris":["http://zotero.org/users/16803167/items/SWAVUBJS"],"itemData":{"id":90,"type":"article-journal","container-title":"Journal of Geographic Information System","DOI":"10.4236/jgis.2023.156033","ISSN":"2151-1950, 2151-1969","issue":"06","journalAbbreviation":"JGIS","page":"652-668","source":"DOI.org (Crossref)","title":"Classification and Spatio-Temporal Change Detection of Land Use/Land Cover Using Remote Sensing and Geographic Information System in the Manouba Region, NE Tunisia","volume":"15","author":[{"family":"Trabelsi","given":"Nadia"},{"family":"Triki","given":"Ibtissem"},{"family":"Hentati","given":"Imen"},{"family":"Rachdi","given":"Nizar"}],"issued":{"date-parts":[["2023"]]}}}],"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503423">
        <w:rPr>
          <w:rFonts w:ascii="Times New Roman" w:hAnsi="Times New Roman" w:cs="Times New Roman"/>
          <w:color w:val="0000FF"/>
          <w:sz w:val="24"/>
          <w:szCs w:val="24"/>
          <w:u w:val="single"/>
        </w:rPr>
        <w:t xml:space="preserve">(Bouaziz, Eisold and Guermazi, 2017; Trabelsi </w:t>
      </w:r>
      <w:r w:rsidR="0035345A" w:rsidRPr="00503423">
        <w:rPr>
          <w:rFonts w:ascii="Times New Roman" w:hAnsi="Times New Roman" w:cs="Times New Roman"/>
          <w:i/>
          <w:iCs/>
          <w:color w:val="0000FF"/>
          <w:sz w:val="24"/>
          <w:szCs w:val="24"/>
          <w:u w:val="single"/>
        </w:rPr>
        <w:t>et al.</w:t>
      </w:r>
      <w:r w:rsidR="0035345A" w:rsidRPr="00503423">
        <w:rPr>
          <w:rFonts w:ascii="Times New Roman" w:hAnsi="Times New Roman" w:cs="Times New Roman"/>
          <w:color w:val="0000FF"/>
          <w:sz w:val="24"/>
          <w:szCs w:val="24"/>
          <w:u w:val="single"/>
        </w:rPr>
        <w:t>, 2023)</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Meanwhile, Artificial Neural Networks (ANNs), with their capacity to model nonlinear relationships, have been increasingly employed to enhance predictive accuracy in urban growth forecasting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{"citationID":"3EPKXpDK","properties":{"formattedCitation":"(Feng {\\i{}et al.}, 2011)","plainCitation":"(Feng et al., 2011)","noteIndex":0},"citationItems":[{"id":92,"uris":["http://zotero.org/users/16803167/items/EXL5NB8E"],"itemData":{"id":92,"type":"article-journal","container-title":"Landscape and Urban Planning","DOI":"10.1016/j.landurbplan.2011.04.004","ISSN":"01692046","issue":"3","journalAbbreviation":"Landscape and Urban Planning","language":"en","license":"https://www.elsevier.com/tdm/userlicense/1.0/","page":"188-196","source":"DOI.org (Crossref)","title":"Modeling dynamic urban growth using cellular automata and particle swarm optimization rules","volume":"102","author":[{"family":"Feng","given":"Yongjiu"},{"family":"Liu","given":"Yan"},{"family":"Tong","given":"Xiaohua"},{"family":"Liu","given":"Miaolong"},{"family":"Deng","given":"Susu"}],"issued":{"date-parts":[["2011",9]]}}}],"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503423">
        <w:rPr>
          <w:rFonts w:ascii="Times New Roman" w:hAnsi="Times New Roman" w:cs="Times New Roman"/>
          <w:color w:val="0000FF"/>
          <w:sz w:val="24"/>
          <w:szCs w:val="24"/>
          <w:u w:val="single"/>
        </w:rPr>
        <w:t xml:space="preserve">(Feng </w:t>
      </w:r>
      <w:r w:rsidR="0035345A" w:rsidRPr="00503423">
        <w:rPr>
          <w:rFonts w:ascii="Times New Roman" w:hAnsi="Times New Roman" w:cs="Times New Roman"/>
          <w:i/>
          <w:iCs/>
          <w:color w:val="0000FF"/>
          <w:sz w:val="24"/>
          <w:szCs w:val="24"/>
          <w:u w:val="single"/>
        </w:rPr>
        <w:t>et al.</w:t>
      </w:r>
      <w:r w:rsidR="0035345A" w:rsidRPr="00503423">
        <w:rPr>
          <w:rFonts w:ascii="Times New Roman" w:hAnsi="Times New Roman" w:cs="Times New Roman"/>
          <w:color w:val="0000FF"/>
          <w:sz w:val="24"/>
          <w:szCs w:val="24"/>
          <w:u w:val="single"/>
        </w:rPr>
        <w:t>, 2011)</w:t>
      </w:r>
      <w:r w:rsidR="0035345A" w:rsidRPr="00143888">
        <w:rPr>
          <w:rFonts w:ascii="Times New Roman" w:hAnsi="Times New Roman" w:cs="Times New Roman"/>
          <w:color w:val="000000"/>
          <w:sz w:val="24"/>
          <w:szCs w:val="24"/>
        </w:rPr>
        <w:fldChar w:fldCharType="end"/>
      </w:r>
      <w:r w:rsidR="0035345A" w:rsidRPr="00143888">
        <w:rPr>
          <w:rFonts w:ascii="Times New Roman" w:hAnsi="Times New Roman" w:cs="Times New Roman"/>
          <w:color w:val="000000"/>
          <w:sz w:val="24"/>
          <w:szCs w:val="24"/>
        </w:rPr>
        <w:t>.</w:t>
      </w:r>
    </w:p>
    <w:p w14:paraId="2A8E8385" w14:textId="6E53CE0A" w:rsidR="00CE074E" w:rsidRPr="00143888" w:rsidRDefault="00CE074E"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Ensemble learning techniques, particularly Random Forest, have been instrumental in improving predictive performance and robustness in urban expansion modeling. Introduced by </w:t>
      </w:r>
      <w:proofErr w:type="spellStart"/>
      <w:r w:rsidRPr="00143888">
        <w:rPr>
          <w:rFonts w:ascii="Times New Roman" w:hAnsi="Times New Roman" w:cs="Times New Roman"/>
          <w:color w:val="000000"/>
          <w:sz w:val="24"/>
          <w:szCs w:val="24"/>
        </w:rPr>
        <w:t>Breiman</w:t>
      </w:r>
      <w:proofErr w:type="spellEnd"/>
      <w:r w:rsidRPr="00143888">
        <w:rPr>
          <w:rFonts w:ascii="Times New Roman" w:hAnsi="Times New Roman" w:cs="Times New Roman"/>
          <w:color w:val="000000"/>
          <w:sz w:val="24"/>
          <w:szCs w:val="24"/>
        </w:rPr>
        <w:t xml:space="preserve"> (2001), Random Forest is a powerful ensemble method that constructs multiple decision trees during training, each trained on a random subset of the dataset</w:t>
      </w:r>
      <w:r w:rsidR="0035345A" w:rsidRPr="00143888">
        <w:rPr>
          <w:rFonts w:ascii="Times New Roman" w:hAnsi="Times New Roman" w:cs="Times New Roman"/>
          <w:color w:val="000000"/>
          <w:sz w:val="24"/>
          <w:szCs w:val="24"/>
        </w:rPr>
        <w:t xml:space="preserve">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{"citationID":"cqzaUAkz","properties":{"formattedCitation":"(Breiman, 2001)","plainCitation":"(Breiman, 2001)","noteIndex":0},"citationItems":[{"id":109,"uris":["http://zotero.org/users/16803167/items/QTHFEW7I"],"itemData":{"id":109,"type":"article-journal","abstract":"Random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503423">
        <w:rPr>
          <w:rFonts w:ascii="Times New Roman" w:hAnsi="Times New Roman" w:cs="Times New Roman"/>
          <w:color w:val="0000FF"/>
          <w:sz w:val="24"/>
          <w:szCs w:val="24"/>
          <w:u w:val="single"/>
        </w:rPr>
        <w:t>(Breiman, 2001)</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This bagging (bootstrap aggregating) approach reduces model variance and enhances generalizability, making RF especially effective for noisy or high-dimensional datasets. Unlike traditional decision trees, which are prone to overfitting, RF leverages randomness at multiple stages—both in bootstrap sampling and feature selection—to generate de-correlated trees. At each node, only a subset of features is considered for splitting, allowing the model to uncover complex interactions between spatial and socio-economic factors influencing urbanization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{"citationID":"meutAdRJ","properties":{"formattedCitation":"(Balzter {\\i{}et al.}, 2015; Sulistiyono {\\i{}et al.}, 2024)","plainCitation":"(Balzter et al., 2015; Sulistiyono et al., 2024)","noteIndex":0},"citationItems":[{"id":84,"uris":["http://zotero.org/users/16803167/items/K5A36DKS"],"itemData":{"id":84,"type":"article-journal","abstract":"The European CORINE land cover mapping scheme is a standardized classification system with 44 land cover and land use classes. It is used by the European Environment Agency to report large-scale land cover change with a minimum mapping unit of 5 ha every six years and operationally mapped by its member states. The most commonly applied method to map CORINE land cover change is by visual interpretation of optical/near-infrared satellite imagery. The Sentinel-1A satellite carries a C-band Synthetic Aperture Radar (SAR) and was launched in 2014 by the European Space Agency as the first operational Copernicus mission. This study is the first investigation of Sentinel-1A for CORINE land cover mapping. Two of the first Sentinel-1A images acquired during its ramp-up phase in May and December 2014 over Thuringia in Germany are analysed. 27 hybrid level 2/3 CORINE classes are defined. 17 of these were present at the study site and classified based on a stratified random sample of training pixels from the polygon-eroded CORINE 2006 map. Sentinel-1A logarithmic radar backscatter at HH and HV polarisation (May acquisition), VV and VH polarisation (December acquisition), and the HH image texture are used as input bands to the classification. In addition, a Digital Terrain Model (DTM), a Canopy Height Model (CHM) and slope and aspect maps from the Shuttle Radar Topography Mission (SRTM) are used as input bands to account for geomorphological features of the landscape. In future, elevation data will be delivered for areas with sufficiently high coherence from the Sentinel-1A Interferometric Wide-Swath Mode itself. When augmented by elevation data from radar interferometry, Sentinel-1A is able to discriminate several CORINE land cover classes, making it useful for monitoring of  cloud-covered regions. A bistatic Sentinel-1 Convoy mission would enable single-pass interferometric acquisitions without temporal decorrelation.","container-title":"Remote Sensing","DOI":"10.3390/rs71114876","ISSN":"2072-4292","issue":"11","journalAbbreviation":"Remote Sensing","language":"en","license":"https://creativecommons.org/licenses/by/4.0/","page":"14876-14898","source":"DOI.org (Crossref)","title":"Mapping CORINE Land Cover from Sentinel-1A SAR and SRTM Digital Elevation Model Data using Random Forests","volume":"7","author":[{"family":"Balzter","given":"Heiko"},{"family":"Cole","given":"Beth"},{"family":"Thiel","given":"Christian"},{"family":"Schmullius","given":"Christiane"}],"issued":{"date-parts":[["2015",11,6]]}}},{"id":86,"uris":["http://zotero.org/users/16803167/items/X6QVCFWF"],"itemData":{"id":86,"type":"article-journal","abstract":"Abstract\n            Mangroves are a forest ecosystem tolerant to salt (halophytic) and influenced by sea tides. Mangrove forests are producers of ecosystem services that all living things need. The use of remote sensing can be used to identify mangrove forests in large areas in a short time. Sentinel-1 is a satellite product widely used to monitor land cover, including mangrove forests. The research objective was to identify mangrove forests in the Medan Belawan District using Sentinel-1 satellite imagery. Land cover classification in digital images was done using supervised classification with the maximum likelihood and random forest method. The results showed that random forest methods are more accurate than the maximum likelihood of identifying mangrove forests in Medan Belawan. The kappa accuracy value of the digital satellite image classification using the random forest method is 85.09%, and the maximum likelihood method is 77.4%. Based on the random forest method, the mangrove forest area is 1,325.81 hectares or 43.64% of the Belawan District area.","container-title":"IOP Conference Series: Earth and Environmental Science","DOI":"10.1088/1755-1315/1352/1/012051","ISSN":"1755-1307, 1755-1315","issue":"1","journalAbbreviation":"IOP Conf. Ser.: Earth Environ. Sci.","page":"012051","source":"DOI.org (Crossref)","title":"Identification of mangrove forests using Sentinel-1 Synthetic Aperture Radar (SAR) satellite imagery in Medan Belawan District, Medan City","volume":"1352","author":[{"family":"Sulistiyono","given":"N"},{"family":"Tarigan","given":"C P"},{"family":"Daulay","given":"A F"},{"family":"Hudjimartsu","given":"S A"},{"family":"Putri","given":"Y U"}],"issued":{"date-parts":[["2024",5,1]]}}}],"schema":"https://github.com/citation-style-language/schema/raw/master/csl-citation.json"}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503423">
        <w:rPr>
          <w:rFonts w:ascii="Times New Roman" w:hAnsi="Times New Roman" w:cs="Times New Roman"/>
          <w:color w:val="0000FF"/>
          <w:sz w:val="24"/>
          <w:szCs w:val="24"/>
          <w:u w:val="single"/>
        </w:rPr>
        <w:t xml:space="preserve">(Balzter </w:t>
      </w:r>
      <w:r w:rsidR="0035345A" w:rsidRPr="00503423">
        <w:rPr>
          <w:rFonts w:ascii="Times New Roman" w:hAnsi="Times New Roman" w:cs="Times New Roman"/>
          <w:i/>
          <w:iCs/>
          <w:color w:val="0000FF"/>
          <w:sz w:val="24"/>
          <w:szCs w:val="24"/>
          <w:u w:val="single"/>
        </w:rPr>
        <w:t>et al.</w:t>
      </w:r>
      <w:r w:rsidR="0035345A" w:rsidRPr="00503423">
        <w:rPr>
          <w:rFonts w:ascii="Times New Roman" w:hAnsi="Times New Roman" w:cs="Times New Roman"/>
          <w:color w:val="0000FF"/>
          <w:sz w:val="24"/>
          <w:szCs w:val="24"/>
          <w:u w:val="single"/>
        </w:rPr>
        <w:t xml:space="preserve">, 2015; Sulistiyono </w:t>
      </w:r>
      <w:r w:rsidR="0035345A" w:rsidRPr="00503423">
        <w:rPr>
          <w:rFonts w:ascii="Times New Roman" w:hAnsi="Times New Roman" w:cs="Times New Roman"/>
          <w:i/>
          <w:iCs/>
          <w:color w:val="0000FF"/>
          <w:sz w:val="24"/>
          <w:szCs w:val="24"/>
          <w:u w:val="single"/>
        </w:rPr>
        <w:t>et al.</w:t>
      </w:r>
      <w:r w:rsidR="0035345A" w:rsidRPr="00503423">
        <w:rPr>
          <w:rFonts w:ascii="Times New Roman" w:hAnsi="Times New Roman" w:cs="Times New Roman"/>
          <w:color w:val="0000FF"/>
          <w:sz w:val="24"/>
          <w:szCs w:val="24"/>
          <w:u w:val="single"/>
        </w:rPr>
        <w:t>, 2024)</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5212428C" w14:textId="07A63FAF" w:rsidR="00CE074E" w:rsidRPr="00143888" w:rsidRDefault="00CE074E"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A key advantage of RF is its built-in mechanism for estimating model accuracy through Out-of-Bag (OOB) error. In each iteration, approximately one-third of the data is left out of the bootstrap sample, allowing for internal cross-validation without the need for a separate test set</w:t>
      </w:r>
      <w:r w:rsidR="0035345A" w:rsidRPr="00143888">
        <w:rPr>
          <w:rFonts w:ascii="Times New Roman" w:hAnsi="Times New Roman" w:cs="Times New Roman"/>
          <w:color w:val="000000"/>
          <w:sz w:val="24"/>
          <w:szCs w:val="24"/>
        </w:rPr>
        <w:t xml:space="preserve">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{"citationID":"eMpBifjI","properties":{"formattedCitation":"(Sulistiyono {\\i{}et al.}, 2024)","plainCitation":"(Sulistiyono et al., 2024)","noteIndex":0},"citationItems":[{"id":86,"uris":["http://zotero.org/users/16803167/items/X6QVCFWF"],"itemData":{"id":86,"type":"article-journal","abstract":"Abstract\n            Mangroves are a forest ecosystem tolerant to salt (halophytic) and influenced by sea tides. Mangrove forests are producers of ecosystem services that all living things need. The use of remote sensing can be used to identify mangrove forests in large areas in a short time. Sentinel-1 is a satellite product widely used to monitor land cover, including mangrove forests. The research objective was to identify mangrove forests in the Medan Belawan District using Sentinel-1 satellite imagery. Land cover classification in digital images was done using supervised classification with the maximum likelihood and random forest method. The results showed that random forest methods are more accurate than the maximum likelihood of identifying mangrove forests in Medan Belawan. The kappa accuracy value of the digital satellite image classification using the random forest method is 85.09%, and the maximum likelihood method is 77.4%. Based on the random forest method, the mangrove forest area is 1,325.81 hectares or 43.64% of the Belawan District area.","container-title":"IOP Conference Series: Earth and Environmental Science","DOI":"10.1088/1755-1315/1352/1/012051","ISSN":"1755-1307, 1755-1315","issue":"1","journalAbbreviation":"IOP Conf. Ser.: Earth Environ. Sci.","page":"012051","source":"DOI.org (Crossref)","title":"Identification of mangrove forests using Sentinel-1 Synthetic Aperture Radar (SAR) satellite imagery in Medan Belawan District, Medan City","volume":"1352","author":[{"family":"Sulistiyono","given":"N"},{"family":"Tarigan","given":"C P"},{"family":"Daulay","given":"A F"},{"family":"Hudjimartsu","given":"S A"},{"family":"Putri","given":"Y U"}],"issued":{"date-parts":[["2024",5,1]]}}}],"schema":"https://github.com/citation-style-language/schema/raw/master/csl-citation.json"}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503423">
        <w:rPr>
          <w:rFonts w:ascii="Times New Roman" w:hAnsi="Times New Roman" w:cs="Times New Roman"/>
          <w:color w:val="0000FF"/>
          <w:sz w:val="24"/>
          <w:szCs w:val="24"/>
          <w:u w:val="single"/>
        </w:rPr>
        <w:t xml:space="preserve">(Sulistiyono </w:t>
      </w:r>
      <w:r w:rsidR="0035345A" w:rsidRPr="00503423">
        <w:rPr>
          <w:rFonts w:ascii="Times New Roman" w:hAnsi="Times New Roman" w:cs="Times New Roman"/>
          <w:i/>
          <w:iCs/>
          <w:color w:val="0000FF"/>
          <w:sz w:val="24"/>
          <w:szCs w:val="24"/>
          <w:u w:val="single"/>
        </w:rPr>
        <w:t>et al.</w:t>
      </w:r>
      <w:r w:rsidR="0035345A" w:rsidRPr="00503423">
        <w:rPr>
          <w:rFonts w:ascii="Times New Roman" w:hAnsi="Times New Roman" w:cs="Times New Roman"/>
          <w:color w:val="0000FF"/>
          <w:sz w:val="24"/>
          <w:szCs w:val="24"/>
          <w:u w:val="single"/>
        </w:rPr>
        <w:t>, 2024)</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This feature makes RF a robust and efficient choice for LULCC modeling, particularly in scenarios where data availability is limited</w:t>
      </w:r>
      <w:r w:rsidR="0035345A" w:rsidRPr="00143888">
        <w:rPr>
          <w:rFonts w:ascii="Times New Roman" w:hAnsi="Times New Roman" w:cs="Times New Roman"/>
          <w:color w:val="000000"/>
          <w:sz w:val="24"/>
          <w:szCs w:val="24"/>
        </w:rPr>
        <w:t xml:space="preserve"> </w:t>
      </w:r>
      <w:r w:rsidR="0035345A" w:rsidRPr="00143888">
        <w:rPr>
          <w:rFonts w:ascii="Times New Roman" w:hAnsi="Times New Roman" w:cs="Times New Roman"/>
          <w:color w:val="000000"/>
          <w:sz w:val="24"/>
          <w:szCs w:val="24"/>
        </w:rPr>
        <w:fldChar w:fldCharType="begin"/>
      </w:r>
      <w:r w:rsidR="0035345A" w:rsidRPr="00143888">
        <w:rPr>
          <w:rFonts w:ascii="Times New Roman" w:hAnsi="Times New Roman" w:cs="Times New Roman"/>
          <w:color w:val="000000"/>
          <w:sz w:val="24"/>
          <w:szCs w:val="24"/>
        </w:rPr>
        <w:instrText xml:space="preserve"> ADDIN ZOTERO_ITEM CSL_CITATION {"citationID":"9DHEOcoQ","properties":{"formattedCitation":"(Breiman, 2001)","plainCitation":"(Breiman, 2001)","noteIndex":0},"citationItems":[{"id":109,"uris":["http://zotero.org/users/16803167/items/QTHFEW7I"],"itemData":{"id":109,"type":"article-journal","abstract":"Random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35345A" w:rsidRPr="00143888">
        <w:rPr>
          <w:rFonts w:ascii="Times New Roman" w:hAnsi="Times New Roman" w:cs="Times New Roman"/>
          <w:color w:val="000000"/>
          <w:sz w:val="24"/>
          <w:szCs w:val="24"/>
        </w:rPr>
        <w:fldChar w:fldCharType="separate"/>
      </w:r>
      <w:r w:rsidR="0035345A" w:rsidRPr="00503423">
        <w:rPr>
          <w:rFonts w:ascii="Times New Roman" w:hAnsi="Times New Roman" w:cs="Times New Roman"/>
          <w:color w:val="0000FF"/>
          <w:sz w:val="24"/>
          <w:szCs w:val="24"/>
          <w:u w:val="single"/>
        </w:rPr>
        <w:t>(Breiman, 2001)</w:t>
      </w:r>
      <w:r w:rsidR="0035345A"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Given its ability to capture spatial heterogeneity and account for uncertainties, Random Forest remains a preferred machine learning model for urban growth prediction, aiding policymakers and urban planners in making data-driven decisions for sustainable development.</w:t>
      </w:r>
    </w:p>
    <w:p w14:paraId="0E01C157" w14:textId="16F756E1" w:rsidR="00152235" w:rsidRPr="00143888" w:rsidRDefault="00152235" w:rsidP="008A4DF7">
      <w:pPr>
        <w:pStyle w:val="Heading3"/>
      </w:pPr>
      <w:r w:rsidRPr="00143888">
        <w:lastRenderedPageBreak/>
        <w:t>Cellular Automata (CA)</w:t>
      </w:r>
    </w:p>
    <w:p w14:paraId="0F216BA2" w14:textId="6C5D756F" w:rsidR="00152235" w:rsidRPr="00143888" w:rsidRDefault="0015223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Cellular Automata (CA) models are widely used in Land Use and Land Cover Change (LULCC) studies due to their ability to simulate spatial dynamics through local interactions. CA is a mathematical modeling approach that represents landscapes as grids of interacting cells, where each cell's state evolves based on predefined transition rules and the states of its neighboring cells. This method effectively captures the self-organizing behavior of urban systems, producing self-similar patterns and highlighting both spatial and quantitative changes over time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{"citationID":"8SXUSlN9","properties":{"formattedCitation":"(Khawaldah, Farhan and Alzboun, 2020; Das and Angadi, 2022)","plainCitation":"(Khawaldah, Farhan and Alzboun, 2020; Das and Angadi, 2022)","noteIndex":0},"citationItems":[{"id":58,"uris":["http://zotero.org/users/16803167/items/VHRA8JUR"],"itemData":{"id":58,"type":"article-journal","abstract":"This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(Khawaldah, Farhan and Alzboun, 2020; 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w:t>
      </w:r>
    </w:p>
    <w:p w14:paraId="394B7408" w14:textId="4BF830D0" w:rsidR="00152235" w:rsidRPr="00143888" w:rsidRDefault="0015223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the context of urban expansion, CA models simulate land use changes by integrating various influencing factors such as population density, infrastructure development, road networks, and exclusion zones. These models are particularly effective in capturing the nonlinear nature of urban growth, where small-scale local interactions contribute to large-scale spatial transformations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{"citationID":"dLpuTAoi","properties":{"formattedCitation":"(Khawaldah, Farhan and Alzboun, 2020; Das and Angadi, 2022)","plainCitation":"(Khawaldah, Farhan and Alzboun, 2020; Das and Angadi, 2022)","noteIndex":0},"citationItems":[{"id":58,"uris":["http://zotero.org/users/16803167/items/VHRA8JUR"],"itemData":{"id":58,"type":"article-journal","abstract":"This study analyzes the characteristics of land use/land cover change in Jordan's Irbid governorate, 1984-2018, and predicts future land use/land cover for 2030 and 2050 using a cellular automata-Markov model. The results inform planners and decision makers of past and current spatial dynamics of land use/land cover change and predicted urban expansion, for a better understanding and successful planning. Satellite images of Landsat 5-thematic mapper and Landsat 8 operational land imager for the years 1984, 1994, 2004, 2015 and 2018 were used to explore the characteristics of land use/land cover for this study. The results indicate that the built-up area expanded by 386.9% during the study period and predict further expansion by 19.5% and 64.6% from 2015 to 2030 and 2050 respectively. The areas around the central and eastern parts of the governorate are predicted to have significant expansion of the built-up area by these dates, which should be taken into consideration in future plans. Land use/land cover change and urban expansion in Irbid are primarily caused by the high rate of population growth rate as a direct result of receiving large numbers of immigrants from Syria and Palestine in addition to the natural increase of population and other socioeconomic changes.","container-title":"Global Journal of Environmental Science and Management","DOI":"10.22034/gjesm.2020.02.07","journalAbbreviation":"Global Journal of Environmental Science and Management","page":"215-232","source":"ResearchGate","title":"Simulation and prediction of land use and land cover change using GIS, remote sensing and CA-Markov model","volume":"6","author":[{"family":"Khawaldah","given":"Hamzah"},{"family":"Farhan","given":"Ibrahim"},{"family":"Alzboun","given":"Nidal"}],"issued":{"date-parts":[["2020",2,1]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(Khawaldah, Farhan and Alzboun, 2020; 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1F701AF5" w14:textId="52BD64BB" w:rsidR="00152235" w:rsidRPr="00143888" w:rsidRDefault="0015223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Variants of CA, such as Logistic Regression–Cellular Automata (LR-CA) and Artificial Neural Network–Cellular Automata (ANN-CA), enhance prediction accuracy by incorporating statistical and deep learning techniques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{"citationID":"OT8fBNeH","properties":{"formattedCitation":"(Feng {\\i{}et al.}, 2011)","plainCitation":"(Feng et al., 2011)","noteIndex":0},"citationItems":[{"id":92,"uris":["http://zotero.org/users/16803167/items/EXL5NB8E"],"itemData":{"id":92,"type":"article-journal","container-title":"Landscape and Urban Planning","DOI":"10.1016/j.landurbplan.2011.04.004","ISSN":"01692046","issue":"3","journalAbbreviation":"Landscape and Urban Planning","language":"en","license":"https://www.elsevier.com/tdm/userlicense/1.0/","page":"188-196","source":"DOI.org (Crossref)","title":"Modeling dynamic urban growth using cellular automata and particle swarm optimization rules","volume":"102","author":[{"family":"Feng","given":"Yongjiu"},{"family":"Liu","given":"Yan"},{"family":"Tong","given":"Xiaohua"},{"family":"Liu","given":"Miaolong"},{"family":"Deng","given":"Susu"}],"issued":{"date-parts":[["2011",9]]}}}],"schema":"https://github.com/citation-style-language/schema/raw/master/csl-citation.json"} </w:instrText>
      </w:r>
      <w:r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 xml:space="preserve">(Feng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2011)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(Feng et al., 2011; Justin and De Vries, 2019). By leveraging historical land cover changes and spatial constraints, these hybrid models refine urban growth simulations and provide more accurate projections for future development.</w:t>
      </w:r>
    </w:p>
    <w:p w14:paraId="566D425C" w14:textId="2AC6DDFB" w:rsidR="00152235" w:rsidRPr="00143888" w:rsidRDefault="0015223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CA-based models have been successfully applied to predict urban growth patterns in various cities, demonstrating their ability to replicate real-world spatial dynamics. Their adaptability and capacity to integrate diverse data sources make them valuable tools in urban planning and LULCC studies.</w:t>
      </w:r>
    </w:p>
    <w:p w14:paraId="1F39C25D" w14:textId="77777777" w:rsidR="000A07E5" w:rsidRPr="00143888" w:rsidRDefault="000A07E5" w:rsidP="008A4DF7">
      <w:pPr>
        <w:pStyle w:val="Heading3"/>
      </w:pPr>
      <w:r w:rsidRPr="00143888">
        <w:t xml:space="preserve">Markov Chain Models </w:t>
      </w:r>
    </w:p>
    <w:p w14:paraId="05E232D8"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Markov Chain models are widely utilized for predicting land-use and land-cover change (LULCC) by estimating the probability of transition from one land-use type to another over a given </w:t>
      </w:r>
      <w:proofErr w:type="gramStart"/>
      <w:r w:rsidRPr="00143888">
        <w:rPr>
          <w:rFonts w:ascii="Times New Roman" w:hAnsi="Times New Roman" w:cs="Times New Roman"/>
          <w:color w:val="000000"/>
          <w:sz w:val="24"/>
          <w:szCs w:val="24"/>
        </w:rPr>
        <w:t>time period</w:t>
      </w:r>
      <w:proofErr w:type="gramEnd"/>
      <w:r w:rsidRPr="00143888">
        <w:rPr>
          <w:rFonts w:ascii="Times New Roman" w:hAnsi="Times New Roman" w:cs="Times New Roman"/>
          <w:color w:val="000000"/>
          <w:sz w:val="24"/>
          <w:szCs w:val="24"/>
        </w:rPr>
        <w:t xml:space="preserve">. These models analyze historical land-use data to determine the likelihood of changes occurring in the future, making them particularly effective for assessing long-term urban growth patterns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{"citationID":"mWyzGbh6","properties":{"formattedCitation":"(Somvanshi {\\i{}et al.}, 2020; Al-Hameedi {\\i{}et al.}, 2021; Das and Angadi, 2022)","plainCitation":"(Somvanshi et al., 2020; Al-Hameedi et al., 2021; Das and Angadi, 2022)","dontUpdate":true,"noteIndex":0},"citationItems":[{"id":111,"uris":["http://zotero.org/users/16803167/items/RX5LRW3J"],"itemData":{"id":111,"type":"article-journal","abstract":"It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 xml:space="preserve">(Al-Hameedi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By computing transition matrices, Markov Chain models can identify areas with a high probability of urban expansion and forecast potential land-use distributions.  </w:t>
      </w:r>
    </w:p>
    <w:p w14:paraId="51C53FC4"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One of the key strengths of Markov Chain models is their ability to provide quantitative insights into urbanization trends, allowing planners to anticipate spatial transformations and make informed policy decisions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{"citationID":"RXSXxg34","properties":{"formattedCitation":"(Somvanshi {\\i{}et al.}, 2020; Al-Hameedi {\\i{}et al.}, 2021; Das and Angadi, 2022)","plainCitation":"(Somvanshi et al., 2020; Al-Hameedi et al., 2021; Das and Angadi, 2022)","dontUpdate":true,"noteIndex":0},"citationItems":[{"id":111,"uris":["http://zotero.org/users/16803167/items/RX5LRW3J"],"itemData":{"id":111,"type":"article-journal","abstract":"It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However, because Markov models rely solely on </w:t>
      </w:r>
      <w:r w:rsidRPr="00143888">
        <w:rPr>
          <w:rFonts w:ascii="Times New Roman" w:hAnsi="Times New Roman" w:cs="Times New Roman"/>
          <w:color w:val="000000"/>
          <w:sz w:val="24"/>
          <w:szCs w:val="24"/>
        </w:rPr>
        <w:lastRenderedPageBreak/>
        <w:t xml:space="preserve">historical transition probabilities, they do not inherently account for spatial constraints, environmental factors, or socioeconomic influences. To address this limitation, they are often integrated with Cellular Automata (CA) models, which introduce spatial dynamics by simulating interactions between neighboring land parcels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{"citationID":"00tx6YEx","properties":{"formattedCitation":"(Somvanshi {\\i{}et al.}, 2020; Al-Hameedi {\\i{}et al.}, 2021; Das and Angadi, 2022)","plainCitation":"(Somvanshi et al., 2020; Al-Hameedi et al., 2021; Das and Angadi, 2022)","noteIndex":0},"citationItems":[{"id":111,"uris":["http://zotero.org/users/16803167/items/RX5LRW3J"],"itemData":{"id":111,"type":"article-journal","abstract":"It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 xml:space="preserve">(Somvanshi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xml:space="preserve">, 2020; Al-Hameedi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2021; 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This hybrid approach enhances the predictive accuracy of urban growth models by incorporating both probabilistic and spatial elements.  </w:t>
      </w:r>
    </w:p>
    <w:p w14:paraId="1287604F" w14:textId="417BA421"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Markov Chain models have been successfully applied in various urban settings to forecast future expansion scenarios and assess land-use sustainability. Studies have demonstrated their effectiveness in identifying high-risk zones for urban sprawl, enabling proactive planning interventions to mitigate adverse environmental impacts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{"citationID":"sfYInT4r","properties":{"formattedCitation":"(Somvanshi {\\i{}et al.}, 2020; Al-Hameedi {\\i{}et al.}, 2021; Das and Angadi, 2022)","plainCitation":"(Somvanshi et al., 2020; Al-Hameedi et al., 2021; Das and Angadi, 2022)","noteIndex":0},"citationItems":[{"id":111,"uris":["http://zotero.org/users/16803167/items/RX5LRW3J"],"itemData":{"id":111,"type":"article-journal","abstract":"It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id":107,"uris":["http://zotero.org/users/16803167/items/3SNR2TCM"],"itemData":{"id":107,"type":"article-journal","abstract":"Accurate information on the rate of land-use pattern changes and urban expansion is essential for the sustainable development and management of natural resources. The rapid urban growth is a major challenge for local government and urban planners in small cities of India due to an insufficient database and inadequate analysis of chaotic urban expansion. The present paper has evaluated the land use/land cover change (LULCC) dynamics of the Barrackpore Subdivision area, India using remote sensing data and utilized the urban growth. Multi-temporal Landsat images with the maximum likelihood classifier (MLC) method were applied to generate the land use land cover maps. The spatiotemporal changes were performed by the “from-to” change matrix identifier to study land transformation. LULCC matrix demonstrated that vegetation cover, agricultural/cropland, wetland, and water bodies have decreased area under 23%, 7%, 6%, 1.7%, while the area under built-up and fallow lands have increased by 32.2% and 6.3% during 1972–2016. The results also revealed marked variation in the growth of built-up areas. The positive correlation between population and built-up land growth indicated that the impact of population pressure has contributed to faster growth of built-up land in the study area. The study calls for policies for proper land use management and sustainable urban development.","container-title":"GeoJournal","DOI":"10.1007/s10708-020-10359-1","ISSN":"1572-9893","issue":"3","journalAbbreviation":"GeoJournal","language":"en","page":"2101-2123","source":"Springer Link","title":"Land use land cover change detection and monitoring of urban growth using remote sensing and GIS techniques: a micro-level study","title-short":"Land use land cover change detection and monitoring of urban growth using remote sensing and GIS techniques","volume":"87","author":[{"family":"Das","given":"Sandipta"},{"family":"Angadi","given":"Dasharatha P."}],"issued":{"date-parts":[["2022",6,1]]}}}],"schema":"https://github.com/citation-style-language/schema/raw/master/csl-citation.json"} </w:instrText>
      </w:r>
      <w:r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 xml:space="preserve">(Somvanshi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xml:space="preserve">, 2020; Al-Hameedi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2021; Das and Angadi, 2022)</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By simulating different urban growth scenarios, these models contribute to strategic land-use planning, infrastructure development, and environmental conservation efforts, ensuring a more sustainable and resilient approach to urban expansion.</w:t>
      </w:r>
      <w:bookmarkStart w:id="7" w:name="_gab2q5gyk6ne" w:colFirst="0" w:colLast="0"/>
      <w:bookmarkEnd w:id="7"/>
    </w:p>
    <w:p w14:paraId="6E8671AA" w14:textId="120555E1" w:rsidR="000A07E5" w:rsidRPr="00143888" w:rsidRDefault="000A07E5" w:rsidP="008A4DF7">
      <w:pPr>
        <w:pStyle w:val="Heading3"/>
      </w:pPr>
      <w:r w:rsidRPr="00143888">
        <w:t xml:space="preserve">Artificial Neural Networks (ANN) </w:t>
      </w:r>
    </w:p>
    <w:p w14:paraId="05D5806D" w14:textId="2B25DF49"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Artificial Neural Networks (ANNs) are advanced computational models inspired by the structure and function of the human brain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{"citationID":"aiZX8WSN","properties":{"formattedCitation":"(Somvanshi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 xml:space="preserve">(Somvanshi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xml:space="preserve">, 2020; Al-Hameedi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They are designed to recognize patterns, process complex data, and make predictions based on input variables. In the context of urban growth prediction, ANNs are used to model intricate relationships between various factors, such as socio-economic conditions, land-use policies, environmental factors, and infrastructure development. Their ability to process large datasets and capture non-linear interactions makes them particularly effective in understanding urban dynamics </w:t>
      </w:r>
      <w:r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{"citationID":"prXX9WKI","properties":{"formattedCitation":"(Somvanshi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 xml:space="preserve">(Somvanshi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xml:space="preserve">, 2020; Al-Hameedi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6AAC8A7F" w14:textId="546C0ED2"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Studies employing ANNs have shown remarkable success in accurately forecasting urban growth patterns. By leveraging Geographic Information System (GIS) data, ANNs can incorporate spatial and temporal elements into their predictions, enhancing the model's reliability. These models are particularly useful in identifying areas that are likely to experience urban expansion, as well as understanding the key drivers of this growth, such as population density, economic development, and policy decisions </w:t>
      </w:r>
      <w:r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{"citationID":"TzU2rLDY","properties":{"formattedCitation":"(Somvanshi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 xml:space="preserve">(Somvanshi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xml:space="preserve">, 2020; Al-Hameedi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47A4FAE3" w14:textId="332C0311"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The application of ANNs in urban growth modeling has provided valuable insights into future land-use trends, helping urban planners and policymakers make informed decisions regarding infrastructure development and land-use management. ANNs have proven instrumental in </w:t>
      </w:r>
      <w:r w:rsidRPr="00143888">
        <w:rPr>
          <w:rFonts w:ascii="Times New Roman" w:hAnsi="Times New Roman" w:cs="Times New Roman"/>
          <w:color w:val="000000"/>
          <w:sz w:val="24"/>
          <w:szCs w:val="24"/>
        </w:rPr>
        <w:lastRenderedPageBreak/>
        <w:t xml:space="preserve">identifying potential urban sprawl areas, understanding the complex factors influencing growth, and assessing the sustainability of urban expansion </w:t>
      </w:r>
      <w:r w:rsidRPr="00143888">
        <w:rPr>
          <w:rFonts w:ascii="Times New Roman" w:hAnsi="Times New Roman" w:cs="Times New Roman"/>
          <w:color w:val="000000"/>
          <w:sz w:val="24"/>
          <w:szCs w:val="24"/>
        </w:rPr>
        <w:fldChar w:fldCharType="begin"/>
      </w:r>
      <w:r w:rsidR="00A478FC" w:rsidRPr="00143888">
        <w:rPr>
          <w:rFonts w:ascii="Times New Roman" w:hAnsi="Times New Roman" w:cs="Times New Roman"/>
          <w:color w:val="000000"/>
          <w:sz w:val="24"/>
          <w:szCs w:val="24"/>
        </w:rPr>
        <w:instrText xml:space="preserve"> ADDIN ZOTERO_ITEM CSL_CITATION {"citationID":"64APn20E","properties":{"formattedCitation":"(Somvanshi {\\i{}et al.}, 2020; Al-Hameedi {\\i{}et al.}, 2021)","plainCitation":"(Somvanshi et al., 2020; Al-Hameedi et al., 2021)","noteIndex":0},"citationItems":[{"id":111,"uris":["http://zotero.org/users/16803167/items/RX5LRW3J"],"itemData":{"id":111,"type":"article-journal","abstract":"It is well known and witnessed the fact that in recent years the growth of urbanization and increasing urban population in the cities, particularly in developing countries, are the primary concern for urban planners and other environmental professionals. The present study deals with multi-temporal satellite data along with statistical models to map and monitor the LULC change patterns and prediction of urban expansion in the upcoming years for one of the important cities of Ganga alluvial Plain. With the help of our study, we also tried to portray the impact of urban sprawl on the natural environment. The long-term LULC and urban spatial change modelling was carried out using Landsat satellite data from 2001 to 2016. The assessment of the outcome showed that increase in urban built-up areas favoured a substantial decline in the agricultural land and rural built-up areas, from 2001 to 2016. Shannon’s entropy index was also used to measure the spatial growth patterns over the period of time in the study area based on the land-use change statistics. Prediction of the future land-use growth of the study area for 2019, 2022 and 2031 was carried out using artificial neural network method through Quantum GIS software. Results of the simulation model revealed that 14.7% of urban built-up areas will increase by 2019, 15.7% by 2022 and 18.68% by 2031. The observation received from the present study based on the long-term classification of satellite data, statistical methods and field survey indicates that the predicted LULC map of the area will be precious information for policy and decision-makers for sustainable urban development and natural resource management in the area for food and water security.","container-title":"Environment, Development and Sustainability","DOI":"10.1007/s10668-018-0234-8","ISSN":"1573-2975","issue":"2","journalAbbreviation":"Environ Dev Sustain","language":"en","page":"1073-1091","source":"Springer Link","title":"Monitoring spatial LULC changes and its growth prediction based on statistical models and earth observation datasets of Gautam Budh Nagar, Uttar Pradesh, India","volume":"22","author":[{"family":"Somvanshi","given":"Shivangi S."},{"family":"Bhalla","given":"Oshin"},{"family":"Kunwar","given":"Phool"},{"family":"Singh","given":"Madhulika"},{"family":"Singh","given":"Prafull"}],"issued":{"date-parts":[["2020",2,1]]}}},{"id":113,"uris":["http://zotero.org/users/16803167/items/N8TCNUHH"],"itemData":{"id":113,"type":"article-journal","abstract":"The global and regional land use/cover changes (LUCCs) are experiencing widespread changes, particularly in Baghdad City, the oldest city of Iraq, where it lacks ecological restoration and environmental management actions at present. To date, multiple land uses are experiencing urban construction-related land expansion, population increase, and socioeconomic development. Comprehensive evaluation and understanding of the effect of urban sprawl and its rapid LUCC are of great importance to managing land surface resources for sustainable development. The present research applied remote sensing data, such as Landsat-5 Thematic Mapper and Landsat-8 Operation Land Imager, on selected images between July and August from 1985 to 2020 with the use of multiple types of software to explore, classify, and analyze the historical and future LUCCs in Baghdad City. Three historical LUCC maps from 1985, 2000, and 2020 were created and analyzed. The result shows that urban construction land expands quickly, and agricultural land and natural vegetation have had a large loss of coverage during the last 35 years. The change analysis derived from previous land use was used as a change direction for future simulation, where natural and anthropogenic factors were selected as the drivers’ variables in the process of multilayer perceptron neural network Markov chain model. The future land use/cover change (FLUCC) modeling results from 2030 to 2050 show that agriculture is the only land use type with a massive decreasing trend from 1985 to 2050 compared with other categories. The entire change in urban sprawl derived from historical and FLUCC in each period shows that urban construction land increases the fastest between 2020 and 2030. The rapid urbanization along with unplanned urban growth and rising population migration from rural to urban is the main driver of all transformation in land use. These findings facilitate sustainable ecological development in Baghdad City and theoretically support environmental decision making.","container-title":"Remote Sensing","DOI":"10.3390/rs13204034","ISSN":"2072-4292","issue":"20","language":"en","license":"http://creativecommons.org/licenses/by/3.0/","note":"number: 20\npublisher: Multidisciplinary Digital Publishing Institute","page":"4034","source":"www.mdpi.com","title":"Remote Sensing-Based Urban Sprawl Modeling Using Multilayer Perceptron Neural Network Markov Chain in Baghdad, Iraq","volume":"13","author":[{"family":"Al-Hameedi","given":"Wafaa Majeed Mutashar"},{"family":"Chen","given":"Jie"},{"family":"Faichia","given":"Cheechouyang"},{"family":"Al-Shaibah","given":"Bazel"},{"family":"Nath","given":"Biswajit"},{"family":"Kafy","given":"Abdulla-Al"},{"family":"Hu","given":"Gao"},{"family":"Al-Aizari","given":"Ali"}],"issued":{"date-parts":[["2021",1]]}}}],"schema":"https://github.com/citation-style-language/schema/raw/master/csl-citation.json"} </w:instrText>
      </w:r>
      <w:r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 xml:space="preserve">(Somvanshi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xml:space="preserve">, 2020; Al-Hameedi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2021)</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Through their predictive capabilities, ANNs enable the formulation of more effective strategies for managing urbanization, ensuring that cities can grow in a way that is both sustainable and responsive to the needs of their populations.</w:t>
      </w:r>
    </w:p>
    <w:p w14:paraId="2D1C9222" w14:textId="3D12361E" w:rsidR="00152235" w:rsidRPr="00143888" w:rsidRDefault="000A07E5" w:rsidP="008A4DF7">
      <w:pPr>
        <w:pStyle w:val="Heading3"/>
      </w:pPr>
      <w:r w:rsidRPr="00143888">
        <w:t>Google Earth Engine</w:t>
      </w:r>
      <w:r w:rsidR="008A4DF7">
        <w:t xml:space="preserve"> (Interface)</w:t>
      </w:r>
      <w:r w:rsidRPr="00143888">
        <w:t xml:space="preserve"> and other Models</w:t>
      </w:r>
    </w:p>
    <w:p w14:paraId="332A21CA" w14:textId="160FA9CB" w:rsidR="002C1399" w:rsidRPr="00143888"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Geospatial and remote sensing techniques play a crucial role in urban growth prediction by providing accurate land cover data and spatial analysis tools. Satellite imagery from sources such as Landsat and Sentinel enables the detection of land use changes over time through spectral analysis. Google Earth Engine (GEE) facilitates large-scale spatial analysis and geospatial data processing, while Geographic Information Systems (GIS) provide visualization and spatial integration capabilities for urban development assessments</w:t>
      </w:r>
      <w:r w:rsidR="00DE61E8" w:rsidRPr="00143888">
        <w:rPr>
          <w:rFonts w:ascii="Times New Roman" w:hAnsi="Times New Roman" w:cs="Times New Roman"/>
          <w:color w:val="000000"/>
          <w:sz w:val="24"/>
          <w:szCs w:val="24"/>
        </w:rPr>
        <w:t xml:space="preserve"> </w:t>
      </w:r>
      <w:r w:rsidR="00DE61E8" w:rsidRPr="00143888">
        <w:rPr>
          <w:rFonts w:ascii="Times New Roman" w:hAnsi="Times New Roman" w:cs="Times New Roman"/>
          <w:color w:val="000000"/>
          <w:sz w:val="24"/>
          <w:szCs w:val="24"/>
        </w:rPr>
        <w:fldChar w:fldCharType="begin"/>
      </w:r>
      <w:r w:rsidR="00DE61E8" w:rsidRPr="00143888">
        <w:rPr>
          <w:rFonts w:ascii="Times New Roman" w:hAnsi="Times New Roman" w:cs="Times New Roman"/>
          <w:color w:val="000000"/>
          <w:sz w:val="24"/>
          <w:szCs w:val="24"/>
        </w:rPr>
        <w:instrText xml:space="preserve"> ADDIN ZOTERO_ITEM CSL_CITATION {"citationID":"5qNRDbps","properties":{"formattedCitation":"(Bruno Soares, Daly and Dessai, 2018; Nyasulu {\\i{}et al.}, 2022)","plainCitation":"(Bruno Soares, Daly and Dessai, 2018; Nyasulu et al., 2022)","noteIndex":0},"citationItems":[{"id":96,"uris":["http://zotero.org/users/16803167/items/326UUXQT"],"itemData":{"id":96,"type":"article-journal","abstract":"Seasonal climate forecasts (SCF) can support decision‐making and thus help society cope with and prepare for climate variability and change. The demand for understanding the value and benefits of using SCF in decision‐making processes can be associated with different logics.  Two of these would be the need to justify public and private investment in the provision of SCF and demonstrating the gains and benefits of using SCF in specific decision‐making contexts. This paper reviews the main factors influencing how SCF is (or can be) valued in supporting decision‐making and the main methods and metrics currently used to perform such valuations.  Our review results in four key findings: (a) there is a current emphasis on economic ex ante studies and the quantification of SCF value; (b) there are fundamental differences in how the value of SCF is defined and estimated across methods and approaches; (c) most valuation methods are unable to capture the differential benefits and risks of using SCF across spatiotemporal scales and groups; and (d) there is limited involvement of the decision‐makers in the valuation process. The paper concludes by providing some guiding principles towards more effective valuations of SCF, notably the need for a wider diversity and integration of methodological approaches. These should particularly embrace ex‐post,  qualitative, and participatory approaches which allow co‐evaluation with decision‐makers so that more comprehensive and equitable SCF valuations can be developed in future.\n            \n              This article is categorized under:\n              \n                \n                  Vulnerability and Adaptation to Climate Change &gt; Institutions for Adaptation","container-title":"WIREs Climate Change","DOI":"10.1002/wcc.523","ISSN":"1757-7780, 1757-7799","issue":"4","journalAbbreviation":"WIREs Climate Change","language":"en","page":"e523","source":"DOI.org (Crossref)","title":"Assessing the value of seasonal climate forecasts for decision‐making","volume":"9","author":[{"family":"Bruno Soares","given":"Marta"},{"family":"Daly","given":"Meaghan"},{"family":"Dessai","given":"Suraje"}],"issued":{"date-parts":[["2018",7]]}}},{"id":94,"uris":["http://zotero.org/users/16803167/items/I2BLQFNK"],"itemData":{"id":94,"type":"article-journal","abstract":"To ensure continued food security and economic development in Africa, it is very important to address and adapt to climate change. Excessive dependence on rainfed agricultural production makes Africa more vulnerable to climate change effects. Weather information and services are essential for farmers to more effectively survive the increasing occurrence of extreme weather events due to climate change. Weather information is important for resource management in agricultural production and helps farmers plan their farming activities in advance. Machine Learning is one of the technologies used in agriculture for weather forecasting and crop disease detection among others. The objective of this study is to develop Machine Learning-based models adapted to the context of daily weather forecasting for Rainfall, Relative Humidity, and Maximum and Minimum Temperature in Senegal. In this study, we made a comparison of ten Machine Learning Regressors with our Ensemble Model. These models were evaluated based on Mean Absolute Error, Mean Squared Error, Root Mean Squared Error and Coefficient of Determination. The results show that the Ensemble Model performs better than the ten base models. The Ensemble Model results for each parameter are as follows; Relative Humidity: Mean Absolute Error was 4.0126, Mean Squared Error was 29.9885, Root Mean Squared Error was 5.4428 and Coefficient of Determination was 0.9335. For Minimum Temperature: Mean Absolute Error was 0.7908, Mean Squared Error was 1.1329, Root Mean Squared Error was 1.0515 and Coefficient of Determination was 0.9018. For Maximum Temperature: Mean Absolute Error was 1.2515, Mean Squared Error was 2.8038, Root Mean Squared Error was 1.6591 and Coefficient of Determination was 0.8205. For Rainfall: Mean Absolute Error was 0.2142, Mean Squared Error was 0.1681, Root Mean Squared Error was 0.4100 and Coefficient of Determination was 0.7733. From the present study, it has been observed that the Ensemble Model is a feasible model to be used for Rainfall, Relative Humidity, and Maximum and Minimum Temperature forecasting.","container-title":"Agriculture","DOI":"10.3390/agriculture12091473","ISSN":"2077-0472","issue":"9","journalAbbreviation":"Agriculture","language":"en","license":"https://creativecommons.org/licenses/by/4.0/","page":"1473","source":"DOI.org (Crossref)","title":"Towards Resilient Agriculture to Hostile Climate Change in the Sahel Region: A Case Study of Machine Learning-Based Weather Prediction in Senegal","title-short":"Towards Resilient Agriculture to Hostile Climate Change in the Sahel Region","volume":"12","author":[{"family":"Nyasulu","given":"Chimango"},{"family":"Diattara","given":"Awa"},{"family":"Traore","given":"Assitan"},{"family":"Deme","given":"Abdoulaye"},{"family":"Ba","given":"Cheikh"}],"issued":{"date-parts":[["2022",9,15]]}}}],"schema":"https://github.com/citation-style-language/schema/raw/master/csl-citation.json"} </w:instrText>
      </w:r>
      <w:r w:rsidR="00DE61E8" w:rsidRPr="00143888">
        <w:rPr>
          <w:rFonts w:ascii="Times New Roman" w:hAnsi="Times New Roman" w:cs="Times New Roman"/>
          <w:color w:val="000000"/>
          <w:sz w:val="24"/>
          <w:szCs w:val="24"/>
        </w:rPr>
        <w:fldChar w:fldCharType="separate"/>
      </w:r>
      <w:r w:rsidR="00DE61E8" w:rsidRPr="00503423">
        <w:rPr>
          <w:rFonts w:ascii="Times New Roman" w:hAnsi="Times New Roman" w:cs="Times New Roman"/>
          <w:color w:val="0000FF"/>
          <w:sz w:val="24"/>
          <w:szCs w:val="24"/>
          <w:u w:val="single"/>
        </w:rPr>
        <w:t xml:space="preserve">(Bruno Soares, Daly and Dessai, 2018; Nyasulu </w:t>
      </w:r>
      <w:r w:rsidR="00DE61E8" w:rsidRPr="00503423">
        <w:rPr>
          <w:rFonts w:ascii="Times New Roman" w:hAnsi="Times New Roman" w:cs="Times New Roman"/>
          <w:i/>
          <w:iCs/>
          <w:color w:val="0000FF"/>
          <w:sz w:val="24"/>
          <w:szCs w:val="24"/>
          <w:u w:val="single"/>
        </w:rPr>
        <w:t>et al.</w:t>
      </w:r>
      <w:r w:rsidR="00DE61E8" w:rsidRPr="00503423">
        <w:rPr>
          <w:rFonts w:ascii="Times New Roman" w:hAnsi="Times New Roman" w:cs="Times New Roman"/>
          <w:color w:val="0000FF"/>
          <w:sz w:val="24"/>
          <w:szCs w:val="24"/>
          <w:u w:val="single"/>
        </w:rPr>
        <w:t>, 2022)</w:t>
      </w:r>
      <w:r w:rsidR="00DE61E8"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43A58115" w14:textId="24F6405B" w:rsidR="002C1399" w:rsidRPr="00143888"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Hybrid and ensemble models combine different methodologies to improve predictive accuracy. By integrating machine learning classification techniques with CA-based spatial simulation, these models refine urban growth predictions</w:t>
      </w:r>
      <w:r w:rsidR="00DE61E8" w:rsidRPr="00143888">
        <w:rPr>
          <w:rFonts w:ascii="Times New Roman" w:hAnsi="Times New Roman" w:cs="Times New Roman"/>
          <w:color w:val="000000"/>
          <w:sz w:val="24"/>
          <w:szCs w:val="24"/>
        </w:rPr>
        <w:t xml:space="preserve"> </w:t>
      </w:r>
      <w:r w:rsidR="00DE61E8" w:rsidRPr="00143888">
        <w:rPr>
          <w:rFonts w:ascii="Times New Roman" w:hAnsi="Times New Roman" w:cs="Times New Roman"/>
          <w:color w:val="000000"/>
          <w:sz w:val="24"/>
          <w:szCs w:val="24"/>
        </w:rPr>
        <w:fldChar w:fldCharType="begin"/>
      </w:r>
      <w:r w:rsidR="00F77269" w:rsidRPr="00143888">
        <w:rPr>
          <w:rFonts w:ascii="Times New Roman" w:hAnsi="Times New Roman" w:cs="Times New Roman"/>
          <w:color w:val="000000"/>
          <w:sz w:val="24"/>
          <w:szCs w:val="24"/>
        </w:rPr>
        <w:instrText xml:space="preserve"> ADDIN ZOTERO_ITEM CSL_CITATION {"citationID":"fKroxaac","properties":{"formattedCitation":"(Cifuentes {\\i{}et al.}, 2020; Nyasulu {\\i{}et al.}, 2022)","plainCitation":"(Cifuentes et al., 2020; Nyasulu et al., 2022)","noteIndex":0},"citationItems":[{"id":98,"uris":["http://zotero.org/users/16803167/items/TYWIYSG7"],"itemData":{"id":98,"type":"article-journal","abstract":"Efforts to understand the influence of historical climate change, at global and regional levels, have been increasing over the past decade. In particular, the estimates of air temperatures have been considered as a key factor in climate impact studies on agricultural, ecological, environmental, and industrial sectors. Accurate temperature prediction helps to safeguard life and property, playing an important role in planning activities for the government, industry, and the public. The primary aim of this study is to review the different machine learning strategies for temperature forecasting, available in the literature, presenting their advantages and disadvantages and identifying research gaps. This survey shows that Machine Learning techniques can help to accurately predict temperatures based on a set of input features, which can include the previous values of temperature, relative humidity, solar radiation, rain and wind speed measurements, among others. The review reveals that Deep Learning strategies report smaller errors (Mean Square Error = 0.0017 °K) compared with traditional Artificial Neural Networks architectures, for 1 step-ahead at regional scale. At the global scale, Support Vector Machines are preferred based on their good compromise between simplicity and accuracy. In addition, the accuracy of the methods described in this work is found to be dependent on inputs combination, architecture, and learning algorithms. Finally, further research areas in temperature forecasting are outlined.","container-title":"Energies","DOI":"10.3390/en13164215","ISSN":"1996-1073","issue":"16","journalAbbreviation":"Energies","language":"en","license":"https://creativecommons.org/licenses/by/4.0/","page":"4215","source":"DOI.org (Crossref)","title":"Air Temperature Forecasting Using Machine Learning Techniques: A Review","title-short":"Air Temperature Forecasting Using Machine Learning Techniques","volume":"13","author":[{"family":"Cifuentes","given":"Jenny"},{"family":"Marulanda","given":"Geovanny"},{"family":"Bello","given":"Antonio"},{"family":"Reneses","given":"Javier"}],"issued":{"date-parts":[["2020",8,14]]}}},{"id":94,"uris":["http://zotero.org/users/16803167/items/I2BLQFNK"],"itemData":{"id":94,"type":"article-journal","abstract":"To ensure continued food security and economic development in Africa, it is very important to address and adapt to climate change. Excessive dependence on rainfed agricultural production makes Africa more vulnerable to climate change effects. Weather information and services are essential for farmers to more effectively survive the increasing occurrence of extreme weather events due to climate change. Weather information is important for resource management in agricultural production and helps farmers plan their farming activities in advance. Machine Learning is one of the technologies used in agriculture for weather forecasting and crop disease detection among others. The objective of this study is to develop Machine Learning-based models adapted to the context of daily weather forecasting for Rainfall, Relative Humidity, and Maximum and Minimum Temperature in Senegal. In this study, we made a comparison of ten Machine Learning Regressors with our Ensemble Model. These models were evaluated based on Mean Absolute Error, Mean Squared Error, Root Mean Squared Error and Coefficient of Determination. The results show that the Ensemble Model performs better than the ten base models. The Ensemble Model results for each parameter are as follows; Relative Humidity: Mean Absolute Error was 4.0126, Mean Squared Error was 29.9885, Root Mean Squared Error was 5.4428 and Coefficient of Determination was 0.9335. For Minimum Temperature: Mean Absolute Error was 0.7908, Mean Squared Error was 1.1329, Root Mean Squared Error was 1.0515 and Coefficient of Determination was 0.9018. For Maximum Temperature: Mean Absolute Error was 1.2515, Mean Squared Error was 2.8038, Root Mean Squared Error was 1.6591 and Coefficient of Determination was 0.8205. For Rainfall: Mean Absolute Error was 0.2142, Mean Squared Error was 0.1681, Root Mean Squared Error was 0.4100 and Coefficient of Determination was 0.7733. From the present study, it has been observed that the Ensemble Model is a feasible model to be used for Rainfall, Relative Humidity, and Maximum and Minimum Temperature forecasting.","container-title":"Agriculture","DOI":"10.3390/agriculture12091473","ISSN":"2077-0472","issue":"9","journalAbbreviation":"Agriculture","language":"en","license":"https://creativecommons.org/licenses/by/4.0/","page":"1473","source":"DOI.org (Crossref)","title":"Towards Resilient Agriculture to Hostile Climate Change in the Sahel Region: A Case Study of Machine Learning-Based Weather Prediction in Senegal","title-short":"Towards Resilient Agriculture to Hostile Climate Change in the Sahel Region","volume":"12","author":[{"family":"Nyasulu","given":"Chimango"},{"family":"Diattara","given":"Awa"},{"family":"Traore","given":"Assitan"},{"family":"Deme","given":"Abdoulaye"},{"family":"Ba","given":"Cheikh"}],"issued":{"date-parts":[["2022",9,15]]}}}],"schema":"https://github.com/citation-style-language/schema/raw/master/csl-citation.json"} </w:instrText>
      </w:r>
      <w:r w:rsidR="00DE61E8" w:rsidRPr="00143888">
        <w:rPr>
          <w:rFonts w:ascii="Times New Roman" w:hAnsi="Times New Roman" w:cs="Times New Roman"/>
          <w:color w:val="000000"/>
          <w:sz w:val="24"/>
          <w:szCs w:val="24"/>
        </w:rPr>
        <w:fldChar w:fldCharType="separate"/>
      </w:r>
      <w:r w:rsidR="00F77269" w:rsidRPr="00503423">
        <w:rPr>
          <w:rFonts w:ascii="Times New Roman" w:hAnsi="Times New Roman" w:cs="Times New Roman"/>
          <w:color w:val="0000FF"/>
          <w:sz w:val="24"/>
          <w:szCs w:val="24"/>
          <w:u w:val="single"/>
        </w:rPr>
        <w:t xml:space="preserve">(Cifuentes </w:t>
      </w:r>
      <w:r w:rsidR="00F77269" w:rsidRPr="00503423">
        <w:rPr>
          <w:rFonts w:ascii="Times New Roman" w:hAnsi="Times New Roman" w:cs="Times New Roman"/>
          <w:i/>
          <w:iCs/>
          <w:color w:val="0000FF"/>
          <w:sz w:val="24"/>
          <w:szCs w:val="24"/>
          <w:u w:val="single"/>
        </w:rPr>
        <w:t>et al.</w:t>
      </w:r>
      <w:r w:rsidR="00F77269" w:rsidRPr="00503423">
        <w:rPr>
          <w:rFonts w:ascii="Times New Roman" w:hAnsi="Times New Roman" w:cs="Times New Roman"/>
          <w:color w:val="0000FF"/>
          <w:sz w:val="24"/>
          <w:szCs w:val="24"/>
          <w:u w:val="single"/>
        </w:rPr>
        <w:t xml:space="preserve">, 2020; Nyasulu </w:t>
      </w:r>
      <w:r w:rsidR="00F77269" w:rsidRPr="00503423">
        <w:rPr>
          <w:rFonts w:ascii="Times New Roman" w:hAnsi="Times New Roman" w:cs="Times New Roman"/>
          <w:i/>
          <w:iCs/>
          <w:color w:val="0000FF"/>
          <w:sz w:val="24"/>
          <w:szCs w:val="24"/>
          <w:u w:val="single"/>
        </w:rPr>
        <w:t>et al.</w:t>
      </w:r>
      <w:r w:rsidR="00F77269" w:rsidRPr="00503423">
        <w:rPr>
          <w:rFonts w:ascii="Times New Roman" w:hAnsi="Times New Roman" w:cs="Times New Roman"/>
          <w:color w:val="0000FF"/>
          <w:sz w:val="24"/>
          <w:szCs w:val="24"/>
          <w:u w:val="single"/>
        </w:rPr>
        <w:t>, 2022)</w:t>
      </w:r>
      <w:r w:rsidR="00DE61E8"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Techniques such as stacking and weighted averaging utilize multiple predictive models, enhancing overall forecasting reliability and robustness.</w:t>
      </w:r>
    </w:p>
    <w:p w14:paraId="592359DB" w14:textId="51F7A809" w:rsidR="002C1399" w:rsidRPr="00143888"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Statistical and econometric models also contribute to urban growth prediction. Markov Chain Analysis is frequently used to predict land use transitions by analyzing historical changes and estimating probabilistic shifts in land cover. Geographically Weighted Regression (GWR) accounts for spatial variations in urban growth determinants, providing more localized and detailed predictions</w:t>
      </w:r>
      <w:r w:rsidR="00F77269" w:rsidRPr="00143888">
        <w:rPr>
          <w:rFonts w:ascii="Times New Roman" w:hAnsi="Times New Roman" w:cs="Times New Roman"/>
          <w:color w:val="000000"/>
          <w:sz w:val="24"/>
          <w:szCs w:val="24"/>
        </w:rPr>
        <w:t xml:space="preserve"> </w:t>
      </w:r>
      <w:r w:rsidR="00F77269" w:rsidRPr="00143888">
        <w:rPr>
          <w:rFonts w:ascii="Times New Roman" w:hAnsi="Times New Roman" w:cs="Times New Roman"/>
          <w:color w:val="000000"/>
          <w:sz w:val="24"/>
          <w:szCs w:val="24"/>
        </w:rPr>
        <w:fldChar w:fldCharType="begin"/>
      </w:r>
      <w:r w:rsidR="00F77269" w:rsidRPr="00143888">
        <w:rPr>
          <w:rFonts w:ascii="Times New Roman" w:hAnsi="Times New Roman" w:cs="Times New Roman"/>
          <w:color w:val="000000"/>
          <w:sz w:val="24"/>
          <w:szCs w:val="24"/>
        </w:rPr>
        <w:instrText xml:space="preserve"> ADDIN ZOTERO_ITEM CSL_CITATION {"citationID":"1eKjqgeY","properties":{"formattedCitation":"(Zhao {\\i{}et al.}, 2009; Micheal, 2025)","plainCitation":"(Zhao et al., 2009; Micheal, 2025)","noteIndex":0},"citationItems":[{"id":101,"uris":["http://zotero.org/users/16803167/items/WX2CXZS3"],"itemData":{"id":101,"type":"article","abstract":"Abstract. Changes in carbon density (i.e., carbon stock per unit area) and land cover greatly affect carbon sequestration. Previous studies have shown that land cover change detection strongly depends on spatial scale. However, the influence of the spatial resolution of land cover change information on the estimated terrestrial carbon sequestration is not known. Here, we quantified and evaluated the impact of land cover change databases at various spatial resolutions (250 m, 500 m, 1 km, 2 km, and 4 km) on the magnitude and spatial patterns of regional carbon sequestration in the southeastern United States using the General Ensemble biogeochemical Modeling System (GEMS). Results indicated a threshold of 1 km in the land cover change databases and in the estimated regional terrestrial carbon sequestration. Beyond this threshold, significant biases occurred in the estimation of terrestrial carbon sequestration, its interannual variability, and spatial patterns. In addition, the overriding impact of interannual climate variability on the temporal change of regional carbon sequestration was unrealistically overshadowed by the impact of land cover change beyond the threshold. The implications of these findings directly challenge current continental- to global-scale carbon modeling efforts relying on information at coarse spatial resolution without incorporating fine-scale land cover dynamics.","DOI":"10.5194/bgd-6-7983-2009","license":"https://creativecommons.org/licenses/by/3.0/","publisher":"Biogeochemistry: Modelling, Terrestrial","source":"DOI.org (Crossref)","title":"A spatial resolution threshold of land cover in estimating regional terrestrial carbon sequestration","URL":"https://bg.copernicus.org/articles/7/71/2010/bg-7-71-2010-discussion.html","author":[{"family":"Zhao","given":"S."},{"family":"Liu","given":"S."},{"family":"Li","given":"Z."},{"family":"Sohl","given":"T. L."}],"accessed":{"date-parts":[["2025",3,30]]},"issued":{"date-parts":[["2009",8,5]]}}},{"id":8,"uris":["http://zotero.org/users/16803167/items/ZV3SNUBH"],"itemData":{"id":8,"type":"webpage","container-title":"Eye Radio","genre":"NewsPaper","title":"Schools closed after 12 students fainted daily over heat exhaustion: Official - Eye Radio","title-short":"Schools closed after 12 students fainted daily over heat exhaustion","URL":"https://www.eyeradio.org/schools-closed-after-12-students-fainted-daily-over-heat-exhaustion-official/","author":[{"family":"Micheal","given":"Daniel"}],"accessed":{"date-parts":[["2025",3,29]]},"issued":{"date-parts":[["2025",2,21]]}}}],"schema":"https://github.com/citation-style-language/schema/raw/master/csl-citation.json"} </w:instrText>
      </w:r>
      <w:r w:rsidR="00F77269" w:rsidRPr="00143888">
        <w:rPr>
          <w:rFonts w:ascii="Times New Roman" w:hAnsi="Times New Roman" w:cs="Times New Roman"/>
          <w:color w:val="000000"/>
          <w:sz w:val="24"/>
          <w:szCs w:val="24"/>
        </w:rPr>
        <w:fldChar w:fldCharType="separate"/>
      </w:r>
      <w:r w:rsidR="00F77269" w:rsidRPr="00503423">
        <w:rPr>
          <w:rFonts w:ascii="Times New Roman" w:hAnsi="Times New Roman" w:cs="Times New Roman"/>
          <w:color w:val="0000FF"/>
          <w:sz w:val="24"/>
          <w:szCs w:val="24"/>
          <w:u w:val="single"/>
        </w:rPr>
        <w:t xml:space="preserve">(Zhao </w:t>
      </w:r>
      <w:r w:rsidR="00F77269" w:rsidRPr="00503423">
        <w:rPr>
          <w:rFonts w:ascii="Times New Roman" w:hAnsi="Times New Roman" w:cs="Times New Roman"/>
          <w:i/>
          <w:iCs/>
          <w:color w:val="0000FF"/>
          <w:sz w:val="24"/>
          <w:szCs w:val="24"/>
          <w:u w:val="single"/>
        </w:rPr>
        <w:t>et al.</w:t>
      </w:r>
      <w:r w:rsidR="00F77269" w:rsidRPr="00503423">
        <w:rPr>
          <w:rFonts w:ascii="Times New Roman" w:hAnsi="Times New Roman" w:cs="Times New Roman"/>
          <w:color w:val="0000FF"/>
          <w:sz w:val="24"/>
          <w:szCs w:val="24"/>
          <w:u w:val="single"/>
        </w:rPr>
        <w:t>, 2009; Micheal, 2025)</w:t>
      </w:r>
      <w:r w:rsidR="00F77269"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087E5A7A" w14:textId="7EB2FC6E" w:rsidR="00BE3DCB" w:rsidRPr="008A4DF7" w:rsidRDefault="002C1399"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Scenario-based approaches offer valuable insights into potential future urban expansion under different policy frameworks. Urban growth scenarios such as business-as-usual, compact city development, and urban sprawl simulations help planners evaluate the impacts of different urbanization strategies. Additionally, agent-based models (ABM) simulate individual or group decision-making processes, illustrating how various factors influence urban expansion patterns</w:t>
      </w:r>
      <w:r w:rsidR="00F77269" w:rsidRPr="00143888">
        <w:rPr>
          <w:rFonts w:ascii="Times New Roman" w:hAnsi="Times New Roman" w:cs="Times New Roman"/>
          <w:color w:val="000000"/>
          <w:sz w:val="24"/>
          <w:szCs w:val="24"/>
        </w:rPr>
        <w:t xml:space="preserve"> </w:t>
      </w:r>
      <w:r w:rsidR="00F77269" w:rsidRPr="00143888">
        <w:rPr>
          <w:rFonts w:ascii="Times New Roman" w:hAnsi="Times New Roman" w:cs="Times New Roman"/>
          <w:color w:val="000000"/>
          <w:sz w:val="24"/>
          <w:szCs w:val="24"/>
        </w:rPr>
        <w:fldChar w:fldCharType="begin"/>
      </w:r>
      <w:r w:rsidR="00F77269" w:rsidRPr="00143888">
        <w:rPr>
          <w:rFonts w:ascii="Times New Roman" w:hAnsi="Times New Roman" w:cs="Times New Roman"/>
          <w:color w:val="000000"/>
          <w:sz w:val="24"/>
          <w:szCs w:val="24"/>
        </w:rPr>
        <w:instrText xml:space="preserve"> ADDIN ZOTERO_ITEM CSL_CITATION {"citationID":"ZzN4veVP","properties":{"formattedCitation":"(Dai {\\i{}et al.}, 2020; Gobin and Van Herzele, 2023)","plainCitation":"(Dai et al., 2020; Gobin and Van Herzele, 2023)","noteIndex":0},"citationItems":[{"id":105,"uris":["http://zotero.org/users/16803167/items/C42IM4RV"],"itemData":{"id":105,"type":"article-journal","container-title":"Journal of Geographical Sciences","DOI":"10.1007/s11442-020-1799-3","ISSN":"1009-637X, 1861-9568","issue":"10","journalAbbreviation":"J. Geogr. Sci.","language":"en","page":"1555-1570","source":"DOI.org (Crossref)","title":"Agent-based model of land system: Theory, application and modelling framework","title-short":"Agent-based model of land system","volume":"30","author":[{"family":"Dai","given":"Erfu"},{"family":"Ma","given":"Liang"},{"family":"Yang","given":"Weishi"},{"family":"Wang","given":"Yahui"},{"family":"Yin","given":"Le"},{"family":"Tong","given":"Miao"}],"issued":{"date-parts":[["2020",10]]}}},{"id":103,"uris":["http://zotero.org/users/16803167/items/A4GHHWVY"],"itemData":{"id":103,"type":"article-journal","abstract":"As a large proportion of land is managed by professional family farms, agent-based models are of interest for simulating agricultural land use. This requires a deep understanding of the farm characteristics that influence land use decisions. We developed a methodology to identify a data-driven farm typology by combining participatory methods, multivariate statistical modeling and spatiotemporal parcel-based land cover analysis between 2000 and 2020. A formal questionnaire provided data on the farm characteristics, which were subjected to principal component analysis and k-means clustering. The resulting data-driven typology complemented a production-based approach to understanding land use decisions. The main influencing factors were farm size, share of private land, dominant crops and participation in European schemes such as NATURA2000 and agri-environment-climate measures. Overall, family tradition and a high return on investment were the most important motivations for maintaining current land use practices, while a higher income, income support and diversification were the most important reasons for pursuing new land use options. Differences between the farm characteristics highlighted the importance of the motivations for land use decisions between the farm types. This methodology can be used to generate data-driven typologies suitable for implementing agent-based models to explore sustainable land management options in a changing environment.","container-title":"Land","DOI":"10.3390/land12112032","ISSN":"2073-445X","issue":"11","journalAbbreviation":"Land","language":"en","license":"https://creativecommons.org/licenses/by/4.0/","page":"2032","source":"DOI.org (Crossref)","title":"A Data-Driven Farm Typology as a Basis for Agricultural Land Use Decisions","volume":"12","author":[{"family":"Gobin","given":"Anne"},{"family":"Van Herzele","given":"Ann"}],"issued":{"date-parts":[["2023",11,8]]}}}],"schema":"https://github.com/citation-style-language/schema/raw/master/csl-citation.json"} </w:instrText>
      </w:r>
      <w:r w:rsidR="00F77269" w:rsidRPr="00143888">
        <w:rPr>
          <w:rFonts w:ascii="Times New Roman" w:hAnsi="Times New Roman" w:cs="Times New Roman"/>
          <w:color w:val="000000"/>
          <w:sz w:val="24"/>
          <w:szCs w:val="24"/>
        </w:rPr>
        <w:fldChar w:fldCharType="separate"/>
      </w:r>
      <w:r w:rsidR="00F77269" w:rsidRPr="00503423">
        <w:rPr>
          <w:rFonts w:ascii="Times New Roman" w:hAnsi="Times New Roman" w:cs="Times New Roman"/>
          <w:color w:val="0000FF"/>
          <w:sz w:val="24"/>
          <w:szCs w:val="24"/>
          <w:u w:val="single"/>
        </w:rPr>
        <w:t xml:space="preserve">(Dai </w:t>
      </w:r>
      <w:r w:rsidR="00F77269" w:rsidRPr="00503423">
        <w:rPr>
          <w:rFonts w:ascii="Times New Roman" w:hAnsi="Times New Roman" w:cs="Times New Roman"/>
          <w:i/>
          <w:iCs/>
          <w:color w:val="0000FF"/>
          <w:sz w:val="24"/>
          <w:szCs w:val="24"/>
          <w:u w:val="single"/>
        </w:rPr>
        <w:t>et al.</w:t>
      </w:r>
      <w:r w:rsidR="00F77269" w:rsidRPr="00503423">
        <w:rPr>
          <w:rFonts w:ascii="Times New Roman" w:hAnsi="Times New Roman" w:cs="Times New Roman"/>
          <w:color w:val="0000FF"/>
          <w:sz w:val="24"/>
          <w:szCs w:val="24"/>
          <w:u w:val="single"/>
        </w:rPr>
        <w:t>, 2020; Gobin and Van Herzele, 2023)</w:t>
      </w:r>
      <w:r w:rsidR="00F77269"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6ACB0E2A" w14:textId="77777777" w:rsidR="000A07E5" w:rsidRPr="00143888" w:rsidRDefault="000A07E5" w:rsidP="008A4DF7">
      <w:pPr>
        <w:pStyle w:val="Heading2"/>
      </w:pPr>
      <w:r w:rsidRPr="00143888">
        <w:lastRenderedPageBreak/>
        <w:t xml:space="preserve">Land Use and Land Cover (LULC) Dynamics in Juba </w:t>
      </w:r>
    </w:p>
    <w:p w14:paraId="0AEB4750"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Several studies have examined land use and land cover (LULC) changes in Juba, consistently highlighting the rapid expansion of built-up areas at the expense of agricultural land and natural ecosystems. One study by Gudo et al. focused on the spatiotemporal dynamics of LULC changes in </w:t>
      </w:r>
      <w:proofErr w:type="spellStart"/>
      <w:r w:rsidRPr="00143888">
        <w:rPr>
          <w:rFonts w:ascii="Times New Roman" w:hAnsi="Times New Roman" w:cs="Times New Roman"/>
          <w:color w:val="000000"/>
          <w:sz w:val="24"/>
          <w:szCs w:val="24"/>
        </w:rPr>
        <w:t>Jubek</w:t>
      </w:r>
      <w:proofErr w:type="spellEnd"/>
      <w:r w:rsidRPr="00143888">
        <w:rPr>
          <w:rFonts w:ascii="Times New Roman" w:hAnsi="Times New Roman" w:cs="Times New Roman"/>
          <w:color w:val="000000"/>
          <w:sz w:val="24"/>
          <w:szCs w:val="24"/>
        </w:rPr>
        <w:t xml:space="preserve"> State, which encompasses Juba. Using Landsat satellite imagery from 2000 to 2017, the study analyzed transformations across six major land cover categories: built-up areas, water bodies, agricultural land, forest land, barren land, and grassland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{"citationID":"qk8Rcv9g","properties":{"formattedCitation":"(Gudo, Deng and Qureshi, 2022b)","plainCitation":"(Gudo, Deng and Qureshi, 2022b)","noteIndex":0},"citationItems":[{"id":73,"uris":["http://zotero.org/users/16803167/items/9E273LWA"],"itemData":{"id":73,"type":"article-journal","abstract":"The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(Gudo, Deng and Qureshi, 2022b)</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w:t>
      </w:r>
    </w:p>
    <w:p w14:paraId="7F1B8AD2"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The findings revealed a substantial increase in built-up areas, particularly between 2009 and 2017, driven by factors such as population growth, rural-to-urban migration, and economic expansion. Urbanization in Juba followed a linear trajectory alongside population growth, with patterns influenced by security conditions, the availability of natural resources, and broader socio-economic and political factors. The prolonged civil unrest in South Sudan further exacerbated these trends, as large numbers of people migrated to Juba in search of safety and economic opportunities. This influx heightened demand for housing, infrastructure, and public services, accelerating the city's spatial expansion.</w:t>
      </w:r>
    </w:p>
    <w:p w14:paraId="5EA9946C" w14:textId="77777777" w:rsidR="000A07E5" w:rsidRPr="00143888" w:rsidRDefault="000A07E5" w:rsidP="00143888">
      <w:pPr>
        <w:spacing w:line="360" w:lineRule="auto"/>
        <w:jc w:val="both"/>
        <w:rPr>
          <w:rFonts w:ascii="Times New Roman" w:hAnsi="Times New Roman" w:cs="Times New Roman"/>
          <w:color w:val="000000"/>
          <w:sz w:val="24"/>
          <w:szCs w:val="24"/>
        </w:rPr>
      </w:pPr>
    </w:p>
    <w:p w14:paraId="2AAFD012" w14:textId="77777777" w:rsidR="000A07E5" w:rsidRPr="00143888"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 xml:space="preserve">In addition to documenting urban growth, the study also identified a critical challenge in predicting future expansion: the lack of consistent and reliable data. Political instability and conflict in the region have disrupted systematic data collection efforts, limiting the availability of high-quality geospatial information </w:t>
      </w:r>
      <w:r w:rsidRPr="00143888">
        <w:rPr>
          <w:rFonts w:ascii="Times New Roman" w:hAnsi="Times New Roman" w:cs="Times New Roman"/>
          <w:color w:val="000000"/>
          <w:sz w:val="24"/>
          <w:szCs w:val="24"/>
        </w:rPr>
        <w:fldChar w:fldCharType="begin"/>
      </w:r>
      <w:r w:rsidRPr="00143888">
        <w:rPr>
          <w:rFonts w:ascii="Times New Roman" w:hAnsi="Times New Roman" w:cs="Times New Roman"/>
          <w:color w:val="000000"/>
          <w:sz w:val="24"/>
          <w:szCs w:val="24"/>
        </w:rPr>
        <w:instrText xml:space="preserve"> ADDIN ZOTERO_ITEM CSL_CITATION {"citationID":"xN8w8pFz","properties":{"formattedCitation":"(Gudo, Deng and Qureshi, 2022b)","plainCitation":"(Gudo, Deng and Qureshi, 2022b)","noteIndex":0},"citationItems":[{"id":73,"uris":["http://zotero.org/users/16803167/items/9E273LWA"],"itemData":{"id":73,"type":"article-journal","abstract":"The Republic of South Sudan lacks adequate data to support decision-makers in planning. Therefore, a land use land cover (LULC) study was conducted in Jubek State for 17 years (2000–2017). It was divided into three time intervals, using remote sensing (RS), geographic information system (GIS), Landsat TM, Landsat ETM+, and Landsat 8 OLI approaches. A transition matrix for the total change was developed to generate spatiotemporal and quantitative indicators to analyze LULC spatiotemporal dynamics for better developmental decisions. Overall accuracy assessment results were 97.41% (kappa 0.96), 90.45% (kappa 0.85), and 91.5% (kappa 0.89) for years 2000, 2009, and 2017, respectively. Furthermore, quantitative and spatiotemporal results show that built up areas drastically increase, especially from 2009 to 2017. The most dominant class in the study area was grassland, 9929.9 km2 (54.22%), followed by forest, 5555 km2 (30.33%), barren land, 2497.3 km2 (13.64%), built up areas, 166.7 km2 (0.9%), farmland, 128.31 km2 (0.71%), and water bodies, 35.91 km2 (0.96%). The outcomes of the analysis show that since 1955 Jubek State (Juba) has been the preferable place for the local citizens’ settlement in South Sudan. Unfortunately, agricultural production was insufficient due to the limited cultivated area; on the other hand, the study area is rich in natural resources and could meet local people’s demand if a proper strategy such as LULC transformation is well implemented.","container-title":"Sustainability","DOI":"10.3390/su141710753","ISSN":"2071-1050","issue":"17","journalAbbreviation":"Sustainability","language":"en","license":"https://creativecommons.org/licenses/by/4.0/","page":"10753","source":"DOI.org (Crossref)","title":"Analysis of Spatiotemporal Dynamics of Land Use/Cover Changes in Jubek State, South Sudan","volume":"14","author":[{"family":"Gudo","given":"Adam Juma Abdallah"},{"family":"Deng","given":"Jinsong"},{"family":"Qureshi","given":"Asad Sarwar"}],"issued":{"date-parts":[["2022",8,29]]}}}],"schema":"https://github.com/citation-style-language/schema/raw/master/csl-citation.json"} </w:instrText>
      </w:r>
      <w:r w:rsidRPr="00143888">
        <w:rPr>
          <w:rFonts w:ascii="Times New Roman" w:hAnsi="Times New Roman" w:cs="Times New Roman"/>
          <w:color w:val="000000"/>
          <w:sz w:val="24"/>
          <w:szCs w:val="24"/>
        </w:rPr>
        <w:fldChar w:fldCharType="separate"/>
      </w:r>
      <w:r w:rsidRPr="00503423">
        <w:rPr>
          <w:rFonts w:ascii="Times New Roman" w:hAnsi="Times New Roman" w:cs="Times New Roman"/>
          <w:color w:val="0000FF"/>
          <w:sz w:val="24"/>
          <w:szCs w:val="24"/>
          <w:u w:val="single"/>
        </w:rPr>
        <w:t>(Gudo, Deng and Qureshi, 2022b)</w:t>
      </w:r>
      <w:r w:rsidRPr="00143888">
        <w:rPr>
          <w:rFonts w:ascii="Times New Roman" w:hAnsi="Times New Roman" w:cs="Times New Roman"/>
          <w:color w:val="000000"/>
          <w:sz w:val="24"/>
          <w:szCs w:val="24"/>
        </w:rPr>
        <w:fldChar w:fldCharType="end"/>
      </w:r>
      <w:r w:rsidRPr="00143888">
        <w:rPr>
          <w:rFonts w:ascii="Times New Roman" w:hAnsi="Times New Roman" w:cs="Times New Roman"/>
          <w:color w:val="000000"/>
          <w:sz w:val="24"/>
          <w:szCs w:val="24"/>
        </w:rPr>
        <w:t xml:space="preserve">. </w:t>
      </w:r>
    </w:p>
    <w:p w14:paraId="3F71236B" w14:textId="1CA5F1FC" w:rsidR="000A07E5" w:rsidRPr="008F197C" w:rsidRDefault="000A07E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These constraints have made it difficult to develop accurate predictive models for urban growth, underscoring the need for improved data acquisition strategies and methodological approaches to enhance urban planning and decision-making in Juba.</w:t>
      </w:r>
    </w:p>
    <w:p w14:paraId="72689D14" w14:textId="34AE88A8" w:rsidR="000A07E5" w:rsidRPr="00143888" w:rsidRDefault="000A07E5" w:rsidP="008A4DF7">
      <w:pPr>
        <w:pStyle w:val="Heading2"/>
      </w:pPr>
      <w:bookmarkStart w:id="8" w:name="_y4vbhxeos28r" w:colFirst="0" w:colLast="0"/>
      <w:bookmarkEnd w:id="8"/>
      <w:r w:rsidRPr="00143888">
        <w:t>Land use and Land cover change dynamics in Africa</w:t>
      </w:r>
    </w:p>
    <w:p w14:paraId="325F06F8"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A study conducted by Faisal Koko, Auwalu et al., investigated the patterns of land use and land cover (LULC) changes in Lagos, Nigeria, employing maximum likelihood classification and post-classification change detection techniques </w:t>
      </w:r>
      <w:r w:rsidRPr="00143888">
        <w:rPr>
          <w:rFonts w:ascii="Times New Roman" w:hAnsi="Times New Roman" w:cs="Times New Roman"/>
          <w:sz w:val="24"/>
          <w:szCs w:val="24"/>
        </w:rPr>
        <w:fldChar w:fldCharType="begin"/>
      </w:r>
      <w:r w:rsidRPr="00143888">
        <w:rPr>
          <w:rFonts w:ascii="Times New Roman" w:hAnsi="Times New Roman" w:cs="Times New Roman"/>
          <w:sz w:val="24"/>
          <w:szCs w:val="24"/>
        </w:rPr>
        <w:instrText xml:space="preserve"> ADDIN ZOTERO_ITEM CSL_CITATION {"citationID":"F2DLOlDt","properties":{"formattedCitation":"(Faisal Koko {\\i{}et al.}, 2021)","plainCitation":"(Faisal Koko et al., 2021)","noteIndex":0},"citationItems":[{"id":80,"uris":["http://zotero.org/users/16803167/items/RL4N72FV"],"itemData":{"id":80,"type":"article-journal","container-title":"Geomatics, Natural Hazards and Risk","DOI":"10.1080/19475705.2021.1887940","ISSN":"1947-5705, 1947-5713","issue":"1","journalAbbreviation":"Geomatics, Natural Hazards and Risk","language":"en","page":"631-652","source":"DOI.org (Crossref)","title":"Analyzing urban growth and land cover change scenario in Lagos, Nigeria using multi-temporal remote sensing data and GIS to mitigate flooding","volume":"12","author":[{"family":"Faisal Koko","given":"Auwalu"},{"family":"Yue","given":"Wu"},{"family":"Abdullahi Abubakar","given":"Ghali"},{"family":"Hamed","given":"Roknisadeh"},{"family":"Noman Alabsi","given":"Akram Ahmed"}],"issued":{"date-parts":[["2021",1,1]]}}}],"schema":"https://github.com/citation-style-language/schema/raw/master/csl-citation.json"} </w:instrText>
      </w:r>
      <w:r w:rsidRPr="00143888">
        <w:rPr>
          <w:rFonts w:ascii="Times New Roman" w:hAnsi="Times New Roman" w:cs="Times New Roman"/>
          <w:sz w:val="24"/>
          <w:szCs w:val="24"/>
        </w:rPr>
        <w:fldChar w:fldCharType="separate"/>
      </w:r>
      <w:r w:rsidRPr="00503423">
        <w:rPr>
          <w:rFonts w:ascii="Times New Roman" w:hAnsi="Times New Roman" w:cs="Times New Roman"/>
          <w:color w:val="0000FF"/>
          <w:sz w:val="24"/>
          <w:szCs w:val="24"/>
          <w:u w:val="single"/>
        </w:rPr>
        <w:t xml:space="preserve">(Faisal Koko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2021)</w:t>
      </w:r>
      <w:r w:rsidRPr="00143888">
        <w:rPr>
          <w:rFonts w:ascii="Times New Roman" w:hAnsi="Times New Roman" w:cs="Times New Roman"/>
          <w:sz w:val="24"/>
          <w:szCs w:val="24"/>
        </w:rPr>
        <w:fldChar w:fldCharType="end"/>
      </w:r>
      <w:r w:rsidRPr="00143888">
        <w:rPr>
          <w:rFonts w:ascii="Times New Roman" w:hAnsi="Times New Roman" w:cs="Times New Roman"/>
          <w:sz w:val="24"/>
          <w:szCs w:val="24"/>
        </w:rPr>
        <w:t xml:space="preserve">. These methods were used to </w:t>
      </w:r>
      <w:r w:rsidRPr="00143888">
        <w:rPr>
          <w:rFonts w:ascii="Times New Roman" w:hAnsi="Times New Roman" w:cs="Times New Roman"/>
          <w:sz w:val="24"/>
          <w:szCs w:val="24"/>
        </w:rPr>
        <w:lastRenderedPageBreak/>
        <w:t xml:space="preserve">analyze the city's urban expansion and the dynamics of land cover transformation over several decades.  </w:t>
      </w:r>
    </w:p>
    <w:p w14:paraId="029B37EE"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study identified three distinct phases of urban growth in Lagos and revealed a significant increase in the city's built-up area. In 1990, the built-up area covered approximately 496 km², which expanded to around 860 km² by the year 2000. The urban footprint continued to grow, reaching 1,113 km² in 2010 and surpassing 1,256 km² by 2021. This rapid expansion was accompanied by a marked decline in other land cover types, with vegetation cover decreasing by approximately 398 km², water bodies shrinking by around 246 km², and bare soil reducing by 115 km² between 1990 and 2020 </w:t>
      </w:r>
      <w:r w:rsidRPr="00143888">
        <w:rPr>
          <w:rFonts w:ascii="Times New Roman" w:hAnsi="Times New Roman" w:cs="Times New Roman"/>
          <w:sz w:val="24"/>
          <w:szCs w:val="24"/>
        </w:rPr>
        <w:fldChar w:fldCharType="begin"/>
      </w:r>
      <w:r w:rsidRPr="00143888">
        <w:rPr>
          <w:rFonts w:ascii="Times New Roman" w:hAnsi="Times New Roman" w:cs="Times New Roman"/>
          <w:sz w:val="24"/>
          <w:szCs w:val="24"/>
        </w:rPr>
        <w:instrText xml:space="preserve"> ADDIN ZOTERO_ITEM CSL_CITATION {"citationID":"cXVaJCFC","properties":{"formattedCitation":"(Faisal Koko {\\i{}et al.}, 2021)","plainCitation":"(Faisal Koko et al., 2021)","noteIndex":0},"citationItems":[{"id":80,"uris":["http://zotero.org/users/16803167/items/RL4N72FV"],"itemData":{"id":80,"type":"article-journal","container-title":"Geomatics, Natural Hazards and Risk","DOI":"10.1080/19475705.2021.1887940","ISSN":"1947-5705, 1947-5713","issue":"1","journalAbbreviation":"Geomatics, Natural Hazards and Risk","language":"en","page":"631-652","source":"DOI.org (Crossref)","title":"Analyzing urban growth and land cover change scenario in Lagos, Nigeria using multi-temporal remote sensing data and GIS to mitigate flooding","volume":"12","author":[{"family":"Faisal Koko","given":"Auwalu"},{"family":"Yue","given":"Wu"},{"family":"Abdullahi Abubakar","given":"Ghali"},{"family":"Hamed","given":"Roknisadeh"},{"family":"Noman Alabsi","given":"Akram Ahmed"}],"issued":{"date-parts":[["2021",1,1]]}}}],"schema":"https://github.com/citation-style-language/schema/raw/master/csl-citation.json"} </w:instrText>
      </w:r>
      <w:r w:rsidRPr="00143888">
        <w:rPr>
          <w:rFonts w:ascii="Times New Roman" w:hAnsi="Times New Roman" w:cs="Times New Roman"/>
          <w:sz w:val="24"/>
          <w:szCs w:val="24"/>
        </w:rPr>
        <w:fldChar w:fldCharType="separate"/>
      </w:r>
      <w:r w:rsidRPr="00503423">
        <w:rPr>
          <w:rFonts w:ascii="Times New Roman" w:hAnsi="Times New Roman" w:cs="Times New Roman"/>
          <w:color w:val="0000FF"/>
          <w:sz w:val="24"/>
          <w:szCs w:val="24"/>
          <w:u w:val="single"/>
        </w:rPr>
        <w:t xml:space="preserve">(Faisal Koko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2021)</w:t>
      </w:r>
      <w:r w:rsidRPr="00143888">
        <w:rPr>
          <w:rFonts w:ascii="Times New Roman" w:hAnsi="Times New Roman" w:cs="Times New Roman"/>
          <w:sz w:val="24"/>
          <w:szCs w:val="24"/>
        </w:rPr>
        <w:fldChar w:fldCharType="end"/>
      </w:r>
      <w:r w:rsidRPr="00143888">
        <w:rPr>
          <w:rFonts w:ascii="Times New Roman" w:hAnsi="Times New Roman" w:cs="Times New Roman"/>
          <w:sz w:val="24"/>
          <w:szCs w:val="24"/>
        </w:rPr>
        <w:t xml:space="preserve">.  </w:t>
      </w:r>
    </w:p>
    <w:p w14:paraId="060E147F" w14:textId="7B381636"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study highlighted the environmental consequences of these shifts, particularly the heightened risk of urban flooding. The loss of vegetation and water bodies, combined with the increase in impervious surfaces, has disrupted natural drainage systems, exacerbating both natural and human-induced flooding events . Given these findings, the researchers emphasized the need for sustainable urban planning and proactive flood mitigation strategies to address the growing challenges posed by Lagos’ rapid urbanization.</w:t>
      </w:r>
    </w:p>
    <w:p w14:paraId="653501A2"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Another study by Ouma et al., explored the application of a Random Forest Regression (RFR) model for predicting land use and land cover change (LULCC) in the Gaborone Dam catchment, Botswana, for the period 2019–2030 </w:t>
      </w:r>
      <w:r w:rsidRPr="00143888">
        <w:rPr>
          <w:rFonts w:ascii="Times New Roman" w:hAnsi="Times New Roman" w:cs="Times New Roman"/>
          <w:sz w:val="24"/>
          <w:szCs w:val="24"/>
        </w:rPr>
        <w:fldChar w:fldCharType="begin"/>
      </w:r>
      <w:r w:rsidRPr="00143888">
        <w:rPr>
          <w:rFonts w:ascii="Times New Roman" w:hAnsi="Times New Roman" w:cs="Times New Roman"/>
          <w:sz w:val="24"/>
          <w:szCs w:val="24"/>
        </w:rPr>
        <w:instrText xml:space="preserve"> ADDIN ZOTERO_ITEM CSL_CITATION {"citationID":"aXzKsDhd","properties":{"formattedCitation":"(Ouma {\\i{}et al.}, 2024)","plainCitation":"(Ouma et al., 2024)","noteIndex":0},"citationItems":[{"id":82,"uris":["http://zotero.org/users/16803167/items/KFF7TIZD"],"itemData":{"id":82,"type":"article-journal","abstract":"For sustainable water resource management within dam catchments, accurate knowledge of land-use and land-cover change (LULCC) and the relationships with dam water variability is necessary. To improve LULCC prediction, this study proposes the use of a random forest regression (RFR) model, in comparison with logistic regression–cellular automata (LR-CA) and artificial neural network–cellular automata (ANN-CA), for the prediction of LULCC (2019–2030) in the Gaborone dam catchment (Botswana). RFR is proposed as it is able to capture the existing and potential interactions between the LULC intensity and their nonlinear interactions with the change-driving factors. For LULCC forecasting, the driving factors comprised physiographic variables (elevation, slope and aspect) and proximity-neighborhood factors (distances to water bodies, roads and urban areas). In simulating the historical LULC (1986–2019) at 5-year time steps, RFR outperformed ANN-CA and LR-CA models with respective percentage accuracies of 84.9%, 62.1% and 60.7%. Using the RFR model, the predicted LULCCs were determined as vegetation (−8.9%), bare soil (+8.9%), built-up (+2.49%) and cropland (−2.8%), with water bodies exhibiting insignificant change. The correlation between land use (built-up areas) and water depicted an increasing population against decreasing dam water capacity. The study approach has the potential for deriving the catchment land–water nexus, which can aid in the formulation of sustainable catchment monitoring and development strategies.","container-title":"Sustainability","DOI":"10.3390/su16041699","ISSN":"2071-1050","issue":"4","language":"en","license":"http://creativecommons.org/licenses/by/3.0/","note":"number: 4\npublisher: Multidisciplinary Digital Publishing Institute","page":"1699","source":"www.mdpi.com","title":"Land-Use Change Prediction in Dam Catchment Using Logistic Regression-CA, ANN-CA and Random Forest Regression and Implications for Sustainable Land–Water Nexus","volume":"16","author":[{"family":"Ouma","given":"Yashon O."},{"family":"Nkwae","given":"Boipuso"},{"family":"Odirile","given":"Phillimon"},{"family":"Moalafhi","given":"Ditiro B."},{"family":"Anderson","given":"George"},{"family":"Parida","given":"Bhagabat"},{"family":"Qi","given":"Jiaguo"}],"issued":{"date-parts":[["2024",1]]}}}],"schema":"https://github.com/citation-style-language/schema/raw/master/csl-citation.json"} </w:instrText>
      </w:r>
      <w:r w:rsidRPr="00143888">
        <w:rPr>
          <w:rFonts w:ascii="Times New Roman" w:hAnsi="Times New Roman" w:cs="Times New Roman"/>
          <w:sz w:val="24"/>
          <w:szCs w:val="24"/>
        </w:rPr>
        <w:fldChar w:fldCharType="separate"/>
      </w:r>
      <w:r w:rsidRPr="00503423">
        <w:rPr>
          <w:rFonts w:ascii="Times New Roman" w:hAnsi="Times New Roman" w:cs="Times New Roman"/>
          <w:color w:val="0000FF"/>
          <w:sz w:val="24"/>
          <w:szCs w:val="24"/>
          <w:u w:val="single"/>
        </w:rPr>
        <w:t xml:space="preserve">(Ouma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2024)</w:t>
      </w:r>
      <w:r w:rsidRPr="00143888">
        <w:rPr>
          <w:rFonts w:ascii="Times New Roman" w:hAnsi="Times New Roman" w:cs="Times New Roman"/>
          <w:sz w:val="24"/>
          <w:szCs w:val="24"/>
        </w:rPr>
        <w:fldChar w:fldCharType="end"/>
      </w:r>
      <w:r w:rsidRPr="00143888">
        <w:rPr>
          <w:rFonts w:ascii="Times New Roman" w:hAnsi="Times New Roman" w:cs="Times New Roman"/>
          <w:sz w:val="24"/>
          <w:szCs w:val="24"/>
        </w:rPr>
        <w:t xml:space="preserve">. The study compared the performance of RFR with two other modeling approaches: logistic regression–cellular automata (LR-CA) and artificial neural network–cellular automata (ANN-CA). The researchers proposed RFR as the preferred model due to its ability to capture complex interactions between land use intensity and the nonlinear relationships between various change-driving factors.  </w:t>
      </w:r>
    </w:p>
    <w:p w14:paraId="3D8C9837"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To forecast LULCC, the study incorporated a range of influencing variables categorized into physiographic factors, such as elevation, slope, and aspect, and proximity-neighborhood factors, which included distances to water bodies, roads, and urban areas. The historical LULC patterns from 1986 to 2019 were simulated at five-year intervals to assess the performance of each model. The results demonstrated that RFR significantly outperformed ANN-CA and LR-CA, achieving an accuracy of 84.9%, compared to 62.1% and 60.7%, respectively </w:t>
      </w:r>
      <w:r w:rsidRPr="00143888">
        <w:rPr>
          <w:rFonts w:ascii="Times New Roman" w:hAnsi="Times New Roman" w:cs="Times New Roman"/>
          <w:sz w:val="24"/>
          <w:szCs w:val="24"/>
        </w:rPr>
        <w:fldChar w:fldCharType="begin"/>
      </w:r>
      <w:r w:rsidRPr="00143888">
        <w:rPr>
          <w:rFonts w:ascii="Times New Roman" w:hAnsi="Times New Roman" w:cs="Times New Roman"/>
          <w:sz w:val="24"/>
          <w:szCs w:val="24"/>
        </w:rPr>
        <w:instrText xml:space="preserve"> ADDIN ZOTERO_ITEM CSL_CITATION {"citationID":"ZDRVkUmg","properties":{"formattedCitation":"(Ouma {\\i{}et al.}, 2024)","plainCitation":"(Ouma et al., 2024)","noteIndex":0},"citationItems":[{"id":82,"uris":["http://zotero.org/users/16803167/items/KFF7TIZD"],"itemData":{"id":82,"type":"article-journal","abstract":"For sustainable water resource management within dam catchments, accurate knowledge of land-use and land-cover change (LULCC) and the relationships with dam water variability is necessary. To improve LULCC prediction, this study proposes the use of a random forest regression (RFR) model, in comparison with logistic regression–cellular automata (LR-CA) and artificial neural network–cellular automata (ANN-CA), for the prediction of LULCC (2019–2030) in the Gaborone dam catchment (Botswana). RFR is proposed as it is able to capture the existing and potential interactions between the LULC intensity and their nonlinear interactions with the change-driving factors. For LULCC forecasting, the driving factors comprised physiographic variables (elevation, slope and aspect) and proximity-neighborhood factors (distances to water bodies, roads and urban areas). In simulating the historical LULC (1986–2019) at 5-year time steps, RFR outperformed ANN-CA and LR-CA models with respective percentage accuracies of 84.9%, 62.1% and 60.7%. Using the RFR model, the predicted LULCCs were determined as vegetation (−8.9%), bare soil (+8.9%), built-up (+2.49%) and cropland (−2.8%), with water bodies exhibiting insignificant change. The correlation between land use (built-up areas) and water depicted an increasing population against decreasing dam water capacity. The study approach has the potential for deriving the catchment land–water nexus, which can aid in the formulation of sustainable catchment monitoring and development strategies.","container-title":"Sustainability","DOI":"10.3390/su16041699","ISSN":"2071-1050","issue":"4","language":"en","license":"http://creativecommons.org/licenses/by/3.0/","note":"number: 4\npublisher: Multidisciplinary Digital Publishing Institute","page":"1699","source":"www.mdpi.com","title":"Land-Use Change Prediction in Dam Catchment Using Logistic Regression-CA, ANN-CA and Random Forest Regression and Implications for Sustainable Land–Water Nexus","volume":"16","author":[{"family":"Ouma","given":"Yashon O."},{"family":"Nkwae","given":"Boipuso"},{"family":"Odirile","given":"Phillimon"},{"family":"Moalafhi","given":"Ditiro B."},{"family":"Anderson","given":"George"},{"family":"Parida","given":"Bhagabat"},{"family":"Qi","given":"Jiaguo"}],"issued":{"date-parts":[["2024",1]]}}}],"schema":"https://github.com/citation-style-language/schema/raw/master/csl-citation.json"} </w:instrText>
      </w:r>
      <w:r w:rsidRPr="00143888">
        <w:rPr>
          <w:rFonts w:ascii="Times New Roman" w:hAnsi="Times New Roman" w:cs="Times New Roman"/>
          <w:sz w:val="24"/>
          <w:szCs w:val="24"/>
        </w:rPr>
        <w:fldChar w:fldCharType="separate"/>
      </w:r>
      <w:r w:rsidRPr="00503423">
        <w:rPr>
          <w:rFonts w:ascii="Times New Roman" w:hAnsi="Times New Roman" w:cs="Times New Roman"/>
          <w:color w:val="0000FF"/>
          <w:sz w:val="24"/>
          <w:szCs w:val="24"/>
          <w:u w:val="single"/>
        </w:rPr>
        <w:t xml:space="preserve">(Ouma </w:t>
      </w:r>
      <w:r w:rsidRPr="00503423">
        <w:rPr>
          <w:rFonts w:ascii="Times New Roman" w:hAnsi="Times New Roman" w:cs="Times New Roman"/>
          <w:i/>
          <w:iCs/>
          <w:color w:val="0000FF"/>
          <w:sz w:val="24"/>
          <w:szCs w:val="24"/>
          <w:u w:val="single"/>
        </w:rPr>
        <w:t>et al.</w:t>
      </w:r>
      <w:r w:rsidRPr="00503423">
        <w:rPr>
          <w:rFonts w:ascii="Times New Roman" w:hAnsi="Times New Roman" w:cs="Times New Roman"/>
          <w:color w:val="0000FF"/>
          <w:sz w:val="24"/>
          <w:szCs w:val="24"/>
          <w:u w:val="single"/>
        </w:rPr>
        <w:t>, 2024)</w:t>
      </w:r>
      <w:r w:rsidRPr="00143888">
        <w:rPr>
          <w:rFonts w:ascii="Times New Roman" w:hAnsi="Times New Roman" w:cs="Times New Roman"/>
          <w:sz w:val="24"/>
          <w:szCs w:val="24"/>
        </w:rPr>
        <w:fldChar w:fldCharType="end"/>
      </w:r>
      <w:r w:rsidRPr="00143888">
        <w:rPr>
          <w:rFonts w:ascii="Times New Roman" w:hAnsi="Times New Roman" w:cs="Times New Roman"/>
          <w:sz w:val="24"/>
          <w:szCs w:val="24"/>
        </w:rPr>
        <w:t xml:space="preserve">.  </w:t>
      </w:r>
    </w:p>
    <w:p w14:paraId="55B85331" w14:textId="77777777" w:rsidR="000A07E5"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Using the RFR model, the study projected notable changes in land cover between 2019 and 2030. The analysis indicated a decline in vegetation cover by 8.9%, while bare soil increased by the same margin. Built-up areas expanded by 2.49%, whereas cropland shrank by 2.8%. Water bodies </w:t>
      </w:r>
      <w:r w:rsidRPr="00143888">
        <w:rPr>
          <w:rFonts w:ascii="Times New Roman" w:hAnsi="Times New Roman" w:cs="Times New Roman"/>
          <w:sz w:val="24"/>
          <w:szCs w:val="24"/>
        </w:rPr>
        <w:lastRenderedPageBreak/>
        <w:t xml:space="preserve">exhibited minimal change; however, the study found a strong correlation between urban expansion and diminishing dam water capacity. This suggests that increasing population density and urbanization may exert further pressure on water resources.  </w:t>
      </w:r>
    </w:p>
    <w:p w14:paraId="34119175" w14:textId="31B92089" w:rsidR="00BE3DCB" w:rsidRPr="00143888" w:rsidRDefault="000A07E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study’s methodology underscores the potential of machine learning models like RFR in understanding the land–water nexus within catchment areas. These insights can be instrumental in formulating effective policies for sustainable catchment management, urban planning, and water resource conservation in regions experiencing rapid environmental and demographic changes.</w:t>
      </w:r>
    </w:p>
    <w:p w14:paraId="454903D2" w14:textId="77777777" w:rsidR="00AE5E64" w:rsidRPr="00143888" w:rsidRDefault="00AE5E64" w:rsidP="008A4DF7">
      <w:pPr>
        <w:pStyle w:val="Heading2"/>
      </w:pPr>
      <w:r w:rsidRPr="00143888">
        <w:t>Novelty of the Study</w:t>
      </w:r>
    </w:p>
    <w:p w14:paraId="7CDF57E8" w14:textId="2DE87B3A" w:rsidR="00AE5E64" w:rsidRPr="00143888" w:rsidRDefault="00AE5E6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This study introduces a novel approach to predicting urban growth in Juba, South Sudan, by integrating advanced machine learning techniques with geospatial technologies. It aims to address the unique challenges of rapid urbanization in a developing, post-conflict urban center. While urban growth prediction models such as Random Forest (RF), Cellular Automata (CA), and Markov Chains have been widely used globally, their application in Juba—a city undergoing rapid, often unplanned expansion due to population growth, civil unrest, and economic pressures—offers a distinct contribution to the field.</w:t>
      </w:r>
    </w:p>
    <w:p w14:paraId="6B025FF6" w14:textId="4E65AE9C" w:rsidR="00AE5E64" w:rsidRPr="00143888" w:rsidRDefault="00AE5E6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The novelty of this research lies in its context-specific application in Juba, a city where consistent geospatial data is scarce due to prolonged political instability and conflict. By leveraging historical Landsat 5 and 7 data from 1994 to 2023, this study pioneers a data-driven approach in a region where urban growth analyses have been limited. This work fills a critical gap in urban planning knowledge for South Sudan, offering a unique perspective on urban growth in a resource-constrained setting.</w:t>
      </w:r>
    </w:p>
    <w:p w14:paraId="0916327A" w14:textId="511FDCC7" w:rsidR="00AE5E64" w:rsidRPr="00143888" w:rsidRDefault="00AE5E6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This research also integrates Random Forest with advanced geospatial pre-processing techniques, such as cloud masking and ground control points (GCPs), using Google Earth Engine (GEE) and Quantum GIS. These methods ensure robust data quality despite challenges such as cloud cover and limited ground-truthing in Juba, setting a new standard for predictive modeling in data-scarce environments. Additionally, the study uses a 29-year historical dataset (1994–2023) to train the Random Forest model, segmented into decadal patterns, and provides a decade-long future prediction (2024–2033), offering urban planners a detailed temporal framework to anticipate and manage growth.</w:t>
      </w:r>
    </w:p>
    <w:p w14:paraId="6230F2D7" w14:textId="76590B9F" w:rsidR="00AE5E64" w:rsidRPr="00143888" w:rsidRDefault="00AE5E64"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lastRenderedPageBreak/>
        <w:t>Another key aspect of this study is its focus on sustainability and resilience. Beyond prediction, the study aims to inform integrated urban planning strategies by forecasting land-use changes and urban sprawl with high accuracy. This directly addresses Juba’s dual challenges of economic opportunity and sustainability issues, such as infrastructure strain, environmental degradation, and displacement. The study provides actionable insights that align with global sustainability goals while being locally relevant.</w:t>
      </w:r>
    </w:p>
    <w:p w14:paraId="30B448A5" w14:textId="0AE10A69" w:rsidR="00DF7CB2" w:rsidRPr="00143888" w:rsidRDefault="00AE5E64"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Finally, the development of a Random Forest-based predictive model as a decision-support system is particularly innovative for Juba. Unlike studies that focus solely on model accuracy, this research evaluates performance using a confusion matrix and translates predictions into practical tools for policymakers. This approach enhances infrastructure development, disaster preparedness, and environmental risk mitigation, offering a proactive approach to urban planning in a rapidly transforming city.</w:t>
      </w:r>
      <w:r w:rsidRPr="00143888">
        <w:rPr>
          <w:rFonts w:ascii="Times New Roman" w:hAnsi="Times New Roman" w:cs="Times New Roman"/>
          <w:bCs/>
          <w:sz w:val="24"/>
          <w:szCs w:val="24"/>
        </w:rPr>
        <w:cr/>
      </w:r>
      <w:r w:rsidR="00DF7CB2" w:rsidRPr="00143888">
        <w:rPr>
          <w:rFonts w:ascii="Times New Roman" w:hAnsi="Times New Roman" w:cs="Times New Roman"/>
          <w:sz w:val="24"/>
          <w:szCs w:val="24"/>
        </w:rPr>
        <w:br w:type="page"/>
      </w:r>
    </w:p>
    <w:p w14:paraId="1E6BA242" w14:textId="001025C3" w:rsidR="00BE3DCB" w:rsidRDefault="005C6D9C" w:rsidP="005C6D9C">
      <w:pPr>
        <w:pStyle w:val="Heading1"/>
      </w:pPr>
      <w:r>
        <w:lastRenderedPageBreak/>
        <w:t>Methodology</w:t>
      </w:r>
    </w:p>
    <w:p w14:paraId="10F14AED" w14:textId="0DC74EAB" w:rsidR="00F204A5" w:rsidRDefault="00AD2C6B" w:rsidP="00F204A5">
      <w:r w:rsidRPr="00143888">
        <w:rPr>
          <w:rFonts w:ascii="Times New Roman" w:hAnsi="Times New Roman" w:cs="Times New Roman"/>
          <w:noProof/>
          <w:sz w:val="24"/>
          <w:szCs w:val="24"/>
        </w:rPr>
        <w:drawing>
          <wp:anchor distT="0" distB="0" distL="114300" distR="114300" simplePos="0" relativeHeight="251667456" behindDoc="0" locked="0" layoutInCell="1" allowOverlap="1" wp14:anchorId="18D77061" wp14:editId="263E88C1">
            <wp:simplePos x="0" y="0"/>
            <wp:positionH relativeFrom="page">
              <wp:posOffset>1543413</wp:posOffset>
            </wp:positionH>
            <wp:positionV relativeFrom="paragraph">
              <wp:posOffset>2313594</wp:posOffset>
            </wp:positionV>
            <wp:extent cx="4304665" cy="4531360"/>
            <wp:effectExtent l="0" t="0" r="635" b="2540"/>
            <wp:wrapTopAndBottom/>
            <wp:docPr id="1681225400" name="Picture 11" descr="A diagram of a model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25400" name="Picture 11" descr="A diagram of a model performanc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04665" cy="4531360"/>
                    </a:xfrm>
                    <a:prstGeom prst="rect">
                      <a:avLst/>
                    </a:prstGeom>
                  </pic:spPr>
                </pic:pic>
              </a:graphicData>
            </a:graphic>
            <wp14:sizeRelH relativeFrom="page">
              <wp14:pctWidth>0</wp14:pctWidth>
            </wp14:sizeRelH>
            <wp14:sizeRelV relativeFrom="page">
              <wp14:pctHeight>0</wp14:pctHeight>
            </wp14:sizeRelV>
          </wp:anchor>
        </w:drawing>
      </w:r>
      <w:r w:rsidR="00F204A5" w:rsidRPr="000F0885">
        <w:rPr>
          <w:noProof/>
        </w:rPr>
        <mc:AlternateContent>
          <mc:Choice Requires="wps">
            <w:drawing>
              <wp:anchor distT="91440" distB="91440" distL="365760" distR="365760" simplePos="0" relativeHeight="251671552" behindDoc="0" locked="0" layoutInCell="1" allowOverlap="1" wp14:anchorId="685C9711" wp14:editId="7F7735C7">
                <wp:simplePos x="0" y="0"/>
                <wp:positionH relativeFrom="margin">
                  <wp:align>right</wp:align>
                </wp:positionH>
                <wp:positionV relativeFrom="margin">
                  <wp:posOffset>752475</wp:posOffset>
                </wp:positionV>
                <wp:extent cx="5984875" cy="1822450"/>
                <wp:effectExtent l="0" t="0" r="0" b="6350"/>
                <wp:wrapTopAndBottom/>
                <wp:docPr id="301956688" name="Rectangle 152"/>
                <wp:cNvGraphicFramePr/>
                <a:graphic xmlns:a="http://schemas.openxmlformats.org/drawingml/2006/main">
                  <a:graphicData uri="http://schemas.microsoft.com/office/word/2010/wordprocessingShape">
                    <wps:wsp>
                      <wps:cNvSpPr/>
                      <wps:spPr>
                        <a:xfrm>
                          <a:off x="0" y="0"/>
                          <a:ext cx="5984875" cy="1822862"/>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D413E2"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33BEDDE4" w14:textId="55ABAAC9" w:rsidR="00F204A5" w:rsidRPr="000F0885" w:rsidRDefault="00F204A5" w:rsidP="00F204A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F204A5">
                              <w:rPr>
                                <w:rFonts w:ascii="Times New Roman" w:hAnsi="Times New Roman" w:cs="Times New Roman"/>
                                <w:color w:val="4F81BD" w:themeColor="accent1"/>
                              </w:rPr>
                              <w:t xml:space="preserve">Landsat 5 (1994-2013) and Landsat 7 (2004-2023) </w:t>
                            </w:r>
                            <w:r>
                              <w:rPr>
                                <w:rFonts w:ascii="Times New Roman" w:hAnsi="Times New Roman" w:cs="Times New Roman"/>
                                <w:color w:val="4F81BD" w:themeColor="accent1"/>
                              </w:rPr>
                              <w:t xml:space="preserve">satellite imagery </w:t>
                            </w:r>
                            <w:r w:rsidRPr="00F204A5">
                              <w:rPr>
                                <w:rFonts w:ascii="Times New Roman" w:hAnsi="Times New Roman" w:cs="Times New Roman"/>
                                <w:color w:val="4F81BD" w:themeColor="accent1"/>
                              </w:rPr>
                              <w:t xml:space="preserve">data </w:t>
                            </w:r>
                            <w:r>
                              <w:rPr>
                                <w:rFonts w:ascii="Times New Roman" w:hAnsi="Times New Roman" w:cs="Times New Roman"/>
                                <w:color w:val="4F81BD" w:themeColor="accent1"/>
                              </w:rPr>
                              <w:t>are obtained from</w:t>
                            </w:r>
                            <w:r w:rsidRPr="00F204A5">
                              <w:rPr>
                                <w:rFonts w:ascii="Times New Roman" w:hAnsi="Times New Roman" w:cs="Times New Roman"/>
                                <w:color w:val="4F81BD" w:themeColor="accent1"/>
                              </w:rPr>
                              <w:t xml:space="preserve"> Google Earth Engine (GEE) to analyze </w:t>
                            </w:r>
                            <w:r>
                              <w:rPr>
                                <w:rFonts w:ascii="Times New Roman" w:hAnsi="Times New Roman" w:cs="Times New Roman"/>
                                <w:color w:val="4F81BD" w:themeColor="accent1"/>
                              </w:rPr>
                              <w:t>urban trends of the ROI, encircling Juba</w:t>
                            </w:r>
                            <w:r w:rsidRPr="00F204A5">
                              <w:rPr>
                                <w:rFonts w:ascii="Times New Roman" w:hAnsi="Times New Roman" w:cs="Times New Roman"/>
                                <w:color w:val="4F81BD" w:themeColor="accent1"/>
                              </w:rPr>
                              <w:t xml:space="preserve">. A Random Forest classifier categorizes land cover into Urban, Bare Land, Water, and Vegetation for three periods (1994-2003, 2004-2013, 2014-2023). Future projections (2024-2033) are derived from spectral trends. Accuracy is assessed through Producer’s Accuracy (PA), User’s Accuracy (UA), and Overall Accuracy from confusion matrices, ensuring reliable classifications. The workflow combines GEE’s cloud processing with QGIS visualization, </w:t>
                            </w:r>
                            <w:r>
                              <w:rPr>
                                <w:rFonts w:ascii="Times New Roman" w:hAnsi="Times New Roman" w:cs="Times New Roman"/>
                                <w:color w:val="4F81BD" w:themeColor="accent1"/>
                              </w:rPr>
                              <w:t>for implementing the methodology</w:t>
                            </w:r>
                          </w:p>
                          <w:p w14:paraId="72E764AA"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C9711" id="_x0000_s1028" style="position:absolute;margin-left:420.05pt;margin-top:59.25pt;width:471.25pt;height:143.5pt;z-index:251671552;visibility:visible;mso-wrap-style:square;mso-width-percent:0;mso-height-percent:0;mso-wrap-distance-left:28.8pt;mso-wrap-distance-top:7.2pt;mso-wrap-distance-right:28.8pt;mso-wrap-distance-bottom:7.2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" filled="f" stroked="f" strokeweight="2pt">
                <v:textbox inset="10.8pt,0,10.8pt,0">
                  <w:txbxContent>
                    <w:p w14:paraId="13D413E2" w14:textId="77777777" w:rsidR="00F204A5" w:rsidRPr="000F0885" w:rsidRDefault="00F204A5" w:rsidP="00F204A5">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p>
                    <w:p w14:paraId="33BEDDE4" w14:textId="55ABAAC9" w:rsidR="00F204A5" w:rsidRPr="000F0885" w:rsidRDefault="00F204A5" w:rsidP="00F204A5">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259" w:lineRule="auto"/>
                        <w:jc w:val="both"/>
                        <w:rPr>
                          <w:rFonts w:ascii="Times New Roman" w:hAnsi="Times New Roman" w:cs="Times New Roman"/>
                          <w:color w:val="4F81BD" w:themeColor="accent1"/>
                        </w:rPr>
                      </w:pPr>
                      <w:r w:rsidRPr="00F204A5">
                        <w:rPr>
                          <w:rFonts w:ascii="Times New Roman" w:hAnsi="Times New Roman" w:cs="Times New Roman"/>
                          <w:color w:val="4F81BD" w:themeColor="accent1"/>
                        </w:rPr>
                        <w:t xml:space="preserve">Landsat 5 (1994-2013) and Landsat 7 (2004-2023) </w:t>
                      </w:r>
                      <w:r>
                        <w:rPr>
                          <w:rFonts w:ascii="Times New Roman" w:hAnsi="Times New Roman" w:cs="Times New Roman"/>
                          <w:color w:val="4F81BD" w:themeColor="accent1"/>
                        </w:rPr>
                        <w:t xml:space="preserve">satellite imagery </w:t>
                      </w:r>
                      <w:r w:rsidRPr="00F204A5">
                        <w:rPr>
                          <w:rFonts w:ascii="Times New Roman" w:hAnsi="Times New Roman" w:cs="Times New Roman"/>
                          <w:color w:val="4F81BD" w:themeColor="accent1"/>
                        </w:rPr>
                        <w:t xml:space="preserve">data </w:t>
                      </w:r>
                      <w:r>
                        <w:rPr>
                          <w:rFonts w:ascii="Times New Roman" w:hAnsi="Times New Roman" w:cs="Times New Roman"/>
                          <w:color w:val="4F81BD" w:themeColor="accent1"/>
                        </w:rPr>
                        <w:t>are obtained from</w:t>
                      </w:r>
                      <w:r w:rsidRPr="00F204A5">
                        <w:rPr>
                          <w:rFonts w:ascii="Times New Roman" w:hAnsi="Times New Roman" w:cs="Times New Roman"/>
                          <w:color w:val="4F81BD" w:themeColor="accent1"/>
                        </w:rPr>
                        <w:t xml:space="preserve"> Google Earth Engine (GEE) to analyze </w:t>
                      </w:r>
                      <w:r>
                        <w:rPr>
                          <w:rFonts w:ascii="Times New Roman" w:hAnsi="Times New Roman" w:cs="Times New Roman"/>
                          <w:color w:val="4F81BD" w:themeColor="accent1"/>
                        </w:rPr>
                        <w:t>urban trends of the ROI, encircling Juba</w:t>
                      </w:r>
                      <w:r w:rsidRPr="00F204A5">
                        <w:rPr>
                          <w:rFonts w:ascii="Times New Roman" w:hAnsi="Times New Roman" w:cs="Times New Roman"/>
                          <w:color w:val="4F81BD" w:themeColor="accent1"/>
                        </w:rPr>
                        <w:t xml:space="preserve">. A Random Forest classifier categorizes land cover into Urban, Bare Land, Water, and Vegetation for three periods (1994-2003, 2004-2013, 2014-2023). Future projections (2024-2033) are derived from spectral trends. Accuracy is assessed through Producer’s Accuracy (PA), User’s Accuracy (UA), and Overall Accuracy from confusion matrices, ensuring reliable classifications. The workflow combines GEE’s cloud processing with QGIS visualization, </w:t>
                      </w:r>
                      <w:r>
                        <w:rPr>
                          <w:rFonts w:ascii="Times New Roman" w:hAnsi="Times New Roman" w:cs="Times New Roman"/>
                          <w:color w:val="4F81BD" w:themeColor="accent1"/>
                        </w:rPr>
                        <w:t>for implementing the methodology</w:t>
                      </w:r>
                    </w:p>
                    <w:p w14:paraId="72E764AA" w14:textId="77777777" w:rsidR="00F204A5" w:rsidRPr="000F0885" w:rsidRDefault="00F204A5" w:rsidP="00F204A5">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09253DEE" w14:textId="77777777" w:rsidR="00AD2C6B" w:rsidRPr="00AD2C6B" w:rsidRDefault="00AD2C6B" w:rsidP="00AD2C6B"/>
    <w:p w14:paraId="2AA2FEFD" w14:textId="63CCC1A7" w:rsidR="00AD2C6B" w:rsidRDefault="00AD2C6B" w:rsidP="00AD2C6B">
      <w:pPr>
        <w:tabs>
          <w:tab w:val="left" w:pos="8088"/>
        </w:tabs>
      </w:pPr>
      <w:r>
        <w:tab/>
      </w:r>
    </w:p>
    <w:p w14:paraId="1CC7D160" w14:textId="77777777" w:rsidR="00AD2C6B" w:rsidRDefault="00AD2C6B" w:rsidP="00AD2C6B">
      <w:pPr>
        <w:tabs>
          <w:tab w:val="left" w:pos="8088"/>
        </w:tabs>
      </w:pPr>
    </w:p>
    <w:p w14:paraId="3B601C06" w14:textId="0F383141" w:rsidR="00622E32" w:rsidRDefault="005C6D9C" w:rsidP="00AD2C6B">
      <w:pPr>
        <w:pStyle w:val="Caption"/>
        <w:jc w:val="center"/>
        <w:rPr>
          <w:i w:val="0"/>
          <w:iCs w:val="0"/>
        </w:rPr>
      </w:pPr>
      <w:bookmarkStart w:id="9" w:name="_Ref194631912"/>
      <w:r w:rsidRPr="00DD3F17">
        <w:rPr>
          <w:b/>
          <w:bCs/>
        </w:rPr>
        <w:t xml:space="preserve">Figure </w:t>
      </w:r>
      <w:r w:rsidR="008B54A8">
        <w:rPr>
          <w:b/>
          <w:bCs/>
        </w:rPr>
        <w:fldChar w:fldCharType="begin"/>
      </w:r>
      <w:r w:rsidR="008B54A8">
        <w:rPr>
          <w:b/>
          <w:bCs/>
        </w:rPr>
        <w:instrText xml:space="preserve"> STYLEREF 1 \s </w:instrText>
      </w:r>
      <w:r w:rsidR="008B54A8">
        <w:rPr>
          <w:b/>
          <w:bCs/>
        </w:rPr>
        <w:fldChar w:fldCharType="separate"/>
      </w:r>
      <w:r w:rsidR="00B76846">
        <w:rPr>
          <w:b/>
          <w:bCs/>
          <w:noProof/>
        </w:rPr>
        <w:t>3</w:t>
      </w:r>
      <w:r w:rsidR="008B54A8">
        <w:rPr>
          <w:b/>
          <w:bCs/>
        </w:rPr>
        <w:fldChar w:fldCharType="end"/>
      </w:r>
      <w:r w:rsidR="008B54A8">
        <w:rPr>
          <w:b/>
          <w:bCs/>
        </w:rPr>
        <w:noBreakHyphen/>
      </w:r>
      <w:r w:rsidR="008B54A8">
        <w:rPr>
          <w:b/>
          <w:bCs/>
        </w:rPr>
        <w:fldChar w:fldCharType="begin"/>
      </w:r>
      <w:r w:rsidR="008B54A8">
        <w:rPr>
          <w:b/>
          <w:bCs/>
        </w:rPr>
        <w:instrText xml:space="preserve"> SEQ Figure \* ARABIC \s 1 </w:instrText>
      </w:r>
      <w:r w:rsidR="008B54A8">
        <w:rPr>
          <w:b/>
          <w:bCs/>
        </w:rPr>
        <w:fldChar w:fldCharType="separate"/>
      </w:r>
      <w:r w:rsidR="00B76846">
        <w:rPr>
          <w:b/>
          <w:bCs/>
          <w:noProof/>
        </w:rPr>
        <w:t>1</w:t>
      </w:r>
      <w:r w:rsidR="008B54A8">
        <w:rPr>
          <w:b/>
          <w:bCs/>
        </w:rPr>
        <w:fldChar w:fldCharType="end"/>
      </w:r>
      <w:bookmarkEnd w:id="9"/>
      <w:r w:rsidRPr="00DD3F17">
        <w:rPr>
          <w:b/>
          <w:bCs/>
        </w:rPr>
        <w:t>:</w:t>
      </w:r>
      <w:r>
        <w:t xml:space="preserve"> </w:t>
      </w:r>
      <w:r w:rsidRPr="00DD3F17">
        <w:rPr>
          <w:i w:val="0"/>
          <w:iCs w:val="0"/>
        </w:rPr>
        <w:t>Flow chart of the methodology</w:t>
      </w:r>
    </w:p>
    <w:p w14:paraId="0F57D673" w14:textId="77777777" w:rsidR="00AD2C6B" w:rsidRDefault="00AD2C6B" w:rsidP="00AD2C6B">
      <w:pPr>
        <w:pStyle w:val="Heading2"/>
      </w:pPr>
      <w:r>
        <w:lastRenderedPageBreak/>
        <w:t>Introduction</w:t>
      </w:r>
    </w:p>
    <w:p w14:paraId="37CABB1E" w14:textId="124B921B" w:rsidR="00AD2C6B" w:rsidRDefault="00AD2C6B" w:rsidP="00AD2C6B">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This study utilizes a machine learning framework to predict urban growth and land cover dynamics in Juba, South Sudan, for the period 2024 to 2033. By leveraging historical satellite imagery from 1994 to 2023, the study applies advanced geospatial analysis techniques to assess past trends and forecast future urban expansion.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_Ref194631912 \h </w:instrText>
      </w:r>
      <w:r>
        <w:rPr>
          <w:rFonts w:ascii="Times New Roman" w:hAnsi="Times New Roman" w:cs="Times New Roman"/>
          <w:sz w:val="24"/>
          <w:szCs w:val="24"/>
        </w:rPr>
      </w:r>
      <w:r>
        <w:rPr>
          <w:rFonts w:ascii="Times New Roman" w:hAnsi="Times New Roman" w:cs="Times New Roman"/>
          <w:sz w:val="24"/>
          <w:szCs w:val="24"/>
        </w:rPr>
        <w:fldChar w:fldCharType="separate"/>
      </w:r>
      <w:r w:rsidR="00B76846" w:rsidRPr="00DD3F17">
        <w:rPr>
          <w:b/>
          <w:bCs/>
        </w:rPr>
        <w:t xml:space="preserve">Figure </w:t>
      </w:r>
      <w:r w:rsidR="00B76846">
        <w:rPr>
          <w:b/>
          <w:bCs/>
          <w:noProof/>
        </w:rPr>
        <w:t>3</w:t>
      </w:r>
      <w:r w:rsidR="00B76846">
        <w:rPr>
          <w:b/>
          <w:bCs/>
        </w:rPr>
        <w:noBreakHyphen/>
      </w:r>
      <w:r w:rsidR="00B76846">
        <w:rPr>
          <w:b/>
          <w:bCs/>
          <w:noProof/>
        </w:rPr>
        <w:t>1</w:t>
      </w:r>
      <w:r>
        <w:rPr>
          <w:rFonts w:ascii="Times New Roman" w:hAnsi="Times New Roman" w:cs="Times New Roman"/>
          <w:sz w:val="24"/>
          <w:szCs w:val="24"/>
        </w:rPr>
        <w:fldChar w:fldCharType="end"/>
      </w:r>
      <w:r>
        <w:rPr>
          <w:rFonts w:ascii="Times New Roman" w:hAnsi="Times New Roman" w:cs="Times New Roman"/>
          <w:sz w:val="24"/>
          <w:szCs w:val="24"/>
        </w:rPr>
        <w:t xml:space="preserve"> shows a detailed flow chart of the methodology.</w:t>
      </w:r>
    </w:p>
    <w:p w14:paraId="2F3B41CB" w14:textId="77777777" w:rsidR="00AD2C6B" w:rsidRPr="00AD2C6B" w:rsidRDefault="00AD2C6B" w:rsidP="00AD2C6B"/>
    <w:p w14:paraId="74381976" w14:textId="469641DC" w:rsidR="00D756A6" w:rsidRPr="00143888" w:rsidRDefault="00D756A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methodology integrates satellite data processing, machine learning classification, and predictive modeling to generate insights into land-use changes.</w:t>
      </w:r>
    </w:p>
    <w:p w14:paraId="50FE02E9" w14:textId="271FE600" w:rsidR="00D756A6" w:rsidRPr="00143888" w:rsidRDefault="00D756A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Using Google Earth Engine (GEE) as the primary processing platform, the study employs the Random Forest (RF) algorithm to classify land cover into four categories: Urban, Bare Land, Water, and Vegetation. Historical classifications are generated for three distinct time periods (1994–2003, 2004–2013, and 2014–2023), providing a basis for long-term trend analysis. These classifications inform predictive modeling, which projects future land cover changes based on observed patterns.</w:t>
      </w:r>
    </w:p>
    <w:p w14:paraId="47DD6101" w14:textId="6F815218" w:rsidR="00D756A6" w:rsidRPr="00143888" w:rsidRDefault="00D756A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study also incorporates spatial analysis and visualization tools, such as Quantum GIS (QGIS), to interpret and present the results. By employing statistical evaluations and validation techniques, the methodology ensures accuracy and reliability in predicting urban expansion. The approach not only enhances understanding of Juba’s urbanization dynamics but also serves as a decision-support tool for sustainable urban planning in South Sudan.</w:t>
      </w:r>
    </w:p>
    <w:p w14:paraId="69339E85" w14:textId="003538E9" w:rsidR="00A570E9" w:rsidRPr="00143888" w:rsidRDefault="00A570E9" w:rsidP="00610E56">
      <w:pPr>
        <w:pStyle w:val="Heading2"/>
      </w:pPr>
      <w:r w:rsidRPr="00143888">
        <w:t>Study Area</w:t>
      </w:r>
    </w:p>
    <w:p w14:paraId="15A19DC6" w14:textId="3F15573B" w:rsidR="00DA4B87" w:rsidRPr="00143888" w:rsidRDefault="00A570E9"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The region of interest in the study area extends beyond the three administrative payams of Juba City, namely</w:t>
      </w:r>
      <w:r w:rsidR="00610E56">
        <w:rPr>
          <w:rFonts w:ascii="Times New Roman" w:hAnsi="Times New Roman" w:cs="Times New Roman"/>
          <w:bCs/>
          <w:sz w:val="24"/>
          <w:szCs w:val="24"/>
        </w:rPr>
        <w:t>:</w:t>
      </w:r>
      <w:r w:rsidRPr="00143888">
        <w:rPr>
          <w:rFonts w:ascii="Times New Roman" w:hAnsi="Times New Roman" w:cs="Times New Roman"/>
          <w:bCs/>
          <w:sz w:val="24"/>
          <w:szCs w:val="24"/>
        </w:rPr>
        <w:t xml:space="preserve"> </w:t>
      </w:r>
      <w:proofErr w:type="spellStart"/>
      <w:r w:rsidRPr="00143888">
        <w:rPr>
          <w:rFonts w:ascii="Times New Roman" w:hAnsi="Times New Roman" w:cs="Times New Roman"/>
          <w:bCs/>
          <w:sz w:val="24"/>
          <w:szCs w:val="24"/>
        </w:rPr>
        <w:t>Munuki</w:t>
      </w:r>
      <w:proofErr w:type="spellEnd"/>
      <w:r w:rsidRPr="00143888">
        <w:rPr>
          <w:rFonts w:ascii="Times New Roman" w:hAnsi="Times New Roman" w:cs="Times New Roman"/>
          <w:bCs/>
          <w:sz w:val="24"/>
          <w:szCs w:val="24"/>
        </w:rPr>
        <w:t xml:space="preserve">, Kator and Juba Town, to encompass the functional agglomeration of Greater Juba. </w:t>
      </w:r>
      <w:r w:rsidR="00DA4B87" w:rsidRPr="00143888">
        <w:rPr>
          <w:rFonts w:ascii="Times New Roman" w:hAnsi="Times New Roman" w:cs="Times New Roman"/>
          <w:sz w:val="24"/>
          <w:szCs w:val="24"/>
        </w:rPr>
        <w:t>Historically, Juba City’s urban footprint was largely confined within these administrative divisions. However, in recent years, rapid urban expansion driven by population growth, economic activities, and post-conflict reconstruction efforts has led to a significant increase in the city’s built-up area. As a result, the urban fabric of Juba has extended well beyond its original administrative boundaries, necessitating a more comprehensive approach to delineating its spatial extent. However, despite the evident expansion of the city, defining the precise borders of the Greater Juba is challenging, due to the absence of an officially established perimeter</w:t>
      </w:r>
      <w:r w:rsidR="008E7FC7" w:rsidRPr="00143888">
        <w:rPr>
          <w:rFonts w:ascii="Times New Roman" w:hAnsi="Times New Roman" w:cs="Times New Roman"/>
          <w:bCs/>
          <w:sz w:val="24"/>
          <w:szCs w:val="24"/>
        </w:rPr>
        <w:t xml:space="preserve">. </w:t>
      </w:r>
      <w:r w:rsidR="00DA4B87" w:rsidRPr="00143888">
        <w:rPr>
          <w:rFonts w:ascii="Times New Roman" w:hAnsi="Times New Roman" w:cs="Times New Roman"/>
          <w:bCs/>
          <w:sz w:val="24"/>
          <w:szCs w:val="24"/>
        </w:rPr>
        <w:t>For instance, a</w:t>
      </w:r>
      <w:r w:rsidR="008E7FC7" w:rsidRPr="00143888">
        <w:rPr>
          <w:rFonts w:ascii="Times New Roman" w:hAnsi="Times New Roman" w:cs="Times New Roman"/>
          <w:bCs/>
          <w:sz w:val="24"/>
          <w:szCs w:val="24"/>
        </w:rPr>
        <w:t xml:space="preserve"> </w:t>
      </w:r>
      <w:r w:rsidR="00F90EBD" w:rsidRPr="00143888">
        <w:rPr>
          <w:rFonts w:ascii="Times New Roman" w:hAnsi="Times New Roman" w:cs="Times New Roman"/>
          <w:bCs/>
          <w:sz w:val="24"/>
          <w:szCs w:val="24"/>
        </w:rPr>
        <w:t>report</w:t>
      </w:r>
      <w:r w:rsidR="008E7FC7" w:rsidRPr="00143888">
        <w:rPr>
          <w:rFonts w:ascii="Times New Roman" w:hAnsi="Times New Roman" w:cs="Times New Roman"/>
          <w:bCs/>
          <w:sz w:val="24"/>
          <w:szCs w:val="24"/>
        </w:rPr>
        <w:t xml:space="preserve"> by the United Nations </w:t>
      </w:r>
      <w:r w:rsidR="00F90EBD" w:rsidRPr="00143888">
        <w:rPr>
          <w:rFonts w:ascii="Times New Roman" w:hAnsi="Times New Roman" w:cs="Times New Roman"/>
          <w:bCs/>
          <w:sz w:val="24"/>
          <w:szCs w:val="24"/>
        </w:rPr>
        <w:t xml:space="preserve">Human Settlements </w:t>
      </w:r>
      <w:r w:rsidR="00610E56" w:rsidRPr="00143888">
        <w:rPr>
          <w:rFonts w:ascii="Times New Roman" w:hAnsi="Times New Roman" w:cs="Times New Roman"/>
          <w:bCs/>
          <w:sz w:val="24"/>
          <w:szCs w:val="24"/>
        </w:rPr>
        <w:t>Program</w:t>
      </w:r>
      <w:r w:rsidR="00F90EBD" w:rsidRPr="00143888">
        <w:rPr>
          <w:rFonts w:ascii="Times New Roman" w:hAnsi="Times New Roman" w:cs="Times New Roman"/>
          <w:bCs/>
          <w:sz w:val="24"/>
          <w:szCs w:val="24"/>
        </w:rPr>
        <w:t xml:space="preserve"> (UN-HABITAT)</w:t>
      </w:r>
      <w:r w:rsidR="00DA4B87" w:rsidRPr="00143888">
        <w:rPr>
          <w:rFonts w:ascii="Times New Roman" w:hAnsi="Times New Roman" w:cs="Times New Roman"/>
          <w:bCs/>
          <w:sz w:val="24"/>
          <w:szCs w:val="24"/>
        </w:rPr>
        <w:t xml:space="preserve"> in April 2021 highlighted this issue, stating that </w:t>
      </w:r>
      <w:r w:rsidR="00F90EBD" w:rsidRPr="00143888">
        <w:rPr>
          <w:rFonts w:ascii="Times New Roman" w:hAnsi="Times New Roman" w:cs="Times New Roman"/>
          <w:bCs/>
          <w:sz w:val="24"/>
          <w:szCs w:val="24"/>
        </w:rPr>
        <w:t xml:space="preserve">“The border of Juba municipality is not readily available, which makes it difficult to </w:t>
      </w:r>
      <w:r w:rsidR="00F90EBD" w:rsidRPr="00143888">
        <w:rPr>
          <w:rFonts w:ascii="Times New Roman" w:hAnsi="Times New Roman" w:cs="Times New Roman"/>
          <w:bCs/>
          <w:sz w:val="24"/>
          <w:szCs w:val="24"/>
        </w:rPr>
        <w:lastRenderedPageBreak/>
        <w:t>authoritatively define the area. For example, in 2009, JICA (Japan International Cooperation Agency) estimated the urbanized area of Juba to be around 52km</w:t>
      </w:r>
      <w:r w:rsidR="00F90EBD" w:rsidRPr="00143888">
        <w:rPr>
          <w:rFonts w:ascii="Times New Roman" w:hAnsi="Times New Roman" w:cs="Times New Roman"/>
          <w:bCs/>
          <w:sz w:val="24"/>
          <w:szCs w:val="24"/>
          <w:vertAlign w:val="superscript"/>
        </w:rPr>
        <w:t>2</w:t>
      </w:r>
      <w:r w:rsidR="00F90EBD" w:rsidRPr="00143888">
        <w:rPr>
          <w:rFonts w:ascii="Times New Roman" w:hAnsi="Times New Roman" w:cs="Times New Roman"/>
          <w:bCs/>
          <w:sz w:val="24"/>
          <w:szCs w:val="24"/>
        </w:rPr>
        <w:t>, which is smaller than greater Juba, which UN-OCHA had in 2007 estimated as covering 336km</w:t>
      </w:r>
      <w:r w:rsidR="00F90EBD" w:rsidRPr="00143888">
        <w:rPr>
          <w:rFonts w:ascii="Times New Roman" w:hAnsi="Times New Roman" w:cs="Times New Roman"/>
          <w:bCs/>
          <w:sz w:val="24"/>
          <w:szCs w:val="24"/>
          <w:vertAlign w:val="superscript"/>
        </w:rPr>
        <w:t>2</w:t>
      </w:r>
      <w:r w:rsidR="00F90EBD" w:rsidRPr="00143888">
        <w:rPr>
          <w:rFonts w:ascii="Times New Roman" w:hAnsi="Times New Roman" w:cs="Times New Roman"/>
          <w:bCs/>
          <w:sz w:val="24"/>
          <w:szCs w:val="24"/>
        </w:rPr>
        <w:t>”</w:t>
      </w:r>
      <w:r w:rsidR="00A478FC" w:rsidRPr="00143888">
        <w:rPr>
          <w:rFonts w:ascii="Times New Roman" w:hAnsi="Times New Roman" w:cs="Times New Roman"/>
          <w:bCs/>
          <w:sz w:val="24"/>
          <w:szCs w:val="24"/>
        </w:rPr>
        <w:t xml:space="preserve"> </w:t>
      </w:r>
      <w:r w:rsidR="00A478FC" w:rsidRPr="00143888">
        <w:rPr>
          <w:rFonts w:ascii="Times New Roman" w:hAnsi="Times New Roman" w:cs="Times New Roman"/>
          <w:bCs/>
          <w:sz w:val="24"/>
          <w:szCs w:val="24"/>
        </w:rPr>
        <w:fldChar w:fldCharType="begin"/>
      </w:r>
      <w:r w:rsidR="00A478FC" w:rsidRPr="00143888">
        <w:rPr>
          <w:rFonts w:ascii="Times New Roman" w:hAnsi="Times New Roman" w:cs="Times New Roman"/>
          <w:bCs/>
          <w:sz w:val="24"/>
          <w:szCs w:val="24"/>
        </w:rPr>
        <w:instrText xml:space="preserve"> ADDIN ZOTERO_ITEM CSL_CITATION {"citationID":"Oti1laIX","properties":{"formattedCitation":"(UN-HABITAT, 2021)","plainCitation":"(UN-HABITAT, 2021)","noteIndex":0},"citationItems":[{"id":117,"uris":["http://zotero.org/users/16803167/items/PZKFQ86B"],"itemData":{"id":117,"type":"article-journal","abstract":"This report summarizes a survey conducted in Juba, South Sudan, between November 2020 and March 2021, focusing on settlement and facilities distribution to assess COVID-19 vulnerabilities. Commissioned by UN-Habitat with funding from SIDA, the study compiled existing data, mapped basic facilities using digital tools, and generated high-resolution geospatial data for Juba. The aim was to understand local conditions and COVID-19 risks, contributing to better targeting of response interventions and informing long-term planning processes. The report provides data-informed recommendations to help Juba municipality respond to and enhance resilience to the pandemic.","container-title":"Policy Commons","language":"en","note":"publisher: &lt;bound method Organization.get_name_with_acronym of &lt;Organization: UN Human Settlements Programme&gt;&gt;","page":"64","source":"policycommons.net","title":"Juba Settlement and Facilities Distribution Profile: A COVID-19 Vulnerability Assessment","title-short":"Juba Settlement and Facilities Distribution Profile","author":[{"family":"UN-HABITAT","given":""}],"issued":{"date-parts":[["2021",4]]}}}],"schema":"https://github.com/citation-style-language/schema/raw/master/csl-citation.json"} </w:instrText>
      </w:r>
      <w:r w:rsidR="00A478FC" w:rsidRPr="00143888">
        <w:rPr>
          <w:rFonts w:ascii="Times New Roman" w:hAnsi="Times New Roman" w:cs="Times New Roman"/>
          <w:bCs/>
          <w:sz w:val="24"/>
          <w:szCs w:val="24"/>
        </w:rPr>
        <w:fldChar w:fldCharType="separate"/>
      </w:r>
      <w:r w:rsidR="00A478FC" w:rsidRPr="00503423">
        <w:rPr>
          <w:rFonts w:ascii="Times New Roman" w:hAnsi="Times New Roman" w:cs="Times New Roman"/>
          <w:color w:val="0000FF"/>
          <w:sz w:val="24"/>
          <w:szCs w:val="24"/>
          <w:u w:val="single"/>
        </w:rPr>
        <w:t>(UN-HABITAT, 2021)</w:t>
      </w:r>
      <w:r w:rsidR="00A478FC" w:rsidRPr="00143888">
        <w:rPr>
          <w:rFonts w:ascii="Times New Roman" w:hAnsi="Times New Roman" w:cs="Times New Roman"/>
          <w:bCs/>
          <w:sz w:val="24"/>
          <w:szCs w:val="24"/>
        </w:rPr>
        <w:fldChar w:fldCharType="end"/>
      </w:r>
      <w:r w:rsidR="00F90EBD" w:rsidRPr="00143888">
        <w:rPr>
          <w:rFonts w:ascii="Times New Roman" w:hAnsi="Times New Roman" w:cs="Times New Roman"/>
          <w:bCs/>
          <w:sz w:val="24"/>
          <w:szCs w:val="24"/>
        </w:rPr>
        <w:t xml:space="preserve">. </w:t>
      </w:r>
      <w:r w:rsidR="00B90747" w:rsidRPr="00143888">
        <w:rPr>
          <w:rFonts w:ascii="Times New Roman" w:hAnsi="Times New Roman" w:cs="Times New Roman"/>
          <w:bCs/>
          <w:sz w:val="24"/>
          <w:szCs w:val="24"/>
        </w:rPr>
        <w:t>This variation in estimations highlights the inconsistencies in defining Juba’s urban extent. As a result, our approach involves delineating a region of interest that, while reflective of the city's functional urban expansion, does not necessarily align with any legally or officially recognized jurisdiction under the designation of "Greater Juba." For the purposes of this study, we shall refer to this delineated area as the "study area" or the "Region of Interest (ROI)”.</w:t>
      </w:r>
    </w:p>
    <w:p w14:paraId="5A1AB1AC" w14:textId="6F852665" w:rsidR="0043763D" w:rsidRPr="00143888" w:rsidRDefault="00DA4B87"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Given the lack of a standardized definition for Greater Juba's boundaries, the UN-Habitat report</w:t>
      </w:r>
      <w:r w:rsidR="00A478FC" w:rsidRPr="00143888">
        <w:rPr>
          <w:rFonts w:ascii="Times New Roman" w:hAnsi="Times New Roman" w:cs="Times New Roman"/>
          <w:bCs/>
          <w:sz w:val="24"/>
          <w:szCs w:val="24"/>
        </w:rPr>
        <w:t xml:space="preserve"> </w:t>
      </w:r>
      <w:r w:rsidR="00A478FC" w:rsidRPr="00143888">
        <w:rPr>
          <w:rFonts w:ascii="Times New Roman" w:hAnsi="Times New Roman" w:cs="Times New Roman"/>
          <w:bCs/>
          <w:sz w:val="24"/>
          <w:szCs w:val="24"/>
        </w:rPr>
        <w:fldChar w:fldCharType="begin"/>
      </w:r>
      <w:r w:rsidR="00C01A3C">
        <w:rPr>
          <w:rFonts w:ascii="Times New Roman" w:hAnsi="Times New Roman" w:cs="Times New Roman"/>
          <w:bCs/>
          <w:sz w:val="24"/>
          <w:szCs w:val="24"/>
        </w:rPr>
        <w:instrText xml:space="preserve"> ADDIN ZOTERO_ITEM CSL_CITATION {"citationID":"rk2ti3YZ","properties":{"formattedCitation":"(UN-HABITAT, 2021)","plainCitation":"(UN-HABITAT, 2021)","noteIndex":0},"citationItems":[{"id":117,"uris":["http://zotero.org/users/16803167/items/PZKFQ86B"],"itemData":{"id":117,"type":"article-journal","abstract":"This report summarizes a survey conducted in Juba, South Sudan, between November 2020 and March 2021, focusing on settlement and facilities distribution to assess COVID-19 vulnerabilities. Commissioned by UN-Habitat with funding from SIDA, the study compiled existing data, mapped basic facilities using digital tools, and generated high-resolution geospatial data for Juba. The aim was to understand local conditions and COVID-19 risks, contributing to better targeting of response interventions and informing long-term planning processes. The report provides data-informed recommendations to help Juba municipality respond to and enhance resilience to the pandemic.","container-title":"Policy Commons","language":"en","note":"publisher: &lt;bound method Organization.get_name_with_acronym of &lt;Organization: UN Human Settlements Programme&gt;&gt;","page":"64","source":"policycommons.net","title":"Juba Settlement and Facilities Distribution Profile: A COVID-19 Vulnerability Assessment","title-short":"Juba Settlement and Facilities Distribution Profile","author":[{"family":"UN-HABITAT","given":""}],"issued":{"date-parts":[["2021",4]]}}}],"schema":"https://github.com/citation-style-language/schema/raw/master/csl-citation.json"} </w:instrText>
      </w:r>
      <w:r w:rsidR="00A478FC" w:rsidRPr="00143888">
        <w:rPr>
          <w:rFonts w:ascii="Times New Roman" w:hAnsi="Times New Roman" w:cs="Times New Roman"/>
          <w:bCs/>
          <w:sz w:val="24"/>
          <w:szCs w:val="24"/>
        </w:rPr>
        <w:fldChar w:fldCharType="separate"/>
      </w:r>
      <w:r w:rsidR="00A478FC" w:rsidRPr="00503423">
        <w:rPr>
          <w:rFonts w:ascii="Times New Roman" w:hAnsi="Times New Roman" w:cs="Times New Roman"/>
          <w:color w:val="0000FF"/>
          <w:sz w:val="24"/>
          <w:szCs w:val="24"/>
          <w:u w:val="single"/>
        </w:rPr>
        <w:t>(UN-HABITAT, 2021)</w:t>
      </w:r>
      <w:r w:rsidR="00A478FC" w:rsidRPr="00143888">
        <w:rPr>
          <w:rFonts w:ascii="Times New Roman" w:hAnsi="Times New Roman" w:cs="Times New Roman"/>
          <w:bCs/>
          <w:sz w:val="24"/>
          <w:szCs w:val="24"/>
        </w:rPr>
        <w:fldChar w:fldCharType="end"/>
      </w:r>
      <w:r w:rsidR="00F90EBD" w:rsidRPr="00143888">
        <w:rPr>
          <w:rFonts w:ascii="Times New Roman" w:hAnsi="Times New Roman" w:cs="Times New Roman"/>
          <w:bCs/>
          <w:sz w:val="24"/>
          <w:szCs w:val="24"/>
        </w:rPr>
        <w:t xml:space="preserve">  </w:t>
      </w:r>
      <w:r w:rsidRPr="00143888">
        <w:rPr>
          <w:rFonts w:ascii="Times New Roman" w:hAnsi="Times New Roman" w:cs="Times New Roman"/>
          <w:bCs/>
          <w:sz w:val="24"/>
          <w:szCs w:val="24"/>
        </w:rPr>
        <w:t>provided a critical reference for delineating the study area to capture the most extensive representation of Juba’s urban landscape. The study area was carefully selected based on visual assessments of digital elevation models and settlement distribution patterns within the city and its surrounding regions. As a result, the designated region of interest encompasses approximately 580.08 km², ensuring the inclusion of a comprehensive range of urban characteristics and spatial dynamics.</w:t>
      </w:r>
    </w:p>
    <w:p w14:paraId="46D94D1E" w14:textId="35D56846" w:rsidR="00A570E9" w:rsidRPr="00143888" w:rsidRDefault="00813A1B"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noProof/>
          <w:sz w:val="24"/>
          <w:szCs w:val="24"/>
        </w:rPr>
        <w:lastRenderedPageBreak/>
        <w:drawing>
          <wp:anchor distT="0" distB="0" distL="114300" distR="114300" simplePos="0" relativeHeight="251659264" behindDoc="0" locked="0" layoutInCell="1" allowOverlap="1" wp14:anchorId="7E1F8399" wp14:editId="17170FAE">
            <wp:simplePos x="0" y="0"/>
            <wp:positionH relativeFrom="page">
              <wp:align>center</wp:align>
            </wp:positionH>
            <wp:positionV relativeFrom="paragraph">
              <wp:posOffset>27082</wp:posOffset>
            </wp:positionV>
            <wp:extent cx="3616036" cy="3676283"/>
            <wp:effectExtent l="0" t="0" r="3810" b="635"/>
            <wp:wrapTopAndBottom/>
            <wp:docPr id="1276232064" name="Picture 3"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2064" name="Picture 3" descr="A map of a cit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16036" cy="3676283"/>
                    </a:xfrm>
                    <a:prstGeom prst="rect">
                      <a:avLst/>
                    </a:prstGeom>
                  </pic:spPr>
                </pic:pic>
              </a:graphicData>
            </a:graphic>
            <wp14:sizeRelH relativeFrom="page">
              <wp14:pctWidth>0</wp14:pctWidth>
            </wp14:sizeRelH>
            <wp14:sizeRelV relativeFrom="page">
              <wp14:pctHeight>0</wp14:pctHeight>
            </wp14:sizeRelV>
          </wp:anchor>
        </w:drawing>
      </w:r>
      <w:r w:rsidRPr="00143888">
        <w:rPr>
          <w:rFonts w:ascii="Times New Roman" w:hAnsi="Times New Roman" w:cs="Times New Roman"/>
          <w:bCs/>
          <w:noProof/>
          <w:sz w:val="24"/>
          <w:szCs w:val="24"/>
        </w:rPr>
        <w:drawing>
          <wp:anchor distT="0" distB="0" distL="114300" distR="114300" simplePos="0" relativeHeight="251660288" behindDoc="0" locked="0" layoutInCell="1" allowOverlap="1" wp14:anchorId="50EC1AD3" wp14:editId="54FD5E4A">
            <wp:simplePos x="0" y="0"/>
            <wp:positionH relativeFrom="page">
              <wp:align>center</wp:align>
            </wp:positionH>
            <wp:positionV relativeFrom="paragraph">
              <wp:posOffset>3875594</wp:posOffset>
            </wp:positionV>
            <wp:extent cx="4767580" cy="3826510"/>
            <wp:effectExtent l="0" t="0" r="0" b="2540"/>
            <wp:wrapTopAndBottom/>
            <wp:docPr id="1734444370" name="Picture 4"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444370" name="Picture 4" descr="A map of a city&#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7580" cy="3826510"/>
                    </a:xfrm>
                    <a:prstGeom prst="rect">
                      <a:avLst/>
                    </a:prstGeom>
                  </pic:spPr>
                </pic:pic>
              </a:graphicData>
            </a:graphic>
            <wp14:sizeRelH relativeFrom="page">
              <wp14:pctWidth>0</wp14:pctWidth>
            </wp14:sizeRelH>
            <wp14:sizeRelV relativeFrom="page">
              <wp14:pctHeight>0</wp14:pctHeight>
            </wp14:sizeRelV>
          </wp:anchor>
        </w:drawing>
      </w:r>
      <w:r w:rsidR="00A570E9" w:rsidRPr="00143888">
        <w:rPr>
          <w:rFonts w:ascii="Times New Roman" w:hAnsi="Times New Roman" w:cs="Times New Roman"/>
          <w:bCs/>
          <w:sz w:val="24"/>
          <w:szCs w:val="24"/>
        </w:rPr>
        <w:t xml:space="preserve"> </w:t>
      </w:r>
    </w:p>
    <w:p w14:paraId="396D0A60" w14:textId="631E885E" w:rsidR="00813A1B" w:rsidRPr="00143888" w:rsidRDefault="00813A1B" w:rsidP="00143888">
      <w:pPr>
        <w:spacing w:line="360" w:lineRule="auto"/>
        <w:jc w:val="both"/>
        <w:rPr>
          <w:rFonts w:ascii="Times New Roman" w:hAnsi="Times New Roman" w:cs="Times New Roman"/>
          <w:bCs/>
          <w:sz w:val="24"/>
          <w:szCs w:val="24"/>
        </w:rPr>
      </w:pPr>
    </w:p>
    <w:p w14:paraId="2208809B" w14:textId="77777777" w:rsidR="00D756A6" w:rsidRPr="00143888" w:rsidRDefault="00D756A6" w:rsidP="00143888">
      <w:pPr>
        <w:spacing w:line="360" w:lineRule="auto"/>
        <w:jc w:val="both"/>
        <w:rPr>
          <w:rFonts w:ascii="Times New Roman" w:hAnsi="Times New Roman" w:cs="Times New Roman"/>
          <w:sz w:val="24"/>
          <w:szCs w:val="24"/>
        </w:rPr>
      </w:pPr>
    </w:p>
    <w:p w14:paraId="5928F925" w14:textId="77777777" w:rsidR="00D756A6" w:rsidRPr="00143888" w:rsidRDefault="00D756A6" w:rsidP="00A86A28">
      <w:pPr>
        <w:pStyle w:val="Heading2"/>
      </w:pPr>
      <w:r w:rsidRPr="00143888">
        <w:t>Data Acquisition and Preprocessing Overview</w:t>
      </w:r>
    </w:p>
    <w:p w14:paraId="579CFECB" w14:textId="1EAC9411" w:rsidR="00D756A6" w:rsidRPr="00143888" w:rsidRDefault="00D756A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This study relies on satellite imagery and ground truth points to develop a robust dataset for urban growth prediction in Juba, South Sudan. For 1994-2003, Landsat 5 Collection 2, Tier 1, Level 2 surface reflectance (SR_B1 to SR_B7) and thermal data (ST_B6) are used, while Landsat 7 data of the same tier and level cover 2004-2013 and 2014-2023. Ground Control Points (GCPs) are provided as feature-collections with a landcover property from 0-3 for each class, which define training signatures. The region of interest (ROI) is specified as a geometry asset. Preprocessing ensures data consistency: optical bands are scaled to reflectance using the equation</w:t>
      </w:r>
    </w:p>
    <w:p w14:paraId="21884468" w14:textId="77777777" w:rsidR="00D756A6" w:rsidRPr="00143888" w:rsidRDefault="00D756A6" w:rsidP="00143888">
      <w:pPr>
        <w:spacing w:line="360" w:lineRule="auto"/>
        <w:jc w:val="both"/>
        <w:rPr>
          <w:rFonts w:ascii="Times New Roman" w:hAnsi="Times New Roman" w:cs="Times New Roman"/>
          <w:sz w:val="24"/>
          <w:szCs w:val="24"/>
        </w:rPr>
      </w:pPr>
    </w:p>
    <w:p w14:paraId="5341C92E" w14:textId="4244A8AC" w:rsidR="00D756A6"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scaled</m:t>
              </m:r>
            </m:sub>
          </m:sSub>
          <m:r>
            <w:rPr>
              <w:rFonts w:ascii="Cambria Math" w:hAnsi="Cambria Math" w:cs="Times New Roman"/>
              <w:sz w:val="24"/>
              <w:szCs w:val="24"/>
            </w:rPr>
            <m:t>=</m:t>
          </m:r>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DN*Multiplicative Factor</m:t>
                  </m:r>
                </m:e>
              </m:d>
              <m:r>
                <w:rPr>
                  <w:rFonts w:ascii="Cambria Math" w:hAnsi="Cambria Math" w:cs="Times New Roman"/>
                  <w:sz w:val="24"/>
                  <w:szCs w:val="24"/>
                </w:rPr>
                <m:t>+Additive Offset</m:t>
              </m:r>
            </m:num>
            <m:den>
              <m:r>
                <m:rPr>
                  <m:sty m:val="p"/>
                </m:rPr>
                <w:rPr>
                  <w:rFonts w:ascii="Cambria Math" w:hAnsi="Cambria Math" w:cs="Times New Roman"/>
                  <w:sz w:val="24"/>
                  <w:szCs w:val="24"/>
                </w:rPr>
                <m:t>sin⁡</m:t>
              </m:r>
              <m:r>
                <w:rPr>
                  <w:rFonts w:ascii="Cambria Math" w:hAnsi="Cambria Math" w:cs="Times New Roman"/>
                  <w:sz w:val="24"/>
                  <w:szCs w:val="24"/>
                </w:rPr>
                <m:t>(θ)</m:t>
              </m:r>
            </m:den>
          </m:f>
        </m:oMath>
      </m:oMathPara>
    </w:p>
    <w:p w14:paraId="23F22A11" w14:textId="2816E65E" w:rsidR="00A37103" w:rsidRPr="00143888" w:rsidRDefault="00A37103"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6B898F42" w14:textId="54B8E045" w:rsidR="00A37103"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scaled</m:t>
            </m:r>
          </m:sub>
        </m:sSub>
      </m:oMath>
      <w:r w:rsidR="00A37103" w:rsidRPr="00143888">
        <w:rPr>
          <w:rFonts w:ascii="Times New Roman" w:hAnsi="Times New Roman" w:cs="Times New Roman"/>
          <w:sz w:val="24"/>
          <w:szCs w:val="24"/>
        </w:rPr>
        <w:t xml:space="preserve"> is the scaled reflectance value, </w:t>
      </w:r>
      <m:oMath>
        <m:r>
          <w:rPr>
            <w:rFonts w:ascii="Cambria Math" w:hAnsi="Cambria Math" w:cs="Times New Roman"/>
            <w:sz w:val="24"/>
            <w:szCs w:val="24"/>
          </w:rPr>
          <m:t>DN</m:t>
        </m:r>
      </m:oMath>
      <w:r w:rsidR="00A37103" w:rsidRPr="00143888">
        <w:rPr>
          <w:rFonts w:ascii="Times New Roman" w:hAnsi="Times New Roman" w:cs="Times New Roman"/>
          <w:sz w:val="24"/>
          <w:szCs w:val="24"/>
        </w:rPr>
        <w:t xml:space="preserve"> is the raw digital number from the sensor, the </w:t>
      </w:r>
      <m:oMath>
        <m:r>
          <w:rPr>
            <w:rFonts w:ascii="Cambria Math" w:hAnsi="Cambria Math" w:cs="Times New Roman"/>
            <w:sz w:val="24"/>
            <w:szCs w:val="24"/>
          </w:rPr>
          <m:t>Multiplicative Factor</m:t>
        </m:r>
      </m:oMath>
      <w:r w:rsidR="00A37103" w:rsidRPr="00143888">
        <w:rPr>
          <w:rFonts w:ascii="Times New Roman" w:hAnsi="Times New Roman" w:cs="Times New Roman"/>
          <w:sz w:val="24"/>
          <w:szCs w:val="24"/>
        </w:rPr>
        <w:t xml:space="preserve"> is 0.0000275 (specific to Landsat Collection 2 Level 2 data), the  </w:t>
      </w:r>
      <m:oMath>
        <m:r>
          <w:rPr>
            <w:rFonts w:ascii="Cambria Math" w:hAnsi="Cambria Math" w:cs="Times New Roman"/>
            <w:sz w:val="24"/>
            <w:szCs w:val="24"/>
          </w:rPr>
          <m:t>Additive Offset</m:t>
        </m:r>
      </m:oMath>
      <w:r w:rsidR="00A37103" w:rsidRPr="00143888">
        <w:rPr>
          <w:rFonts w:ascii="Times New Roman" w:hAnsi="Times New Roman" w:cs="Times New Roman"/>
          <w:sz w:val="24"/>
          <w:szCs w:val="24"/>
        </w:rPr>
        <w:t xml:space="preserve"> is -0.2, and </w:t>
      </w:r>
      <m:oMath>
        <m:r>
          <w:rPr>
            <w:rFonts w:ascii="Cambria Math" w:hAnsi="Cambria Math" w:cs="Times New Roman"/>
            <w:sz w:val="24"/>
            <w:szCs w:val="24"/>
          </w:rPr>
          <m:t>θ</m:t>
        </m:r>
      </m:oMath>
      <w:r w:rsidR="00A37103" w:rsidRPr="00143888">
        <w:rPr>
          <w:rFonts w:ascii="Times New Roman" w:hAnsi="Times New Roman" w:cs="Times New Roman"/>
          <w:sz w:val="24"/>
          <w:szCs w:val="24"/>
        </w:rPr>
        <w:t xml:space="preserve"> is the solar elevation angle in radians, accounting for solar illumination variations across image acquisition dates.</w:t>
      </w:r>
    </w:p>
    <w:p w14:paraId="08F5C6EB" w14:textId="4FBCAE41" w:rsidR="00A37103" w:rsidRPr="00143888" w:rsidRDefault="00A37103"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Thermal band is converted to kelvin with:</w:t>
      </w:r>
    </w:p>
    <w:p w14:paraId="096589A4" w14:textId="77777777" w:rsidR="00A37103" w:rsidRPr="00143888" w:rsidRDefault="00A37103" w:rsidP="00143888">
      <w:pPr>
        <w:spacing w:line="360" w:lineRule="auto"/>
        <w:jc w:val="both"/>
        <w:rPr>
          <w:rFonts w:ascii="Times New Roman" w:hAnsi="Times New Roman" w:cs="Times New Roman"/>
          <w:sz w:val="24"/>
          <w:szCs w:val="24"/>
        </w:rPr>
      </w:pPr>
    </w:p>
    <w:p w14:paraId="7139CB95" w14:textId="5F8054CF" w:rsidR="00A37103"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kelvin</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DN*Thermal Multiplicative Factor</m:t>
              </m:r>
            </m:e>
          </m:d>
          <m:r>
            <w:rPr>
              <w:rFonts w:ascii="Cambria Math" w:hAnsi="Cambria Math" w:cs="Times New Roman"/>
              <w:sz w:val="24"/>
              <w:szCs w:val="24"/>
            </w:rPr>
            <m:t>+Thermal Additive Offset</m:t>
          </m:r>
        </m:oMath>
      </m:oMathPara>
    </w:p>
    <w:p w14:paraId="152BDB53" w14:textId="75E2039C"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0578DC51" w14:textId="22B88DC0" w:rsidR="00571085"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kelvin</m:t>
            </m:r>
          </m:sub>
        </m:sSub>
      </m:oMath>
      <w:r w:rsidR="00571085" w:rsidRPr="00143888">
        <w:rPr>
          <w:rFonts w:ascii="Times New Roman" w:hAnsi="Times New Roman" w:cs="Times New Roman"/>
          <w:sz w:val="24"/>
          <w:szCs w:val="24"/>
        </w:rPr>
        <w:t xml:space="preserve"> is the temperature in kelvin, the </w:t>
      </w:r>
      <m:oMath>
        <m:r>
          <w:rPr>
            <w:rFonts w:ascii="Cambria Math" w:hAnsi="Cambria Math" w:cs="Times New Roman"/>
            <w:sz w:val="24"/>
            <w:szCs w:val="24"/>
          </w:rPr>
          <m:t>Thermal Multiplicative Factor</m:t>
        </m:r>
      </m:oMath>
      <w:r w:rsidR="00571085" w:rsidRPr="00143888">
        <w:rPr>
          <w:rFonts w:ascii="Times New Roman" w:hAnsi="Times New Roman" w:cs="Times New Roman"/>
          <w:sz w:val="24"/>
          <w:szCs w:val="24"/>
        </w:rPr>
        <w:t xml:space="preserve"> is 0.00341802, and the </w:t>
      </w:r>
      <m:oMath>
        <m:r>
          <w:rPr>
            <w:rFonts w:ascii="Cambria Math" w:hAnsi="Cambria Math" w:cs="Times New Roman"/>
            <w:sz w:val="24"/>
            <w:szCs w:val="24"/>
          </w:rPr>
          <m:t>Thermal Additive Offset</m:t>
        </m:r>
      </m:oMath>
      <w:r w:rsidR="00571085" w:rsidRPr="00143888">
        <w:rPr>
          <w:rFonts w:ascii="Times New Roman" w:hAnsi="Times New Roman" w:cs="Times New Roman"/>
          <w:sz w:val="24"/>
          <w:szCs w:val="24"/>
        </w:rPr>
        <w:t xml:space="preserve"> is 149.0, converting raw thermal data to a physically meaningful scale.</w:t>
      </w:r>
    </w:p>
    <w:p w14:paraId="1205AAEC" w14:textId="77777777" w:rsidR="00571085" w:rsidRPr="00143888" w:rsidRDefault="00571085" w:rsidP="00143888">
      <w:pPr>
        <w:spacing w:line="360" w:lineRule="auto"/>
        <w:jc w:val="both"/>
        <w:rPr>
          <w:rFonts w:ascii="Times New Roman" w:hAnsi="Times New Roman" w:cs="Times New Roman"/>
          <w:sz w:val="24"/>
          <w:szCs w:val="24"/>
        </w:rPr>
      </w:pPr>
    </w:p>
    <w:p w14:paraId="453E320E" w14:textId="77777777"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Clouds and shadows are masked using the QA_PIXEL band, a critical component of Landsat Collection 2 Level 2 data. The QA_PIXEL band is a 16-bit unsigned integer layer that encodes quality information for each pixel in a bit-packed format, where each bit or combination of bits flags specific conditions such as clouds, shadows, water, or snow. For Landsat 5 and 7, this band is generated during atmospheric correction and quality assessment processes, providing a standardized way to identify and filter out contaminated pixels. Each bit position corresponds to a </w:t>
      </w:r>
      <w:r w:rsidRPr="00143888">
        <w:rPr>
          <w:rFonts w:ascii="Times New Roman" w:hAnsi="Times New Roman" w:cs="Times New Roman"/>
          <w:sz w:val="24"/>
          <w:szCs w:val="24"/>
        </w:rPr>
        <w:lastRenderedPageBreak/>
        <w:t>specific condition, and its value (0 or 1) indicates whether that condition is absent or present. In this study, the focus is on masking clouds and cloud shadows, which obscure surface features and could skew classification results. The bit assignments for Landsat Collection 2 Level 2 data are as follows (relevant bits highlighted):</w:t>
      </w:r>
    </w:p>
    <w:p w14:paraId="3B6C82C0" w14:textId="3752A298" w:rsidR="00571085" w:rsidRPr="00A86A28" w:rsidRDefault="00571085" w:rsidP="00A86A28">
      <w:pPr>
        <w:pStyle w:val="ListParagraph"/>
        <w:numPr>
          <w:ilvl w:val="0"/>
          <w:numId w:val="31"/>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Bit 0: Fill (1 if data is invalid, e.g., outside the image extent)</w:t>
      </w:r>
    </w:p>
    <w:p w14:paraId="657BF064" w14:textId="78347DC1" w:rsidR="00571085" w:rsidRPr="00A86A28" w:rsidRDefault="00571085" w:rsidP="00A86A28">
      <w:pPr>
        <w:pStyle w:val="ListParagraph"/>
        <w:numPr>
          <w:ilvl w:val="0"/>
          <w:numId w:val="31"/>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Bit 1: Dilated Cloud (1 if near a cloud, expanding the cloud boundary)</w:t>
      </w:r>
    </w:p>
    <w:p w14:paraId="59D17379" w14:textId="10C93B78" w:rsidR="00571085" w:rsidRPr="00A86A28" w:rsidRDefault="00571085" w:rsidP="00A86A28">
      <w:pPr>
        <w:pStyle w:val="ListParagraph"/>
        <w:numPr>
          <w:ilvl w:val="0"/>
          <w:numId w:val="31"/>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Bit 2: Cirrus (1 if cirrus clouds are detected, less relevant for Landsat 5/7)</w:t>
      </w:r>
    </w:p>
    <w:p w14:paraId="06B7B35E" w14:textId="12FB22DE" w:rsidR="00571085" w:rsidRPr="00A86A28" w:rsidRDefault="00571085" w:rsidP="00A86A28">
      <w:pPr>
        <w:pStyle w:val="ListParagraph"/>
        <w:numPr>
          <w:ilvl w:val="0"/>
          <w:numId w:val="31"/>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Bit 3: Cloud (1 if a cloud is present)</w:t>
      </w:r>
    </w:p>
    <w:p w14:paraId="5EAE2C17" w14:textId="477561EF" w:rsidR="00571085" w:rsidRPr="00A86A28" w:rsidRDefault="00571085" w:rsidP="00A86A28">
      <w:pPr>
        <w:pStyle w:val="ListParagraph"/>
        <w:numPr>
          <w:ilvl w:val="0"/>
          <w:numId w:val="31"/>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Bit 4: Cloud Shadow (1 if a cloud shadow is present)</w:t>
      </w:r>
    </w:p>
    <w:p w14:paraId="5ADE5C46" w14:textId="4AE0DEF4" w:rsidR="00571085" w:rsidRPr="00A86A28" w:rsidRDefault="00571085" w:rsidP="00A86A28">
      <w:pPr>
        <w:pStyle w:val="ListParagraph"/>
        <w:numPr>
          <w:ilvl w:val="0"/>
          <w:numId w:val="31"/>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 xml:space="preserve">Bits 5-15: Additional flags (e.g., snow, water, confidence levels) </w:t>
      </w:r>
    </w:p>
    <w:p w14:paraId="45200F61" w14:textId="2743F791" w:rsidR="00571085" w:rsidRPr="00143888" w:rsidRDefault="0057108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In the masking process, we are only concerned with Bit 3 and Bit 4, which </w:t>
      </w:r>
      <w:proofErr w:type="gramStart"/>
      <w:r w:rsidRPr="00143888">
        <w:rPr>
          <w:rFonts w:ascii="Times New Roman" w:hAnsi="Times New Roman" w:cs="Times New Roman"/>
          <w:sz w:val="24"/>
          <w:szCs w:val="24"/>
        </w:rPr>
        <w:t>represents</w:t>
      </w:r>
      <w:proofErr w:type="gramEnd"/>
      <w:r w:rsidRPr="00143888">
        <w:rPr>
          <w:rFonts w:ascii="Times New Roman" w:hAnsi="Times New Roman" w:cs="Times New Roman"/>
          <w:sz w:val="24"/>
          <w:szCs w:val="24"/>
        </w:rPr>
        <w:t xml:space="preserve"> clouds and cloud shadows. The process in Google Earth Engine involves extracting the cloud shadow information from the QA_PIXEL band using bitwise operation. Since the QA_PIXEL band encodes multiple quality indicators within a 16-bit integer we use bitwise shifting and logical operations to isolate and remove cloud-affected pixels</w:t>
      </w:r>
      <w:r w:rsidR="0063357B" w:rsidRPr="00143888">
        <w:rPr>
          <w:rFonts w:ascii="Times New Roman" w:hAnsi="Times New Roman" w:cs="Times New Roman"/>
          <w:sz w:val="24"/>
          <w:szCs w:val="24"/>
        </w:rPr>
        <w:t xml:space="preserve"> through:</w:t>
      </w:r>
    </w:p>
    <w:p w14:paraId="615DC3C6" w14:textId="04FB78BE" w:rsidR="0063357B" w:rsidRPr="00143888" w:rsidRDefault="0063357B"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Mask=</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num>
                <m:den>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3</m:t>
                      </m:r>
                    </m:sup>
                  </m:sSup>
                </m:den>
              </m:f>
              <m:r>
                <w:rPr>
                  <w:rFonts w:ascii="Cambria Math" w:hAnsi="Cambria Math" w:cs="Times New Roman"/>
                  <w:sz w:val="24"/>
                  <w:szCs w:val="24"/>
                </w:rPr>
                <m:t>mod 2=0</m:t>
              </m:r>
            </m:e>
          </m:d>
          <m:r>
            <w:rPr>
              <w:rFonts w:ascii="Cambria Math" w:hAnsi="Cambria Math" w:cs="Times New Roman"/>
              <w:sz w:val="24"/>
              <w:szCs w:val="24"/>
            </w:rPr>
            <m:t xml:space="preserve"> ∧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QA_PIXEL</m:t>
                  </m:r>
                </m:num>
                <m:den>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4</m:t>
                      </m:r>
                    </m:sup>
                  </m:sSup>
                </m:den>
              </m:f>
              <m:r>
                <w:rPr>
                  <w:rFonts w:ascii="Cambria Math" w:hAnsi="Cambria Math" w:cs="Times New Roman"/>
                  <w:sz w:val="24"/>
                  <w:szCs w:val="24"/>
                </w:rPr>
                <m:t>mod 2=0</m:t>
              </m:r>
            </m:e>
          </m:d>
        </m:oMath>
      </m:oMathPara>
    </w:p>
    <w:p w14:paraId="13AEB6CF" w14:textId="1E1B81B9" w:rsidR="0063357B" w:rsidRPr="00143888" w:rsidRDefault="0063357B"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2D99035F" w14:textId="6015F170" w:rsidR="0063357B" w:rsidRPr="00A86A28" w:rsidRDefault="0063357B" w:rsidP="00A86A28">
      <w:pPr>
        <w:pStyle w:val="ListParagraph"/>
        <w:numPr>
          <w:ilvl w:val="0"/>
          <w:numId w:val="32"/>
        </w:numPr>
        <w:spacing w:line="360" w:lineRule="auto"/>
        <w:jc w:val="both"/>
        <w:rPr>
          <w:rFonts w:ascii="Times New Roman" w:hAnsi="Times New Roman" w:cs="Times New Roman"/>
          <w:sz w:val="24"/>
          <w:szCs w:val="24"/>
        </w:rPr>
      </w:pPr>
      <m:oMath>
        <m:r>
          <w:rPr>
            <w:rFonts w:ascii="Cambria Math" w:hAnsi="Cambria Math" w:cs="Times New Roman"/>
            <w:sz w:val="24"/>
            <w:szCs w:val="24"/>
          </w:rPr>
          <m:t>QA_PIXEL</m:t>
        </m:r>
      </m:oMath>
      <w:r w:rsidRPr="00A86A28">
        <w:rPr>
          <w:rFonts w:ascii="Times New Roman" w:hAnsi="Times New Roman" w:cs="Times New Roman"/>
          <w:sz w:val="24"/>
          <w:szCs w:val="24"/>
        </w:rPr>
        <w:t xml:space="preserve"> is the quality assurance band for each pixel</w:t>
      </w:r>
    </w:p>
    <w:p w14:paraId="50A4A25B" w14:textId="133693BF" w:rsidR="0063357B" w:rsidRPr="00A86A28" w:rsidRDefault="00000000" w:rsidP="00A86A28">
      <w:pPr>
        <w:pStyle w:val="ListParagraph"/>
        <w:numPr>
          <w:ilvl w:val="0"/>
          <w:numId w:val="32"/>
        </w:numPr>
        <w:spacing w:line="360" w:lineRule="auto"/>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3</m:t>
            </m:r>
          </m:sup>
        </m:sSup>
      </m:oMath>
      <w:r w:rsidR="0063357B" w:rsidRPr="00A86A28">
        <w:rPr>
          <w:rFonts w:ascii="Times New Roman" w:hAnsi="Times New Roman" w:cs="Times New Roman"/>
          <w:sz w:val="24"/>
          <w:szCs w:val="24"/>
        </w:rPr>
        <w:t xml:space="preserve"> represents the bit position for cloud (Bit 3)</w:t>
      </w:r>
    </w:p>
    <w:p w14:paraId="378279AF" w14:textId="2EE3228B" w:rsidR="0063357B" w:rsidRPr="00A86A28" w:rsidRDefault="00000000" w:rsidP="00A86A28">
      <w:pPr>
        <w:pStyle w:val="ListParagraph"/>
        <w:numPr>
          <w:ilvl w:val="0"/>
          <w:numId w:val="32"/>
        </w:numPr>
        <w:spacing w:line="360" w:lineRule="auto"/>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4</m:t>
            </m:r>
          </m:sup>
        </m:sSup>
      </m:oMath>
      <w:r w:rsidR="0063357B" w:rsidRPr="00A86A28">
        <w:rPr>
          <w:rFonts w:ascii="Times New Roman" w:hAnsi="Times New Roman" w:cs="Times New Roman"/>
          <w:sz w:val="24"/>
          <w:szCs w:val="24"/>
        </w:rPr>
        <w:t xml:space="preserve"> represents the bit position for cloud shadow (Bit 4)</w:t>
      </w:r>
    </w:p>
    <w:p w14:paraId="4CBEBCA0" w14:textId="1FFE537F" w:rsidR="0063357B" w:rsidRPr="00A86A28" w:rsidRDefault="0063357B" w:rsidP="00A86A28">
      <w:pPr>
        <w:pStyle w:val="ListParagraph"/>
        <w:numPr>
          <w:ilvl w:val="0"/>
          <w:numId w:val="32"/>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 xml:space="preserve">The modulo operation, </w:t>
      </w:r>
      <m:oMath>
        <m:r>
          <w:rPr>
            <w:rFonts w:ascii="Cambria Math" w:hAnsi="Cambria Math" w:cs="Times New Roman"/>
            <w:sz w:val="24"/>
            <w:szCs w:val="24"/>
          </w:rPr>
          <m:t>mod 2</m:t>
        </m:r>
      </m:oMath>
      <w:r w:rsidRPr="00A86A28">
        <w:rPr>
          <w:rFonts w:ascii="Times New Roman" w:hAnsi="Times New Roman" w:cs="Times New Roman"/>
          <w:sz w:val="24"/>
          <w:szCs w:val="24"/>
        </w:rPr>
        <w:t xml:space="preserve"> checks whether the bit is set as (1) or not (0)</w:t>
      </w:r>
    </w:p>
    <w:p w14:paraId="4B53ACD5" w14:textId="0991EAF5" w:rsidR="00915C95" w:rsidRPr="00A86A28" w:rsidRDefault="00000000" w:rsidP="00A86A28">
      <w:pPr>
        <w:pStyle w:val="ListParagraph"/>
        <w:numPr>
          <w:ilvl w:val="0"/>
          <w:numId w:val="32"/>
        </w:numPr>
        <w:spacing w:line="360" w:lineRule="auto"/>
        <w:jc w:val="both"/>
        <w:rPr>
          <w:rFonts w:ascii="Times New Roman" w:hAnsi="Times New Roman" w:cs="Times New Roman"/>
          <w:sz w:val="24"/>
          <w:szCs w:val="24"/>
        </w:rPr>
      </w:pPr>
      <m:oMath>
        <m:f>
          <m:fPr>
            <m:ctrlPr>
              <w:rPr>
                <w:rFonts w:ascii="Cambria Math" w:hAnsi="Cambria Math" w:cs="Times New Roman"/>
                <w:i/>
                <w:sz w:val="24"/>
                <w:szCs w:val="24"/>
              </w:rPr>
            </m:ctrlPr>
          </m:fPr>
          <m:num>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num>
          <m:den>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3</m:t>
                </m:r>
              </m:sup>
            </m:sSup>
          </m:den>
        </m:f>
        <m:r>
          <w:rPr>
            <w:rFonts w:ascii="Cambria Math" w:hAnsi="Cambria Math" w:cs="Times New Roman"/>
            <w:sz w:val="24"/>
            <w:szCs w:val="24"/>
          </w:rPr>
          <m:t>mod 2=0</m:t>
        </m:r>
      </m:oMath>
      <w:r w:rsidR="00915C95" w:rsidRPr="00A86A28">
        <w:rPr>
          <w:rFonts w:ascii="Times New Roman" w:hAnsi="Times New Roman" w:cs="Times New Roman"/>
          <w:sz w:val="24"/>
          <w:szCs w:val="24"/>
        </w:rPr>
        <w:t xml:space="preserve"> ensures the cloud (bit 3) is not set</w:t>
      </w:r>
    </w:p>
    <w:p w14:paraId="24E23F34" w14:textId="6FB096D0" w:rsidR="00915C95" w:rsidRPr="00A86A28" w:rsidRDefault="00000000" w:rsidP="00A86A28">
      <w:pPr>
        <w:pStyle w:val="ListParagraph"/>
        <w:numPr>
          <w:ilvl w:val="0"/>
          <w:numId w:val="32"/>
        </w:numPr>
        <w:spacing w:line="360" w:lineRule="auto"/>
        <w:jc w:val="both"/>
        <w:rPr>
          <w:rFonts w:ascii="Times New Roman" w:hAnsi="Times New Roman" w:cs="Times New Roman"/>
          <w:sz w:val="24"/>
          <w:szCs w:val="24"/>
        </w:rPr>
      </w:pPr>
      <m:oMath>
        <m:f>
          <m:fPr>
            <m:ctrlPr>
              <w:rPr>
                <w:rFonts w:ascii="Cambria Math" w:hAnsi="Cambria Math" w:cs="Times New Roman"/>
                <w:i/>
                <w:sz w:val="24"/>
                <w:szCs w:val="24"/>
              </w:rPr>
            </m:ctrlPr>
          </m:fPr>
          <m:num>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num>
          <m:den>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4</m:t>
                </m:r>
              </m:sup>
            </m:sSup>
          </m:den>
        </m:f>
        <m:r>
          <w:rPr>
            <w:rFonts w:ascii="Cambria Math" w:hAnsi="Cambria Math" w:cs="Times New Roman"/>
            <w:sz w:val="24"/>
            <w:szCs w:val="24"/>
          </w:rPr>
          <m:t>mod 2=0</m:t>
        </m:r>
      </m:oMath>
      <w:r w:rsidR="00915C95" w:rsidRPr="00A86A28">
        <w:rPr>
          <w:rFonts w:ascii="Times New Roman" w:hAnsi="Times New Roman" w:cs="Times New Roman"/>
          <w:sz w:val="24"/>
          <w:szCs w:val="24"/>
        </w:rPr>
        <w:t xml:space="preserve"> ensures the cloud shadow (Bit 4) is not set</w:t>
      </w:r>
    </w:p>
    <w:p w14:paraId="393FE5F3" w14:textId="09C102B0" w:rsidR="0063357B" w:rsidRPr="00A86A28" w:rsidRDefault="0063357B" w:rsidP="00A86A28">
      <w:pPr>
        <w:pStyle w:val="ListParagraph"/>
        <w:numPr>
          <w:ilvl w:val="0"/>
          <w:numId w:val="32"/>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The pixels where both conditions are true (bit is 0) are retained</w:t>
      </w:r>
    </w:p>
    <w:p w14:paraId="44C5A029" w14:textId="663B3EC5" w:rsidR="0063357B" w:rsidRPr="00A86A28" w:rsidRDefault="0063357B" w:rsidP="00A86A28">
      <w:pPr>
        <w:pStyle w:val="ListParagraph"/>
        <w:numPr>
          <w:ilvl w:val="0"/>
          <w:numId w:val="32"/>
        </w:numPr>
        <w:spacing w:line="360" w:lineRule="auto"/>
        <w:jc w:val="both"/>
        <w:rPr>
          <w:rFonts w:ascii="Times New Roman" w:hAnsi="Times New Roman" w:cs="Times New Roman"/>
          <w:sz w:val="24"/>
          <w:szCs w:val="24"/>
        </w:rPr>
      </w:pPr>
      <m:oMath>
        <m:r>
          <w:rPr>
            <w:rFonts w:ascii="Cambria Math" w:hAnsi="Cambria Math" w:cs="Times New Roman"/>
            <w:sz w:val="24"/>
            <w:szCs w:val="24"/>
          </w:rPr>
          <m:t>∧</m:t>
        </m:r>
      </m:oMath>
      <w:r w:rsidRPr="00A86A28">
        <w:rPr>
          <w:rFonts w:ascii="Times New Roman" w:hAnsi="Times New Roman" w:cs="Times New Roman"/>
          <w:sz w:val="24"/>
          <w:szCs w:val="24"/>
        </w:rPr>
        <w:t xml:space="preserve"> is the logical AND operator</w:t>
      </w:r>
    </w:p>
    <w:p w14:paraId="089984CD" w14:textId="52A668F3" w:rsidR="0063357B" w:rsidRPr="00143888" w:rsidRDefault="0063357B"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Alternatively, we represent the above equation as:</w:t>
      </w:r>
    </w:p>
    <w:p w14:paraId="232B5053" w14:textId="63273239" w:rsidR="0063357B" w:rsidRPr="00143888" w:rsidRDefault="00915C95"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Mask=</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r>
                    <w:rPr>
                      <w:rFonts w:ascii="Cambria Math" w:hAnsi="Cambria Math" w:cs="Times New Roman"/>
                      <w:sz w:val="24"/>
                      <w:szCs w:val="24"/>
                    </w:rPr>
                    <m:t>≫3</m:t>
                  </m:r>
                </m:e>
              </m:d>
              <m:r>
                <w:rPr>
                  <w:rFonts w:ascii="Cambria Math" w:hAnsi="Cambria Math" w:cs="Times New Roman"/>
                  <w:sz w:val="24"/>
                  <w:szCs w:val="24"/>
                </w:rPr>
                <m:t xml:space="preserve"> mod 2=0</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PIXEL</m:t>
                  </m:r>
                </m:sub>
              </m:sSub>
              <m:r>
                <w:rPr>
                  <w:rFonts w:ascii="Cambria Math" w:hAnsi="Cambria Math" w:cs="Times New Roman"/>
                  <w:sz w:val="24"/>
                  <w:szCs w:val="24"/>
                </w:rPr>
                <m:t>≫4</m:t>
              </m:r>
            </m:e>
          </m:d>
          <m:r>
            <w:rPr>
              <w:rFonts w:ascii="Cambria Math" w:hAnsi="Cambria Math" w:cs="Times New Roman"/>
              <w:sz w:val="24"/>
              <w:szCs w:val="24"/>
            </w:rPr>
            <m:t xml:space="preserve"> mod 2=0)⋀</m:t>
          </m:r>
        </m:oMath>
      </m:oMathPara>
    </w:p>
    <w:p w14:paraId="702E7274" w14:textId="6417C947" w:rsidR="00915C95" w:rsidRPr="00143888" w:rsidRDefault="00915C95"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0DB1C27E" w14:textId="54B4D422" w:rsidR="00915C95" w:rsidRPr="00A86A28" w:rsidRDefault="00915C95" w:rsidP="00A86A28">
      <w:pPr>
        <w:pStyle w:val="ListParagraph"/>
        <w:numPr>
          <w:ilvl w:val="0"/>
          <w:numId w:val="33"/>
        </w:numPr>
        <w:spacing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m:t>
        </m:r>
      </m:oMath>
      <w:r w:rsidRPr="00A86A28">
        <w:rPr>
          <w:rFonts w:ascii="Times New Roman" w:hAnsi="Times New Roman" w:cs="Times New Roman"/>
          <w:sz w:val="24"/>
          <w:szCs w:val="24"/>
        </w:rPr>
        <w:t xml:space="preserve"> is the bitwise right shift operator, shifting the relevant bit to the least significant position before applying the modulo operation.</w:t>
      </w:r>
    </w:p>
    <w:p w14:paraId="7A2733D4" w14:textId="74974788" w:rsidR="00915C95" w:rsidRPr="00143888" w:rsidRDefault="00915C95" w:rsidP="00143888">
      <w:pPr>
        <w:spacing w:line="360" w:lineRule="auto"/>
        <w:jc w:val="both"/>
        <w:rPr>
          <w:rFonts w:ascii="Times New Roman" w:hAnsi="Times New Roman" w:cs="Times New Roman"/>
          <w:color w:val="000000"/>
          <w:sz w:val="24"/>
          <w:szCs w:val="24"/>
        </w:rPr>
      </w:pPr>
      <w:r w:rsidRPr="00143888">
        <w:rPr>
          <w:rFonts w:ascii="Times New Roman" w:hAnsi="Times New Roman" w:cs="Times New Roman"/>
          <w:color w:val="000000"/>
          <w:sz w:val="24"/>
          <w:szCs w:val="24"/>
        </w:rPr>
        <w:t>Median composites are then created by computing the median value of unmasked (clear) pixels across the time range for each period, clipped to the ROI to reduce temporal noise. These median composites represent the periods 1994-2003, 2003-2013, and 2014-2023, which are fed for Random Forest training.</w:t>
      </w:r>
    </w:p>
    <w:p w14:paraId="1AF68FCA" w14:textId="77777777" w:rsidR="00915C95" w:rsidRPr="00143888" w:rsidRDefault="00915C95" w:rsidP="00143888">
      <w:pPr>
        <w:spacing w:line="360" w:lineRule="auto"/>
        <w:jc w:val="both"/>
        <w:rPr>
          <w:rFonts w:ascii="Times New Roman" w:hAnsi="Times New Roman" w:cs="Times New Roman"/>
          <w:color w:val="000000"/>
          <w:sz w:val="24"/>
          <w:szCs w:val="24"/>
        </w:rPr>
      </w:pPr>
    </w:p>
    <w:p w14:paraId="2E460022" w14:textId="294E6D5E" w:rsidR="00915C95" w:rsidRPr="00143888" w:rsidRDefault="00BF6161" w:rsidP="00A86A28">
      <w:pPr>
        <w:pStyle w:val="Heading2"/>
      </w:pPr>
      <w:r w:rsidRPr="00143888">
        <w:t>Random Forest Classification</w:t>
      </w:r>
    </w:p>
    <w:p w14:paraId="26A7B840" w14:textId="77777777" w:rsidR="00BF6161" w:rsidRPr="00143888" w:rsidRDefault="00BF6161"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Historical classifications utilize a Random Forest (RF) classifier, an ensemble method that enhances accuracy by combining multiple decision trees. </w:t>
      </w:r>
    </w:p>
    <w:p w14:paraId="220FA603" w14:textId="0B54340A" w:rsidR="00BF6161" w:rsidRPr="00143888" w:rsidRDefault="00BF6161"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For a dataset with ( n ) features (spectral bands SR_B1 to SR_B7 and ST_B6, </w:t>
      </w:r>
      <w:proofErr w:type="gramStart"/>
      <w:r w:rsidRPr="00143888">
        <w:rPr>
          <w:rFonts w:ascii="Times New Roman" w:hAnsi="Times New Roman" w:cs="Times New Roman"/>
          <w:sz w:val="24"/>
          <w:szCs w:val="24"/>
        </w:rPr>
        <w:t>where</w:t>
      </w:r>
      <w:proofErr w:type="gramEnd"/>
      <w:r w:rsidRPr="00143888">
        <w:rPr>
          <w:rFonts w:ascii="Times New Roman" w:hAnsi="Times New Roman" w:cs="Times New Roman"/>
          <w:sz w:val="24"/>
          <w:szCs w:val="24"/>
        </w:rPr>
        <w:t xml:space="preserve"> </w:t>
      </w:r>
    </w:p>
    <w:p w14:paraId="40675277" w14:textId="2DBCBC5E" w:rsidR="00BF6161" w:rsidRPr="00143888" w:rsidRDefault="00BF6161" w:rsidP="00143888">
      <w:pPr>
        <w:spacing w:line="360" w:lineRule="auto"/>
        <w:jc w:val="both"/>
        <w:rPr>
          <w:rFonts w:ascii="Times New Roman" w:hAnsi="Times New Roman" w:cs="Times New Roman"/>
          <w:sz w:val="24"/>
          <w:szCs w:val="24"/>
        </w:rPr>
      </w:pPr>
      <w:r w:rsidRPr="00143888">
        <w:rPr>
          <w:rFonts w:ascii="Times New Roman" w:hAnsi="Times New Roman" w:cs="Times New Roman"/>
          <w:vanish/>
          <w:sz w:val="24"/>
          <w:szCs w:val="24"/>
        </w:rPr>
        <w:t>n=8</w:t>
      </w:r>
      <w:r w:rsidRPr="00143888">
        <w:rPr>
          <w:rFonts w:ascii="Times New Roman" w:hAnsi="Times New Roman" w:cs="Times New Roman"/>
          <w:sz w:val="24"/>
          <w:szCs w:val="24"/>
        </w:rPr>
        <w:t xml:space="preserve">) and ( m ) training samples (GCPs), RF constructs ( T ) trees, each trained on a bootstrapped subset of the data and a random subset of features at each node. The final classification for a pixel with feature vector </w:t>
      </w: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143888">
        <w:rPr>
          <w:rFonts w:ascii="Times New Roman" w:hAnsi="Times New Roman" w:cs="Times New Roman"/>
          <w:sz w:val="24"/>
          <w:szCs w:val="24"/>
        </w:rPr>
        <w:t xml:space="preserve"> is determined by majority voting. The classification is represented by:</w:t>
      </w:r>
    </w:p>
    <w:p w14:paraId="7566021E" w14:textId="67A9565C" w:rsidR="00BF6161" w:rsidRPr="00143888" w:rsidRDefault="00BF6161"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=mode{</m:t>
          </m:r>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2</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 …,</m:t>
          </m:r>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(x)}</m:t>
          </m:r>
        </m:oMath>
      </m:oMathPara>
    </w:p>
    <w:p w14:paraId="271AF0C4" w14:textId="6DA9EB2E" w:rsidR="00BF6161" w:rsidRPr="00143888" w:rsidRDefault="00BF6161"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44FC92D8" w14:textId="2D2BF0EF" w:rsidR="00BF6161" w:rsidRPr="00143888" w:rsidRDefault="004877BE"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n</m:t>
            </m:r>
          </m:sub>
        </m:sSub>
        <m:r>
          <w:rPr>
            <w:rFonts w:ascii="Cambria Math" w:hAnsi="Cambria Math" w:cs="Times New Roman"/>
            <w:sz w:val="24"/>
            <w:szCs w:val="24"/>
          </w:rPr>
          <m:t>]</m:t>
        </m:r>
      </m:oMath>
      <w:r w:rsidRPr="00143888">
        <w:rPr>
          <w:rFonts w:ascii="Times New Roman" w:hAnsi="Times New Roman" w:cs="Times New Roman"/>
          <w:sz w:val="24"/>
          <w:szCs w:val="24"/>
        </w:rPr>
        <w:t xml:space="preserve"> is the feature vector for a pixel, consisting of </w:t>
      </w:r>
      <m:oMath>
        <m:r>
          <w:rPr>
            <w:rFonts w:ascii="Cambria Math" w:hAnsi="Cambria Math" w:cs="Times New Roman"/>
            <w:sz w:val="24"/>
            <w:szCs w:val="24"/>
          </w:rPr>
          <m:t>n=8</m:t>
        </m:r>
      </m:oMath>
      <w:r w:rsidRPr="00143888">
        <w:rPr>
          <w:rFonts w:ascii="Times New Roman" w:hAnsi="Times New Roman" w:cs="Times New Roman"/>
          <w:sz w:val="24"/>
          <w:szCs w:val="24"/>
        </w:rPr>
        <w:t xml:space="preserve"> spectral bands: SR_B1 to SR_B7 and ST_B6.</w:t>
      </w:r>
    </w:p>
    <w:p w14:paraId="49B5C72D" w14:textId="7FCE5F94" w:rsidR="004877BE"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t</m:t>
            </m:r>
          </m:sub>
        </m:sSub>
        <m:r>
          <w:rPr>
            <w:rFonts w:ascii="Cambria Math" w:hAnsi="Cambria Math" w:cs="Times New Roman"/>
            <w:sz w:val="24"/>
            <w:szCs w:val="24"/>
          </w:rPr>
          <m:t>(x)</m:t>
        </m:r>
      </m:oMath>
      <w:r w:rsidR="004877BE" w:rsidRPr="00143888">
        <w:rPr>
          <w:rFonts w:ascii="Times New Roman" w:hAnsi="Times New Roman" w:cs="Times New Roman"/>
          <w:sz w:val="24"/>
          <w:szCs w:val="24"/>
        </w:rPr>
        <w:t xml:space="preserve"> is the class</w:t>
      </w:r>
      <w:r w:rsidR="002A26AD" w:rsidRPr="00143888">
        <w:rPr>
          <w:rFonts w:ascii="Times New Roman" w:hAnsi="Times New Roman" w:cs="Times New Roman"/>
          <w:sz w:val="24"/>
          <w:szCs w:val="24"/>
        </w:rPr>
        <w:t xml:space="preserve"> (0 for Urban, 1 for Bare, 2 for water, or 3 for vegetation)</w:t>
      </w:r>
      <w:r w:rsidR="004877BE" w:rsidRPr="00143888">
        <w:rPr>
          <w:rFonts w:ascii="Times New Roman" w:hAnsi="Times New Roman" w:cs="Times New Roman"/>
          <w:sz w:val="24"/>
          <w:szCs w:val="24"/>
        </w:rPr>
        <w:t xml:space="preserve"> predicted by the </w:t>
      </w:r>
      <w:r w:rsidR="004877BE" w:rsidRPr="00143888">
        <w:rPr>
          <w:rFonts w:ascii="Times New Roman" w:hAnsi="Times New Roman" w:cs="Times New Roman"/>
          <w:i/>
          <w:iCs/>
          <w:sz w:val="24"/>
          <w:szCs w:val="24"/>
        </w:rPr>
        <w:t>t-th</w:t>
      </w:r>
      <w:r w:rsidR="004877BE" w:rsidRPr="00143888">
        <w:rPr>
          <w:rFonts w:ascii="Times New Roman" w:hAnsi="Times New Roman" w:cs="Times New Roman"/>
          <w:sz w:val="24"/>
          <w:szCs w:val="24"/>
        </w:rPr>
        <w:t xml:space="preserve"> decision tree in the ensemble.</w:t>
      </w:r>
    </w:p>
    <w:p w14:paraId="3DA102A5" w14:textId="74E09BCA" w:rsidR="00BF6161" w:rsidRPr="00143888" w:rsidRDefault="004877BE"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T=50</m:t>
        </m:r>
      </m:oMath>
      <w:r w:rsidRPr="00143888">
        <w:rPr>
          <w:rFonts w:ascii="Times New Roman" w:hAnsi="Times New Roman" w:cs="Times New Roman"/>
          <w:sz w:val="24"/>
          <w:szCs w:val="24"/>
        </w:rPr>
        <w:t xml:space="preserve"> is the number of decision trees used in the Random Forest</w:t>
      </w:r>
      <w:r w:rsidR="002A26AD" w:rsidRPr="00143888">
        <w:rPr>
          <w:rFonts w:ascii="Times New Roman" w:hAnsi="Times New Roman" w:cs="Times New Roman"/>
          <w:sz w:val="24"/>
          <w:szCs w:val="24"/>
        </w:rPr>
        <w:t>, chosen to balance computational efficiency and robustness.</w:t>
      </w:r>
    </w:p>
    <w:p w14:paraId="1C77ACFC" w14:textId="67C591BC" w:rsidR="004877BE" w:rsidRPr="00143888" w:rsidRDefault="002A26AD"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mode</m:t>
        </m:r>
      </m:oMath>
      <w:r w:rsidRPr="00143888">
        <w:rPr>
          <w:rFonts w:ascii="Times New Roman" w:hAnsi="Times New Roman" w:cs="Times New Roman"/>
          <w:sz w:val="24"/>
          <w:szCs w:val="24"/>
        </w:rPr>
        <w:t xml:space="preserve"> represents the majority voting function, selecting the most frequently predicted class among all trees.</w:t>
      </w:r>
    </w:p>
    <w:p w14:paraId="1A221CAD" w14:textId="570DF4AD" w:rsidR="002A26AD" w:rsidRPr="00143888" w:rsidRDefault="002A26AD" w:rsidP="00A86A28">
      <w:pPr>
        <w:pStyle w:val="Heading3"/>
      </w:pPr>
      <w:r w:rsidRPr="00143888">
        <w:t>Historical Land Cover Classification</w:t>
      </w:r>
    </w:p>
    <w:p w14:paraId="6FBEF0D1" w14:textId="77777777" w:rsidR="002A26AD" w:rsidRPr="00143888" w:rsidRDefault="002A26AD" w:rsidP="00143888">
      <w:pPr>
        <w:spacing w:line="360" w:lineRule="auto"/>
        <w:jc w:val="both"/>
        <w:rPr>
          <w:rFonts w:ascii="Times New Roman" w:hAnsi="Times New Roman" w:cs="Times New Roman"/>
          <w:sz w:val="24"/>
          <w:szCs w:val="24"/>
        </w:rPr>
      </w:pPr>
    </w:p>
    <w:p w14:paraId="2E7FB798" w14:textId="56D45C7D" w:rsidR="002A26AD" w:rsidRPr="00143888" w:rsidRDefault="002A26AD"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For 1994-2003, the Landsat 5 median composite is classified using the RF model trained on 2003 GCPs (</w:t>
      </w:r>
      <w:proofErr w:type="gramStart"/>
      <w:r w:rsidRPr="00143888">
        <w:rPr>
          <w:rFonts w:ascii="Times New Roman" w:hAnsi="Times New Roman" w:cs="Times New Roman"/>
          <w:sz w:val="24"/>
          <w:szCs w:val="24"/>
        </w:rPr>
        <w:t>urban2003</w:t>
      </w:r>
      <w:proofErr w:type="gramEnd"/>
      <w:r w:rsidRPr="00143888">
        <w:rPr>
          <w:rFonts w:ascii="Times New Roman" w:hAnsi="Times New Roman" w:cs="Times New Roman"/>
          <w:sz w:val="24"/>
          <w:szCs w:val="24"/>
        </w:rPr>
        <w:t xml:space="preserve">, bare2003, water2003, vegetation2003), assigning pixels to Urban (0), Bare (1), </w:t>
      </w:r>
      <w:r w:rsidRPr="00143888">
        <w:rPr>
          <w:rFonts w:ascii="Times New Roman" w:hAnsi="Times New Roman" w:cs="Times New Roman"/>
          <w:sz w:val="24"/>
          <w:szCs w:val="24"/>
        </w:rPr>
        <w:lastRenderedPageBreak/>
        <w:t>Water (2), or Vegetation (3) via the majority vote from 50 trees. Validation employs a confusion matrix, with overall accuracy calculated as:</w:t>
      </w:r>
    </w:p>
    <w:p w14:paraId="3F4CFACD" w14:textId="0E48341E" w:rsidR="002A26AD" w:rsidRPr="00143888" w:rsidRDefault="002A26AD"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Overal Accuracy=</m:t>
          </m:r>
          <m:f>
            <m:fPr>
              <m:ctrlPr>
                <w:rPr>
                  <w:rFonts w:ascii="Cambria Math" w:hAnsi="Cambria Math" w:cs="Times New Roman"/>
                  <w:i/>
                  <w:sz w:val="24"/>
                  <w:szCs w:val="24"/>
                </w:rPr>
              </m:ctrlPr>
            </m:fPr>
            <m:num>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True Positives</m:t>
                      </m:r>
                    </m:e>
                    <m:sub>
                      <m:r>
                        <w:rPr>
                          <w:rFonts w:ascii="Cambria Math" w:hAnsi="Cambria Math" w:cs="Times New Roman"/>
                          <w:sz w:val="24"/>
                          <w:szCs w:val="24"/>
                        </w:rPr>
                        <m:t>i</m:t>
                      </m:r>
                    </m:sub>
                  </m:sSub>
                </m:e>
              </m:nary>
            </m:num>
            <m:den>
              <m:r>
                <w:rPr>
                  <w:rFonts w:ascii="Cambria Math" w:hAnsi="Cambria Math" w:cs="Times New Roman"/>
                  <w:sz w:val="24"/>
                  <w:szCs w:val="24"/>
                </w:rPr>
                <m:t>Total Number of Pixels in Validation Set</m:t>
              </m:r>
            </m:den>
          </m:f>
        </m:oMath>
      </m:oMathPara>
    </w:p>
    <w:p w14:paraId="725A27B7" w14:textId="096412CE" w:rsidR="002A26AD" w:rsidRPr="00143888" w:rsidRDefault="002A26AD"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1ED70D5C" w14:textId="77777777" w:rsidR="002A26AD" w:rsidRPr="00143888" w:rsidRDefault="002A26AD" w:rsidP="00143888">
      <w:pPr>
        <w:spacing w:line="360" w:lineRule="auto"/>
        <w:jc w:val="both"/>
        <w:rPr>
          <w:rFonts w:ascii="Times New Roman" w:hAnsi="Times New Roman" w:cs="Times New Roman"/>
          <w:sz w:val="24"/>
          <w:szCs w:val="24"/>
        </w:rPr>
      </w:pPr>
    </w:p>
    <w:p w14:paraId="1796F0B8" w14:textId="6870173F" w:rsidR="00BF6161" w:rsidRPr="00A86A28" w:rsidRDefault="00000000" w:rsidP="00A86A28">
      <w:pPr>
        <w:pStyle w:val="ListParagraph"/>
        <w:numPr>
          <w:ilvl w:val="0"/>
          <w:numId w:val="33"/>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True Positives</m:t>
            </m:r>
          </m:e>
          <m:sub>
            <m:r>
              <w:rPr>
                <w:rFonts w:ascii="Cambria Math" w:hAnsi="Cambria Math" w:cs="Times New Roman"/>
                <w:sz w:val="24"/>
                <w:szCs w:val="24"/>
              </w:rPr>
              <m:t>i</m:t>
            </m:r>
          </m:sub>
        </m:sSub>
      </m:oMath>
      <w:r w:rsidR="002A26AD" w:rsidRPr="00A86A28">
        <w:rPr>
          <w:rFonts w:ascii="Times New Roman" w:hAnsi="Times New Roman" w:cs="Times New Roman"/>
          <w:sz w:val="24"/>
          <w:szCs w:val="24"/>
        </w:rPr>
        <w:t xml:space="preserve"> is the number of pixels correctly classified as class (i) in a withheld validation subset (for instance 20% of GCPs),</w:t>
      </w:r>
    </w:p>
    <w:p w14:paraId="2F651243" w14:textId="5B19303E" w:rsidR="002A26AD" w:rsidRPr="00A86A28" w:rsidRDefault="002A26AD" w:rsidP="00A86A28">
      <w:pPr>
        <w:pStyle w:val="ListParagraph"/>
        <w:numPr>
          <w:ilvl w:val="0"/>
          <w:numId w:val="33"/>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 xml:space="preserve">The denominator, </w:t>
      </w:r>
      <m:oMath>
        <m:r>
          <w:rPr>
            <w:rFonts w:ascii="Cambria Math" w:hAnsi="Cambria Math" w:cs="Times New Roman"/>
            <w:sz w:val="24"/>
            <w:szCs w:val="24"/>
          </w:rPr>
          <m:t>Total Number of Pixels in Validation Set</m:t>
        </m:r>
      </m:oMath>
      <w:r w:rsidRPr="00A86A28">
        <w:rPr>
          <w:rFonts w:ascii="Times New Roman" w:hAnsi="Times New Roman" w:cs="Times New Roman"/>
          <w:sz w:val="24"/>
          <w:szCs w:val="24"/>
        </w:rPr>
        <w:t xml:space="preserve"> is the total number of validation pixels, providing a measure of classification reliability.</w:t>
      </w:r>
    </w:p>
    <w:p w14:paraId="2D244965" w14:textId="7B4CAB8C" w:rsidR="002A26AD" w:rsidRPr="00143888" w:rsidRDefault="002A26AD"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For 2004-2013</w:t>
      </w:r>
      <w:r w:rsidR="00A45494" w:rsidRPr="00143888">
        <w:rPr>
          <w:rFonts w:ascii="Times New Roman" w:hAnsi="Times New Roman" w:cs="Times New Roman"/>
          <w:sz w:val="24"/>
          <w:szCs w:val="24"/>
        </w:rPr>
        <w:t xml:space="preserve"> and 2014-2023</w:t>
      </w:r>
      <w:r w:rsidRPr="00143888">
        <w:rPr>
          <w:rFonts w:ascii="Times New Roman" w:hAnsi="Times New Roman" w:cs="Times New Roman"/>
          <w:sz w:val="24"/>
          <w:szCs w:val="24"/>
        </w:rPr>
        <w:t xml:space="preserve">, the Landsat 7 composite is classified using </w:t>
      </w:r>
      <w:proofErr w:type="gramStart"/>
      <w:r w:rsidRPr="00143888">
        <w:rPr>
          <w:rFonts w:ascii="Times New Roman" w:hAnsi="Times New Roman" w:cs="Times New Roman"/>
          <w:sz w:val="24"/>
          <w:szCs w:val="24"/>
        </w:rPr>
        <w:t>urban2013</w:t>
      </w:r>
      <w:proofErr w:type="gramEnd"/>
      <w:r w:rsidRPr="00143888">
        <w:rPr>
          <w:rFonts w:ascii="Times New Roman" w:hAnsi="Times New Roman" w:cs="Times New Roman"/>
          <w:sz w:val="24"/>
          <w:szCs w:val="24"/>
        </w:rPr>
        <w:t xml:space="preserve"> and 2003 GCPs for non-urban classes, </w:t>
      </w:r>
      <w:r w:rsidR="00A45494" w:rsidRPr="00143888">
        <w:rPr>
          <w:rFonts w:ascii="Times New Roman" w:hAnsi="Times New Roman" w:cs="Times New Roman"/>
          <w:sz w:val="24"/>
          <w:szCs w:val="24"/>
        </w:rPr>
        <w:t xml:space="preserve">adapting to recent changes while </w:t>
      </w:r>
      <w:r w:rsidRPr="00143888">
        <w:rPr>
          <w:rFonts w:ascii="Times New Roman" w:hAnsi="Times New Roman" w:cs="Times New Roman"/>
          <w:sz w:val="24"/>
          <w:szCs w:val="24"/>
        </w:rPr>
        <w:t xml:space="preserve">retraining the RF model to reflect urban expansion. </w:t>
      </w:r>
    </w:p>
    <w:p w14:paraId="020BF31D" w14:textId="77777777" w:rsidR="00A45494" w:rsidRPr="00143888" w:rsidRDefault="00A45494" w:rsidP="00143888">
      <w:pPr>
        <w:spacing w:line="360" w:lineRule="auto"/>
        <w:jc w:val="both"/>
        <w:rPr>
          <w:rFonts w:ascii="Times New Roman" w:hAnsi="Times New Roman" w:cs="Times New Roman"/>
          <w:sz w:val="24"/>
          <w:szCs w:val="24"/>
        </w:rPr>
      </w:pPr>
    </w:p>
    <w:p w14:paraId="352270FF" w14:textId="6CCDFEBF" w:rsidR="00A45494" w:rsidRPr="00143888" w:rsidRDefault="00A45494" w:rsidP="00A86A28">
      <w:pPr>
        <w:pStyle w:val="Heading3"/>
      </w:pPr>
      <w:r w:rsidRPr="00143888">
        <w:t>Area Computation</w:t>
      </w:r>
    </w:p>
    <w:p w14:paraId="2AE24665" w14:textId="096D84D0" w:rsidR="00A45494" w:rsidRPr="00143888" w:rsidRDefault="00A4549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Post-classification, areas are quantified in square kilometers. For each period, the area </w:t>
      </w: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m:t>
            </m:r>
          </m:sub>
        </m:sSub>
      </m:oMath>
      <w:r w:rsidRPr="00143888">
        <w:rPr>
          <w:rFonts w:ascii="Times New Roman" w:hAnsi="Times New Roman" w:cs="Times New Roman"/>
          <w:sz w:val="24"/>
          <w:szCs w:val="24"/>
        </w:rPr>
        <w:t xml:space="preserve"> of class </w:t>
      </w:r>
      <w:r w:rsidRPr="00143888">
        <w:rPr>
          <w:rFonts w:ascii="Times New Roman" w:hAnsi="Times New Roman" w:cs="Times New Roman"/>
          <w:i/>
          <w:iCs/>
          <w:sz w:val="24"/>
          <w:szCs w:val="24"/>
        </w:rPr>
        <w:t>(c)</w:t>
      </w:r>
      <w:r w:rsidRPr="00143888">
        <w:rPr>
          <w:rFonts w:ascii="Times New Roman" w:hAnsi="Times New Roman" w:cs="Times New Roman"/>
          <w:sz w:val="24"/>
          <w:szCs w:val="24"/>
        </w:rPr>
        <w:t xml:space="preserve"> is calculated as:</w:t>
      </w:r>
    </w:p>
    <w:p w14:paraId="1B93243C" w14:textId="3C8BC7E0" w:rsidR="00A45494" w:rsidRPr="00143888" w:rsidRDefault="00000000" w:rsidP="00143888">
      <w:pPr>
        <w:spacing w:line="360" w:lineRule="auto"/>
        <w:jc w:val="both"/>
        <w:rPr>
          <w:rFonts w:ascii="Times New Roman"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Pixel Count</m:t>
              </m:r>
            </m:e>
            <m:sub>
              <m:r>
                <w:rPr>
                  <w:rFonts w:ascii="Cambria Math" w:hAnsi="Cambria Math" w:cs="Times New Roman"/>
                  <w:sz w:val="24"/>
                  <w:szCs w:val="24"/>
                </w:rPr>
                <m:t>c</m:t>
              </m:r>
            </m:sub>
          </m:sSub>
          <m:r>
            <w:rPr>
              <w:rFonts w:ascii="Cambria Math" w:hAnsi="Cambria Math" w:cs="Times New Roman"/>
              <w:sz w:val="24"/>
              <w:szCs w:val="24"/>
            </w:rPr>
            <m:t>*</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Pixel Resolution</m:t>
                  </m:r>
                </m:e>
                <m:sup>
                  <m:r>
                    <w:rPr>
                      <w:rFonts w:ascii="Cambria Math" w:hAnsi="Cambria Math" w:cs="Times New Roman"/>
                      <w:sz w:val="24"/>
                      <w:szCs w:val="24"/>
                    </w:rPr>
                    <m:t>2</m:t>
                  </m:r>
                </m:sup>
              </m:sSup>
              <m:r>
                <w:rPr>
                  <w:rFonts w:ascii="Cambria Math" w:hAnsi="Cambria Math" w:cs="Times New Roman"/>
                  <w:sz w:val="24"/>
                  <w:szCs w:val="24"/>
                </w:rPr>
                <m:t>/1,000,000</m:t>
              </m:r>
            </m:e>
          </m:d>
        </m:oMath>
      </m:oMathPara>
    </w:p>
    <w:p w14:paraId="092223CB" w14:textId="3A9A0A67" w:rsidR="00C95A56" w:rsidRPr="00143888" w:rsidRDefault="00C95A5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2FFA28EB" w14:textId="54F72B5F" w:rsidR="00B57603" w:rsidRPr="00143888" w:rsidRDefault="00000000" w:rsidP="00143888">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Pixel Count</m:t>
            </m:r>
          </m:e>
          <m:sub>
            <m:r>
              <w:rPr>
                <w:rFonts w:ascii="Cambria Math" w:hAnsi="Cambria Math" w:cs="Times New Roman"/>
                <w:sz w:val="24"/>
                <w:szCs w:val="24"/>
              </w:rPr>
              <m:t>c</m:t>
            </m:r>
          </m:sub>
        </m:sSub>
      </m:oMath>
      <w:r w:rsidR="00B57603" w:rsidRPr="00143888">
        <w:rPr>
          <w:rFonts w:ascii="Times New Roman" w:hAnsi="Times New Roman" w:cs="Times New Roman"/>
          <w:sz w:val="24"/>
          <w:szCs w:val="24"/>
        </w:rPr>
        <w:t xml:space="preserve"> is the number of pixels classified as class (c), </w:t>
      </w:r>
    </w:p>
    <w:p w14:paraId="3EA353C4" w14:textId="667426BA" w:rsidR="00B57603" w:rsidRPr="00143888" w:rsidRDefault="00B57603" w:rsidP="00143888">
      <w:pPr>
        <w:spacing w:line="360" w:lineRule="auto"/>
        <w:jc w:val="both"/>
        <w:rPr>
          <w:rFonts w:ascii="Times New Roman" w:hAnsi="Times New Roman" w:cs="Times New Roman"/>
          <w:sz w:val="24"/>
          <w:szCs w:val="24"/>
        </w:rPr>
      </w:pPr>
      <m:oMath>
        <m:r>
          <w:rPr>
            <w:rFonts w:ascii="Cambria Math" w:hAnsi="Cambria Math" w:cs="Times New Roman"/>
            <w:sz w:val="24"/>
            <w:szCs w:val="24"/>
          </w:rPr>
          <m:t>Pixel Resolution</m:t>
        </m:r>
      </m:oMath>
      <w:r w:rsidRPr="00143888">
        <w:rPr>
          <w:rFonts w:ascii="Times New Roman" w:hAnsi="Times New Roman" w:cs="Times New Roman"/>
          <w:sz w:val="24"/>
          <w:szCs w:val="24"/>
        </w:rPr>
        <w:t xml:space="preserve"> = 30m (Landsat’s spatial resolution),</w:t>
      </w:r>
    </w:p>
    <w:p w14:paraId="222AFEAC" w14:textId="3E653E73" w:rsidR="00B57603" w:rsidRPr="00143888" w:rsidRDefault="00000000" w:rsidP="00143888">
      <w:pPr>
        <w:spacing w:line="360" w:lineRule="auto"/>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Pixel Resolution</m:t>
            </m:r>
          </m:e>
          <m:sup>
            <m:r>
              <w:rPr>
                <w:rFonts w:ascii="Cambria Math" w:hAnsi="Cambria Math" w:cs="Times New Roman"/>
                <w:sz w:val="24"/>
                <w:szCs w:val="24"/>
              </w:rPr>
              <m:t>2</m:t>
            </m:r>
          </m:sup>
        </m:sSup>
      </m:oMath>
      <w:r w:rsidR="00B57603" w:rsidRPr="00143888">
        <w:rPr>
          <w:rFonts w:ascii="Times New Roman" w:hAnsi="Times New Roman" w:cs="Times New Roman"/>
          <w:sz w:val="24"/>
          <w:szCs w:val="24"/>
        </w:rPr>
        <w:t xml:space="preserve"> = 30*30=900m</w:t>
      </w:r>
      <w:r w:rsidR="00B57603" w:rsidRPr="00143888">
        <w:rPr>
          <w:rFonts w:ascii="Times New Roman" w:hAnsi="Times New Roman" w:cs="Times New Roman"/>
          <w:sz w:val="24"/>
          <w:szCs w:val="24"/>
          <w:vertAlign w:val="superscript"/>
        </w:rPr>
        <w:t>2</w:t>
      </w:r>
      <w:r w:rsidR="00B57603" w:rsidRPr="00143888">
        <w:rPr>
          <w:rFonts w:ascii="Times New Roman" w:hAnsi="Times New Roman" w:cs="Times New Roman"/>
          <w:sz w:val="24"/>
          <w:szCs w:val="24"/>
        </w:rPr>
        <w:t xml:space="preserve"> and </w:t>
      </w:r>
      <w:r w:rsidR="008C4606" w:rsidRPr="00143888">
        <w:rPr>
          <w:rFonts w:ascii="Times New Roman" w:hAnsi="Times New Roman" w:cs="Times New Roman"/>
          <w:sz w:val="24"/>
          <w:szCs w:val="24"/>
        </w:rPr>
        <w:t>divided</w:t>
      </w:r>
      <w:r w:rsidR="00B57603" w:rsidRPr="00143888">
        <w:rPr>
          <w:rFonts w:ascii="Times New Roman" w:hAnsi="Times New Roman" w:cs="Times New Roman"/>
          <w:sz w:val="24"/>
          <w:szCs w:val="24"/>
        </w:rPr>
        <w:t xml:space="preserve"> by 1,000,000 </w:t>
      </w:r>
      <w:proofErr w:type="gramStart"/>
      <w:r w:rsidR="00B57603" w:rsidRPr="00143888">
        <w:rPr>
          <w:rFonts w:ascii="Times New Roman" w:hAnsi="Times New Roman" w:cs="Times New Roman"/>
          <w:sz w:val="24"/>
          <w:szCs w:val="24"/>
        </w:rPr>
        <w:t>converts</w:t>
      </w:r>
      <w:proofErr w:type="gramEnd"/>
      <w:r w:rsidR="00B57603" w:rsidRPr="00143888">
        <w:rPr>
          <w:rFonts w:ascii="Times New Roman" w:hAnsi="Times New Roman" w:cs="Times New Roman"/>
          <w:sz w:val="24"/>
          <w:szCs w:val="24"/>
        </w:rPr>
        <w:t xml:space="preserve"> square meters to square kilometer, yielding 0.0009 km</w:t>
      </w:r>
      <w:r w:rsidR="00B57603" w:rsidRPr="00143888">
        <w:rPr>
          <w:rFonts w:ascii="Times New Roman" w:hAnsi="Times New Roman" w:cs="Times New Roman"/>
          <w:sz w:val="24"/>
          <w:szCs w:val="24"/>
          <w:vertAlign w:val="superscript"/>
        </w:rPr>
        <w:t>2</w:t>
      </w:r>
      <w:r w:rsidR="00B57603" w:rsidRPr="00143888">
        <w:rPr>
          <w:rFonts w:ascii="Times New Roman" w:hAnsi="Times New Roman" w:cs="Times New Roman"/>
          <w:sz w:val="24"/>
          <w:szCs w:val="24"/>
        </w:rPr>
        <w:t xml:space="preserve"> per pixel.</w:t>
      </w:r>
    </w:p>
    <w:p w14:paraId="7B840D82" w14:textId="35695FBF" w:rsidR="00B57603" w:rsidRPr="00143888" w:rsidRDefault="00B57603"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Thus, </w:t>
      </w:r>
      <w:proofErr w:type="gramStart"/>
      <w:r w:rsidR="008C4606" w:rsidRPr="00143888">
        <w:rPr>
          <w:rFonts w:ascii="Times New Roman" w:hAnsi="Times New Roman" w:cs="Times New Roman"/>
          <w:sz w:val="24"/>
          <w:szCs w:val="24"/>
        </w:rPr>
        <w:t>in order to</w:t>
      </w:r>
      <w:proofErr w:type="gramEnd"/>
      <w:r w:rsidR="008C4606" w:rsidRPr="00143888">
        <w:rPr>
          <w:rFonts w:ascii="Times New Roman" w:hAnsi="Times New Roman" w:cs="Times New Roman"/>
          <w:sz w:val="24"/>
          <w:szCs w:val="24"/>
        </w:rPr>
        <w:t xml:space="preserve"> ensure consistency with the ROI’s total area while establishing a baseline for trend analysis, </w:t>
      </w:r>
      <w:r w:rsidRPr="00143888">
        <w:rPr>
          <w:rFonts w:ascii="Times New Roman" w:hAnsi="Times New Roman" w:cs="Times New Roman"/>
          <w:sz w:val="24"/>
          <w:szCs w:val="24"/>
        </w:rPr>
        <w:t xml:space="preserve">the equation simplifies </w:t>
      </w:r>
      <w:proofErr w:type="gramStart"/>
      <w:r w:rsidRPr="00143888">
        <w:rPr>
          <w:rFonts w:ascii="Times New Roman" w:hAnsi="Times New Roman" w:cs="Times New Roman"/>
          <w:sz w:val="24"/>
          <w:szCs w:val="24"/>
        </w:rPr>
        <w:t>to</w:t>
      </w:r>
      <w:proofErr w:type="gramEnd"/>
      <w:r w:rsidRPr="00143888">
        <w:rPr>
          <w:rFonts w:ascii="Times New Roman" w:hAnsi="Times New Roman" w:cs="Times New Roman"/>
          <w:sz w:val="24"/>
          <w:szCs w:val="24"/>
        </w:rPr>
        <w:t>:</w:t>
      </w:r>
    </w:p>
    <w:p w14:paraId="3F3A2CCE" w14:textId="3D17D175" w:rsidR="008C4606"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Pixel Count</m:t>
              </m:r>
            </m:e>
            <m:sub>
              <m:r>
                <w:rPr>
                  <w:rFonts w:ascii="Cambria Math" w:hAnsi="Cambria Math" w:cs="Times New Roman"/>
                  <w:sz w:val="24"/>
                  <w:szCs w:val="24"/>
                </w:rPr>
                <m:t>c</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0.0009km</m:t>
              </m:r>
            </m:e>
            <m:sup>
              <m:r>
                <w:rPr>
                  <w:rFonts w:ascii="Cambria Math" w:hAnsi="Cambria Math" w:cs="Times New Roman"/>
                  <w:sz w:val="24"/>
                  <w:szCs w:val="24"/>
                </w:rPr>
                <m:t>2</m:t>
              </m:r>
            </m:sup>
          </m:sSup>
        </m:oMath>
      </m:oMathPara>
    </w:p>
    <w:p w14:paraId="674EF248" w14:textId="5D0375DE" w:rsidR="008C4606" w:rsidRPr="00143888" w:rsidRDefault="008C4606" w:rsidP="00A86A28">
      <w:pPr>
        <w:pStyle w:val="Heading3"/>
      </w:pPr>
      <w:r w:rsidRPr="00143888">
        <w:t>Prediction of Land Cover (2024-2033)</w:t>
      </w:r>
    </w:p>
    <w:p w14:paraId="345AE559" w14:textId="3F8E7971" w:rsidR="008C4606"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Future land cover for 2024-2033 is predicted by extrapolating spectral and area trends based on the full historical dataset from 1994 to 2023, incorporating data points from 2003 (1994-2003 composite), 2013 (2004-2013 composite), and 2023 (2014-2023 composite). To simplify, the annual spectral change rate per band is computed across the 20-year span from 2003 to 2023:</w:t>
      </w:r>
    </w:p>
    <w:p w14:paraId="12C5547B" w14:textId="2141FC98" w:rsidR="00B57603" w:rsidRPr="00143888" w:rsidRDefault="00B57603"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vertAlign w:val="superscript"/>
        </w:rPr>
        <w:lastRenderedPageBreak/>
        <w:t xml:space="preserve"> </w:t>
      </w:r>
    </w:p>
    <w:p w14:paraId="6A75A98E" w14:textId="3BF97A89" w:rsidR="0063357B" w:rsidRPr="00143888" w:rsidRDefault="00B57603" w:rsidP="00143888">
      <w:pPr>
        <w:spacing w:line="360" w:lineRule="auto"/>
        <w:jc w:val="both"/>
        <w:rPr>
          <w:rFonts w:ascii="Times New Roman" w:hAnsi="Times New Roman" w:cs="Times New Roman"/>
          <w:sz w:val="24"/>
          <w:szCs w:val="24"/>
        </w:rPr>
      </w:pPr>
      <m:oMathPara>
        <m:oMathParaPr>
          <m:jc m:val="center"/>
        </m:oMathParaPr>
        <m:oMath>
          <m:r>
            <m:rPr>
              <m:sty m:val="p"/>
            </m:rPr>
            <w:rPr>
              <w:rFonts w:ascii="Cambria Math" w:hAnsi="Cambria Math" w:cs="Times New Roman"/>
              <w:sz w:val="24"/>
              <w:szCs w:val="24"/>
            </w:rPr>
            <m:t>Δ</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band</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2023,  band</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2003, band</m:t>
                  </m:r>
                </m:sub>
              </m:sSub>
            </m:num>
            <m:den>
              <m:r>
                <w:rPr>
                  <w:rFonts w:ascii="Cambria Math" w:hAnsi="Cambria Math" w:cs="Times New Roman"/>
                  <w:sz w:val="24"/>
                  <w:szCs w:val="24"/>
                </w:rPr>
                <m:t>20</m:t>
              </m:r>
            </m:den>
          </m:f>
        </m:oMath>
      </m:oMathPara>
    </w:p>
    <w:p w14:paraId="36555C94" w14:textId="2DC6D6EC" w:rsidR="00FB6E3F"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5D404DE5" w14:textId="77777777" w:rsidR="00C95A56" w:rsidRPr="00A86A28" w:rsidRDefault="00000000" w:rsidP="00A86A28">
      <w:pPr>
        <w:pStyle w:val="ListParagraph"/>
        <w:numPr>
          <w:ilvl w:val="0"/>
          <w:numId w:val="34"/>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year,  band</m:t>
            </m:r>
          </m:sub>
        </m:sSub>
      </m:oMath>
      <w:r w:rsidR="00FB6E3F" w:rsidRPr="00A86A28">
        <w:rPr>
          <w:rFonts w:ascii="Times New Roman" w:hAnsi="Times New Roman" w:cs="Times New Roman"/>
          <w:sz w:val="24"/>
          <w:szCs w:val="24"/>
        </w:rPr>
        <w:t xml:space="preserve"> is the median value of the specified band (e.g., SR_B1) in the composite for the respective period, and </w:t>
      </w:r>
    </w:p>
    <w:p w14:paraId="2C27696C" w14:textId="7F04265A" w:rsidR="00C95A56" w:rsidRPr="00A86A28" w:rsidRDefault="00FB6E3F" w:rsidP="00A86A28">
      <w:pPr>
        <w:pStyle w:val="ListParagraph"/>
        <w:numPr>
          <w:ilvl w:val="0"/>
          <w:numId w:val="34"/>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 xml:space="preserve">20 is the number of years from 2003 to 2023, providing a straightforward annual change rate. </w:t>
      </w:r>
    </w:p>
    <w:p w14:paraId="7DC241A1" w14:textId="204FB033" w:rsidR="00FB6E3F"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A simulated 2033 composite is generated by applying this rate forward from 2023:</w:t>
      </w:r>
    </w:p>
    <w:p w14:paraId="3A637C09" w14:textId="77777777" w:rsidR="00FB6E3F" w:rsidRPr="00143888" w:rsidRDefault="00FB6E3F" w:rsidP="00143888">
      <w:pPr>
        <w:spacing w:line="360" w:lineRule="auto"/>
        <w:jc w:val="both"/>
        <w:rPr>
          <w:rFonts w:ascii="Times New Roman" w:hAnsi="Times New Roman" w:cs="Times New Roman"/>
          <w:sz w:val="24"/>
          <w:szCs w:val="24"/>
        </w:rPr>
      </w:pPr>
    </w:p>
    <w:p w14:paraId="0B6E3442" w14:textId="30267F55" w:rsidR="00FB6E3F" w:rsidRPr="00143888" w:rsidRDefault="00000000" w:rsidP="00143888">
      <w:pPr>
        <w:spacing w:line="360" w:lineRule="auto"/>
        <w:jc w:val="both"/>
        <w:rPr>
          <w:rFonts w:ascii="Times New Roman"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2033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2023,band</m:t>
              </m:r>
            </m:sub>
          </m:sSub>
          <m: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p"/>
                    </m:rPr>
                    <w:rPr>
                      <w:rFonts w:ascii="Cambria Math" w:hAnsi="Cambria Math" w:cs="Times New Roman"/>
                      <w:sz w:val="24"/>
                      <w:szCs w:val="24"/>
                    </w:rPr>
                    <m:t>Δ</m:t>
                  </m:r>
                  <m:r>
                    <w:rPr>
                      <w:rFonts w:ascii="Cambria Math" w:hAnsi="Cambria Math" w:cs="Times New Roman"/>
                      <w:sz w:val="24"/>
                      <w:szCs w:val="24"/>
                    </w:rPr>
                    <m:t>S</m:t>
                  </m:r>
                </m:e>
                <m:sub>
                  <m:r>
                    <w:rPr>
                      <w:rFonts w:ascii="Cambria Math" w:hAnsi="Cambria Math" w:cs="Times New Roman"/>
                      <w:sz w:val="24"/>
                      <w:szCs w:val="24"/>
                    </w:rPr>
                    <m:t>band</m:t>
                  </m:r>
                </m:sub>
              </m:sSub>
              <m:r>
                <w:rPr>
                  <w:rFonts w:ascii="Cambria Math" w:hAnsi="Cambria Math" w:cs="Times New Roman"/>
                  <w:sz w:val="24"/>
                  <w:szCs w:val="24"/>
                </w:rPr>
                <m:t>*10</m:t>
              </m:r>
            </m:e>
          </m:d>
        </m:oMath>
      </m:oMathPara>
    </w:p>
    <w:p w14:paraId="35B8A358" w14:textId="4FB46E28" w:rsidR="00FB6E3F"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0486724E" w14:textId="77777777" w:rsidR="00C95A56" w:rsidRPr="00A86A28" w:rsidRDefault="00000000" w:rsidP="00A86A28">
      <w:pPr>
        <w:pStyle w:val="ListParagraph"/>
        <w:numPr>
          <w:ilvl w:val="0"/>
          <w:numId w:val="35"/>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m:rPr>
                <m:sty m:val="p"/>
              </m:rPr>
              <w:rPr>
                <w:rFonts w:ascii="Cambria Math" w:hAnsi="Cambria Math" w:cs="Times New Roman"/>
                <w:sz w:val="24"/>
                <w:szCs w:val="24"/>
              </w:rPr>
              <m:t>Δ</m:t>
            </m:r>
            <m:r>
              <w:rPr>
                <w:rFonts w:ascii="Cambria Math" w:hAnsi="Cambria Math" w:cs="Times New Roman"/>
                <w:sz w:val="24"/>
                <w:szCs w:val="24"/>
              </w:rPr>
              <m:t>S</m:t>
            </m:r>
          </m:e>
          <m:sub>
            <m:r>
              <w:rPr>
                <w:rFonts w:ascii="Cambria Math" w:hAnsi="Cambria Math" w:cs="Times New Roman"/>
                <w:sz w:val="24"/>
                <w:szCs w:val="24"/>
              </w:rPr>
              <m:t>band</m:t>
            </m:r>
          </m:sub>
        </m:sSub>
        <m:r>
          <w:rPr>
            <w:rFonts w:ascii="Cambria Math" w:hAnsi="Cambria Math" w:cs="Times New Roman"/>
            <w:sz w:val="24"/>
            <w:szCs w:val="24"/>
          </w:rPr>
          <m:t>*10</m:t>
        </m:r>
      </m:oMath>
      <w:r w:rsidR="00FB6E3F" w:rsidRPr="00A86A28">
        <w:rPr>
          <w:rFonts w:ascii="Times New Roman" w:hAnsi="Times New Roman" w:cs="Times New Roman"/>
          <w:sz w:val="24"/>
          <w:szCs w:val="24"/>
        </w:rPr>
        <w:t xml:space="preserve"> is the total change over the 10 years from 2023 to 2033, assuming a linear trend. </w:t>
      </w:r>
    </w:p>
    <w:p w14:paraId="1B22CA52" w14:textId="51AA1222" w:rsidR="00FB6E3F" w:rsidRPr="00A86A28" w:rsidRDefault="00FB6E3F" w:rsidP="00A86A28">
      <w:pPr>
        <w:pStyle w:val="ListParagraph"/>
        <w:numPr>
          <w:ilvl w:val="0"/>
          <w:numId w:val="35"/>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This composite is classified using the RF model trained on 2014-2023 data, reflecting the most recent spectral characteristics and training points.</w:t>
      </w:r>
    </w:p>
    <w:p w14:paraId="4C97662D" w14:textId="75DE3E35" w:rsidR="00343284" w:rsidRPr="00143888" w:rsidRDefault="00FB6E3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For area prediction, a simplified linear growth rate is calculated based on the total change from 2003 to 2033</w:t>
      </w:r>
      <w:r w:rsidR="00343284" w:rsidRPr="00143888">
        <w:rPr>
          <w:rFonts w:ascii="Times New Roman" w:hAnsi="Times New Roman" w:cs="Times New Roman"/>
          <w:sz w:val="24"/>
          <w:szCs w:val="24"/>
        </w:rPr>
        <w:t xml:space="preserve"> as:</w:t>
      </w:r>
    </w:p>
    <w:p w14:paraId="6F430F8F" w14:textId="20BF3340" w:rsidR="00343284"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c,2023</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c,2003</m:t>
                  </m:r>
                </m:sub>
              </m:sSub>
            </m:num>
            <m:den>
              <m:r>
                <w:rPr>
                  <w:rFonts w:ascii="Cambria Math" w:hAnsi="Cambria Math" w:cs="Times New Roman"/>
                  <w:sz w:val="24"/>
                  <w:szCs w:val="24"/>
                </w:rPr>
                <m:t>20</m:t>
              </m:r>
            </m:den>
          </m:f>
        </m:oMath>
      </m:oMathPara>
    </w:p>
    <w:p w14:paraId="5D8D0074" w14:textId="1E64B339" w:rsidR="00343284" w:rsidRPr="00143888" w:rsidRDefault="0034328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5CC95BA4" w14:textId="3EBC0113" w:rsidR="00343284" w:rsidRPr="00A86A28" w:rsidRDefault="00000000" w:rsidP="00A86A28">
      <w:pPr>
        <w:pStyle w:val="ListParagraph"/>
        <w:numPr>
          <w:ilvl w:val="0"/>
          <w:numId w:val="36"/>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c,2003</m:t>
            </m:r>
          </m:sub>
        </m:sSub>
      </m:oMath>
      <w:r w:rsidR="00343284" w:rsidRPr="00A86A28">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c,2023</m:t>
            </m:r>
          </m:sub>
        </m:sSub>
      </m:oMath>
      <w:r w:rsidR="00343284" w:rsidRPr="00A86A28">
        <w:rPr>
          <w:rFonts w:ascii="Times New Roman" w:hAnsi="Times New Roman" w:cs="Times New Roman"/>
          <w:sz w:val="24"/>
          <w:szCs w:val="24"/>
        </w:rPr>
        <w:t xml:space="preserve"> are areas of class (c) from the 1994-2003 and 2014-2023 classifications, and</w:t>
      </w:r>
    </w:p>
    <w:p w14:paraId="25735D5F" w14:textId="77777777" w:rsidR="00C95A56" w:rsidRPr="00A86A28" w:rsidRDefault="00343284" w:rsidP="00A86A28">
      <w:pPr>
        <w:pStyle w:val="ListParagraph"/>
        <w:numPr>
          <w:ilvl w:val="0"/>
          <w:numId w:val="36"/>
        </w:numPr>
        <w:spacing w:line="360" w:lineRule="auto"/>
        <w:jc w:val="both"/>
        <w:rPr>
          <w:rFonts w:ascii="Times New Roman" w:hAnsi="Times New Roman" w:cs="Times New Roman"/>
          <w:sz w:val="24"/>
          <w:szCs w:val="24"/>
        </w:rPr>
      </w:pPr>
      <w:r w:rsidRPr="00A86A28">
        <w:rPr>
          <w:rFonts w:ascii="Times New Roman" w:hAnsi="Times New Roman" w:cs="Times New Roman"/>
          <w:sz w:val="24"/>
          <w:szCs w:val="24"/>
        </w:rPr>
        <w:t xml:space="preserve">20 is the number of years, giving the annual area change in km2. </w:t>
      </w:r>
    </w:p>
    <w:p w14:paraId="10218F07" w14:textId="0B9D1D22" w:rsidR="00343284" w:rsidRPr="00143888" w:rsidRDefault="0034328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predicted area for class (c) in year (t) (2024-2033) is then computed as:</w:t>
      </w:r>
    </w:p>
    <w:p w14:paraId="496826B0" w14:textId="102AC9BA" w:rsidR="00343284" w:rsidRPr="00143888" w:rsidRDefault="00000000" w:rsidP="00143888">
      <w:pPr>
        <w:spacing w:line="360" w:lineRule="auto"/>
        <w:jc w:val="both"/>
        <w:rPr>
          <w:rFonts w:ascii="Times New Roman"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c,t</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c,2023</m:t>
              </m:r>
            </m:sub>
          </m:sSub>
          <m: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t-2023</m:t>
                  </m:r>
                </m:e>
              </m:d>
            </m:e>
          </m:d>
        </m:oMath>
      </m:oMathPara>
    </w:p>
    <w:p w14:paraId="711DCBA5" w14:textId="7161B4C9" w:rsidR="00343284" w:rsidRPr="00143888" w:rsidRDefault="0034328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5F8B05CE" w14:textId="77777777" w:rsidR="00343284" w:rsidRPr="00143888" w:rsidRDefault="00343284" w:rsidP="00143888">
      <w:pPr>
        <w:spacing w:line="360" w:lineRule="auto"/>
        <w:jc w:val="both"/>
        <w:rPr>
          <w:rFonts w:ascii="Times New Roman" w:hAnsi="Times New Roman" w:cs="Times New Roman"/>
          <w:sz w:val="24"/>
          <w:szCs w:val="24"/>
        </w:rPr>
      </w:pPr>
    </w:p>
    <w:p w14:paraId="16819F2F" w14:textId="0218F83D" w:rsidR="00343284" w:rsidRPr="00A86A28" w:rsidRDefault="00000000" w:rsidP="00A86A28">
      <w:pPr>
        <w:pStyle w:val="ListParagraph"/>
        <w:numPr>
          <w:ilvl w:val="0"/>
          <w:numId w:val="37"/>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c,2023</m:t>
            </m:r>
          </m:sub>
        </m:sSub>
      </m:oMath>
      <w:r w:rsidR="00343284" w:rsidRPr="00A86A28">
        <w:rPr>
          <w:rFonts w:ascii="Times New Roman" w:hAnsi="Times New Roman" w:cs="Times New Roman"/>
          <w:sz w:val="24"/>
          <w:szCs w:val="24"/>
        </w:rPr>
        <w:t xml:space="preserve"> is the area in 2023,</w:t>
      </w:r>
    </w:p>
    <w:p w14:paraId="4CFFFC09" w14:textId="77777777" w:rsidR="00343284" w:rsidRPr="00A86A28" w:rsidRDefault="00000000" w:rsidP="00A86A28">
      <w:pPr>
        <w:pStyle w:val="ListParagraph"/>
        <w:numPr>
          <w:ilvl w:val="0"/>
          <w:numId w:val="37"/>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oMath>
      <w:r w:rsidR="00343284" w:rsidRPr="00A86A28">
        <w:rPr>
          <w:rFonts w:ascii="Times New Roman" w:hAnsi="Times New Roman" w:cs="Times New Roman"/>
          <w:sz w:val="24"/>
          <w:szCs w:val="24"/>
        </w:rPr>
        <w:t xml:space="preserve"> is the annual area change, and</w:t>
      </w:r>
    </w:p>
    <w:p w14:paraId="12F98A06" w14:textId="6ADA1FB9" w:rsidR="00343284" w:rsidRPr="00A86A28" w:rsidRDefault="00343284" w:rsidP="00A86A28">
      <w:pPr>
        <w:pStyle w:val="ListParagraph"/>
        <w:numPr>
          <w:ilvl w:val="0"/>
          <w:numId w:val="37"/>
        </w:numPr>
        <w:spacing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t-2023</m:t>
        </m:r>
      </m:oMath>
      <w:r w:rsidRPr="00A86A28">
        <w:rPr>
          <w:rFonts w:ascii="Times New Roman" w:hAnsi="Times New Roman" w:cs="Times New Roman"/>
          <w:sz w:val="24"/>
          <w:szCs w:val="24"/>
        </w:rPr>
        <w:t xml:space="preserve"> is the number of years from 2023 to (t) (for instance 1 for 2024, 10 for 2033), providing a linear year-by-year projection to 2033.</w:t>
      </w:r>
    </w:p>
    <w:p w14:paraId="2B59FA82" w14:textId="77777777" w:rsidR="0019640C" w:rsidRPr="00143888" w:rsidRDefault="0019640C" w:rsidP="00143888">
      <w:pPr>
        <w:spacing w:line="360" w:lineRule="auto"/>
        <w:jc w:val="both"/>
        <w:rPr>
          <w:rFonts w:ascii="Times New Roman" w:hAnsi="Times New Roman" w:cs="Times New Roman"/>
          <w:sz w:val="24"/>
          <w:szCs w:val="24"/>
        </w:rPr>
      </w:pPr>
    </w:p>
    <w:p w14:paraId="3002B720" w14:textId="0F5A2519" w:rsidR="0019640C" w:rsidRPr="00A86A28" w:rsidRDefault="0019640C" w:rsidP="00A86A28">
      <w:pPr>
        <w:pStyle w:val="Heading2"/>
      </w:pPr>
      <w:r w:rsidRPr="00A86A28">
        <w:t>Evaluation Metric</w:t>
      </w:r>
      <w:r w:rsidR="00A86A28">
        <w:t>s</w:t>
      </w:r>
    </w:p>
    <w:p w14:paraId="1D06CA65" w14:textId="77777777" w:rsidR="0019640C"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performance of the Random Forest classifier is evaluated using a confusion matrix, a widely used metric in classification tasks to assess accuracy and error rates. In this project, the confusion matrix is generated within GEE to validate the classifications for each period (1994-2003, 2004-2013, 2014-2023) against ground truth data from GCPs. It provides a tabular summary of predicted versus actual class labels, enabling the calculation of overall accuracy and per-class performance.</w:t>
      </w:r>
    </w:p>
    <w:p w14:paraId="109A6D27" w14:textId="77777777" w:rsidR="00A86A28" w:rsidRPr="00143888" w:rsidRDefault="00A86A28" w:rsidP="00143888">
      <w:pPr>
        <w:spacing w:line="360" w:lineRule="auto"/>
        <w:jc w:val="both"/>
        <w:rPr>
          <w:rFonts w:ascii="Times New Roman" w:hAnsi="Times New Roman" w:cs="Times New Roman"/>
          <w:sz w:val="24"/>
          <w:szCs w:val="24"/>
        </w:rPr>
      </w:pPr>
    </w:p>
    <w:p w14:paraId="6574BCBC" w14:textId="3D289954" w:rsidR="0019640C" w:rsidRDefault="0019640C" w:rsidP="00143888">
      <w:pPr>
        <w:spacing w:line="360" w:lineRule="auto"/>
        <w:jc w:val="both"/>
        <w:rPr>
          <w:rFonts w:ascii="Times New Roman" w:hAnsi="Times New Roman" w:cs="Times New Roman"/>
          <w:sz w:val="24"/>
          <w:szCs w:val="24"/>
        </w:rPr>
      </w:pPr>
      <w:r w:rsidRPr="00A86A28">
        <w:rPr>
          <w:rFonts w:ascii="Times New Roman" w:hAnsi="Times New Roman" w:cs="Times New Roman"/>
          <w:b/>
          <w:sz w:val="24"/>
          <w:szCs w:val="24"/>
        </w:rPr>
        <w:t xml:space="preserve">Definition: </w:t>
      </w:r>
      <w:r w:rsidRPr="00143888">
        <w:rPr>
          <w:rFonts w:ascii="Times New Roman" w:hAnsi="Times New Roman" w:cs="Times New Roman"/>
          <w:sz w:val="24"/>
          <w:szCs w:val="24"/>
        </w:rPr>
        <w:t xml:space="preserve">For the four land cover classes (Urban </w:t>
      </w:r>
      <w:hyperlink w:anchor="ref[0]" w:history="1">
        <w:r w:rsidRPr="00143888">
          <w:rPr>
            <w:rStyle w:val="Hyperlink"/>
            <w:rFonts w:ascii="Times New Roman" w:hAnsi="Times New Roman" w:cs="Times New Roman"/>
            <w:sz w:val="24"/>
            <w:szCs w:val="24"/>
          </w:rPr>
          <w:t>[0]</w:t>
        </w:r>
      </w:hyperlink>
      <w:r w:rsidRPr="00143888">
        <w:rPr>
          <w:rFonts w:ascii="Times New Roman" w:hAnsi="Times New Roman" w:cs="Times New Roman"/>
          <w:sz w:val="24"/>
          <w:szCs w:val="24"/>
        </w:rPr>
        <w:t>, Bare [1], Water [2], Vegetation [3]), the confusion matrix is a 4x4 table where rows represent actual classes (from validation GCPs</w:t>
      </w:r>
      <w:proofErr w:type="gramStart"/>
      <w:r w:rsidRPr="00143888">
        <w:rPr>
          <w:rFonts w:ascii="Times New Roman" w:hAnsi="Times New Roman" w:cs="Times New Roman"/>
          <w:sz w:val="24"/>
          <w:szCs w:val="24"/>
        </w:rPr>
        <w:t>)</w:t>
      </w:r>
      <w:proofErr w:type="gramEnd"/>
      <w:r w:rsidRPr="00143888">
        <w:rPr>
          <w:rFonts w:ascii="Times New Roman" w:hAnsi="Times New Roman" w:cs="Times New Roman"/>
          <w:sz w:val="24"/>
          <w:szCs w:val="24"/>
        </w:rPr>
        <w:t xml:space="preserve"> and columns represent predicted classes (from the RF classifier). Each cell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oMath>
      <w:r w:rsidRPr="00143888">
        <w:rPr>
          <w:rFonts w:ascii="Times New Roman" w:hAnsi="Times New Roman" w:cs="Times New Roman"/>
          <w:sz w:val="24"/>
          <w:szCs w:val="24"/>
        </w:rPr>
        <w:t xml:space="preserve"> contains the number of pixels where the actual class is (i) and the predicted class is (j). Diagonal elements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oMath>
      <w:r w:rsidRPr="00143888">
        <w:rPr>
          <w:rFonts w:ascii="Times New Roman" w:hAnsi="Times New Roman" w:cs="Times New Roman"/>
          <w:sz w:val="24"/>
          <w:szCs w:val="24"/>
        </w:rPr>
        <w:t>) are correct predictions (true positives), while the off-diagonal elements are misclassifications. This is represented by:</w:t>
      </w:r>
    </w:p>
    <w:p w14:paraId="4C24E086" w14:textId="06FBA814" w:rsidR="00A86A28" w:rsidRPr="00143888" w:rsidRDefault="00A86A28" w:rsidP="00A86A28">
      <w:pPr>
        <w:pStyle w:val="Heading3"/>
      </w:pPr>
      <w:r>
        <w:t>Overall Accuracy</w:t>
      </w:r>
    </w:p>
    <w:p w14:paraId="34CA4D24" w14:textId="7F6BAFF3" w:rsidR="0019640C" w:rsidRPr="00143888" w:rsidRDefault="0019640C" w:rsidP="0014388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Overall Accuracy=</m:t>
          </m:r>
          <m:f>
            <m:fPr>
              <m:ctrlPr>
                <w:rPr>
                  <w:rFonts w:ascii="Cambria Math" w:hAnsi="Cambria Math" w:cs="Times New Roman"/>
                  <w:i/>
                  <w:sz w:val="24"/>
                  <w:szCs w:val="24"/>
                </w:rPr>
              </m:ctrlPr>
            </m:fPr>
            <m:num>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e>
              </m:nary>
            </m:num>
            <m:den>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i=0</m:t>
                  </m:r>
                </m:sub>
                <m:sup>
                  <m:r>
                    <w:rPr>
                      <w:rFonts w:ascii="Cambria Math" w:hAnsi="Cambria Math" w:cs="Times New Roman"/>
                      <w:sz w:val="24"/>
                      <w:szCs w:val="24"/>
                    </w:rPr>
                    <m:t>3</m:t>
                  </m:r>
                </m:sup>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e>
              </m:nary>
            </m:den>
          </m:f>
        </m:oMath>
      </m:oMathPara>
    </w:p>
    <w:p w14:paraId="2D2F377A" w14:textId="23ACFAAC" w:rsidR="003D3E96" w:rsidRPr="00143888" w:rsidRDefault="003D3E9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6C6703D2" w14:textId="233B1A8F" w:rsidR="003D3E96" w:rsidRPr="00A86A28" w:rsidRDefault="00000000" w:rsidP="00A86A28">
      <w:pPr>
        <w:pStyle w:val="ListParagraph"/>
        <w:numPr>
          <w:ilvl w:val="0"/>
          <w:numId w:val="38"/>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oMath>
      <w:r w:rsidR="003D3E96" w:rsidRPr="00A86A28">
        <w:rPr>
          <w:rFonts w:ascii="Times New Roman" w:hAnsi="Times New Roman" w:cs="Times New Roman"/>
          <w:sz w:val="24"/>
          <w:szCs w:val="24"/>
        </w:rPr>
        <w:t>is the number of true positives for class (i) – diagonal elements, and</w:t>
      </w:r>
    </w:p>
    <w:p w14:paraId="1B81433E" w14:textId="5B569674" w:rsidR="0019640C" w:rsidRPr="00A86A28" w:rsidRDefault="00000000" w:rsidP="00A86A28">
      <w:pPr>
        <w:pStyle w:val="ListParagraph"/>
        <w:numPr>
          <w:ilvl w:val="0"/>
          <w:numId w:val="38"/>
        </w:numPr>
        <w:spacing w:line="360" w:lineRule="auto"/>
        <w:jc w:val="both"/>
        <w:rPr>
          <w:rFonts w:ascii="Times New Roman" w:hAnsi="Times New Roman" w:cs="Times New Roman"/>
          <w:sz w:val="24"/>
          <w:szCs w:val="24"/>
        </w:rPr>
      </w:pPr>
      <m:oMath>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i=0</m:t>
            </m:r>
          </m:sub>
          <m:sup>
            <m:r>
              <w:rPr>
                <w:rFonts w:ascii="Cambria Math" w:hAnsi="Cambria Math" w:cs="Times New Roman"/>
                <w:sz w:val="24"/>
                <w:szCs w:val="24"/>
              </w:rPr>
              <m:t>3</m:t>
            </m:r>
          </m:sup>
          <m:e>
            <m:nary>
              <m:naryPr>
                <m:chr m:val="∑"/>
                <m:limLoc m:val="undOvr"/>
                <m:ctrlPr>
                  <w:rPr>
                    <w:rFonts w:ascii="Cambria Math"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e>
        </m:nary>
      </m:oMath>
      <w:r w:rsidR="003D3E96" w:rsidRPr="00A86A28">
        <w:rPr>
          <w:rFonts w:ascii="Times New Roman" w:hAnsi="Times New Roman" w:cs="Times New Roman"/>
          <w:sz w:val="24"/>
          <w:szCs w:val="24"/>
        </w:rPr>
        <w:t xml:space="preserve"> is the </w:t>
      </w:r>
      <w:r w:rsidR="00C95A56" w:rsidRPr="00A86A28">
        <w:rPr>
          <w:rFonts w:ascii="Times New Roman" w:hAnsi="Times New Roman" w:cs="Times New Roman"/>
          <w:sz w:val="24"/>
          <w:szCs w:val="24"/>
        </w:rPr>
        <w:t>total number of pixels in the validation set (sum of all matrix elements).</w:t>
      </w:r>
    </w:p>
    <w:p w14:paraId="7B6477FA" w14:textId="77777777" w:rsidR="004114A0" w:rsidRPr="00143888" w:rsidRDefault="004114A0" w:rsidP="00143888">
      <w:pPr>
        <w:spacing w:line="360" w:lineRule="auto"/>
        <w:jc w:val="both"/>
        <w:rPr>
          <w:rFonts w:ascii="Times New Roman" w:hAnsi="Times New Roman" w:cs="Times New Roman"/>
          <w:sz w:val="24"/>
          <w:szCs w:val="24"/>
        </w:rPr>
      </w:pPr>
    </w:p>
    <w:p w14:paraId="22B18E83" w14:textId="0D29439B" w:rsidR="004114A0" w:rsidRPr="00143888" w:rsidRDefault="004114A0" w:rsidP="00A86A28">
      <w:pPr>
        <w:pStyle w:val="Heading3"/>
      </w:pPr>
      <w:r w:rsidRPr="00143888">
        <w:t>Producer’s Accuracy (PA)</w:t>
      </w:r>
    </w:p>
    <w:p w14:paraId="151786A2" w14:textId="38A07D22" w:rsidR="004114A0" w:rsidRPr="00143888" w:rsidRDefault="004114A0"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PA measures the proportion of actual pixels in a class correctly classified, reflecting the </w:t>
      </w:r>
      <w:proofErr w:type="spellStart"/>
      <w:r w:rsidRPr="00143888">
        <w:rPr>
          <w:rFonts w:ascii="Times New Roman" w:hAnsi="Times New Roman" w:cs="Times New Roman"/>
          <w:sz w:val="24"/>
          <w:szCs w:val="24"/>
        </w:rPr>
        <w:t>classifier;s</w:t>
      </w:r>
      <w:proofErr w:type="spellEnd"/>
      <w:r w:rsidRPr="00143888">
        <w:rPr>
          <w:rFonts w:ascii="Times New Roman" w:hAnsi="Times New Roman" w:cs="Times New Roman"/>
          <w:sz w:val="24"/>
          <w:szCs w:val="24"/>
        </w:rPr>
        <w:t xml:space="preserve"> ability to identify all instances of that class (omission error inverse).</w:t>
      </w:r>
    </w:p>
    <w:p w14:paraId="4F2C5FD8" w14:textId="4F34A533" w:rsidR="004114A0"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eastAsia="Arial" w:hAnsi="Cambria Math" w:cs="Times New Roman"/>
                  <w:i/>
                  <w:sz w:val="24"/>
                  <w:szCs w:val="24"/>
                </w:rPr>
              </m:ctrlPr>
            </m:sSubPr>
            <m:e>
              <m:r>
                <w:rPr>
                  <w:rFonts w:ascii="Cambria Math" w:hAnsi="Cambria Math" w:cs="Times New Roman"/>
                  <w:sz w:val="24"/>
                  <w:szCs w:val="24"/>
                </w:rPr>
                <m:t>PA</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eastAsia="Arial" w:hAnsi="Cambria Math" w:cs="Times New Roman"/>
                  <w:i/>
                  <w:sz w:val="24"/>
                  <w:szCs w:val="24"/>
                </w:rPr>
              </m:ctrlPr>
            </m:fPr>
            <m:num>
              <m:sSub>
                <m:sSubPr>
                  <m:ctrlPr>
                    <w:rPr>
                      <w:rFonts w:ascii="Cambria Math" w:eastAsia="Arial"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num>
            <m:den>
              <m:nary>
                <m:naryPr>
                  <m:chr m:val="∑"/>
                  <m:limLoc m:val="subSup"/>
                  <m:ctrlPr>
                    <w:rPr>
                      <w:rFonts w:ascii="Cambria Math" w:eastAsia="Arial"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eastAsia="Arial"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den>
          </m:f>
        </m:oMath>
      </m:oMathPara>
    </w:p>
    <w:p w14:paraId="7D56B77F" w14:textId="6CA08ACD" w:rsidR="004114A0" w:rsidRPr="00143888" w:rsidRDefault="004114A0"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3CDF7540" w14:textId="23FB757A" w:rsidR="004114A0" w:rsidRPr="00A86A28" w:rsidRDefault="00000000" w:rsidP="00A86A28">
      <w:pPr>
        <w:pStyle w:val="ListParagraph"/>
        <w:numPr>
          <w:ilvl w:val="0"/>
          <w:numId w:val="40"/>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oMath>
      <w:r w:rsidR="004114A0" w:rsidRPr="00A86A28">
        <w:rPr>
          <w:rFonts w:ascii="Times New Roman" w:hAnsi="Times New Roman" w:cs="Times New Roman"/>
          <w:sz w:val="24"/>
          <w:szCs w:val="24"/>
        </w:rPr>
        <w:t xml:space="preserve"> is the number of true positives for class (i), and</w:t>
      </w:r>
    </w:p>
    <w:p w14:paraId="402AE806" w14:textId="7DC183ED" w:rsidR="004114A0" w:rsidRPr="00A86A28" w:rsidRDefault="00000000" w:rsidP="00A86A28">
      <w:pPr>
        <w:pStyle w:val="ListParagraph"/>
        <w:numPr>
          <w:ilvl w:val="0"/>
          <w:numId w:val="40"/>
        </w:numPr>
        <w:spacing w:line="360" w:lineRule="auto"/>
        <w:jc w:val="both"/>
        <w:rPr>
          <w:rFonts w:ascii="Times New Roman" w:hAnsi="Times New Roman" w:cs="Times New Roman"/>
          <w:sz w:val="24"/>
          <w:szCs w:val="24"/>
        </w:rPr>
      </w:pPr>
      <m:oMath>
        <m:nary>
          <m:naryPr>
            <m:chr m:val="∑"/>
            <m:limLoc m:val="subSup"/>
            <m:ctrlPr>
              <w:rPr>
                <w:rFonts w:ascii="Cambria Math"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oMath>
      <w:r w:rsidR="004114A0" w:rsidRPr="00A86A28">
        <w:rPr>
          <w:rFonts w:ascii="Times New Roman" w:hAnsi="Times New Roman" w:cs="Times New Roman"/>
          <w:sz w:val="24"/>
          <w:szCs w:val="24"/>
        </w:rPr>
        <w:t xml:space="preserve"> is the total number </w:t>
      </w:r>
      <w:r w:rsidR="00B54FAE" w:rsidRPr="00A86A28">
        <w:rPr>
          <w:rFonts w:ascii="Times New Roman" w:hAnsi="Times New Roman" w:cs="Times New Roman"/>
          <w:sz w:val="24"/>
          <w:szCs w:val="24"/>
        </w:rPr>
        <w:t>of pixels predicted as class (</w:t>
      </w:r>
      <w:proofErr w:type="spellStart"/>
      <w:r w:rsidR="00B54FAE" w:rsidRPr="00A86A28">
        <w:rPr>
          <w:rFonts w:ascii="Times New Roman" w:hAnsi="Times New Roman" w:cs="Times New Roman"/>
          <w:sz w:val="24"/>
          <w:szCs w:val="24"/>
        </w:rPr>
        <w:t>i</w:t>
      </w:r>
      <w:proofErr w:type="spellEnd"/>
      <w:r w:rsidR="00B54FAE" w:rsidRPr="00A86A28">
        <w:rPr>
          <w:rFonts w:ascii="Times New Roman" w:hAnsi="Times New Roman" w:cs="Times New Roman"/>
          <w:sz w:val="24"/>
          <w:szCs w:val="24"/>
        </w:rPr>
        <w:t>) (row total)</w:t>
      </w:r>
    </w:p>
    <w:p w14:paraId="2E56C2A0" w14:textId="00BB12F6" w:rsidR="00B54FAE" w:rsidRPr="00143888" w:rsidRDefault="00B54FAE" w:rsidP="00A86A28">
      <w:pPr>
        <w:pStyle w:val="Heading3"/>
      </w:pPr>
      <w:r w:rsidRPr="00143888">
        <w:t>User’s Accuracy (UA)</w:t>
      </w:r>
    </w:p>
    <w:p w14:paraId="717DC763" w14:textId="44F1A4C0" w:rsidR="00B54FAE" w:rsidRPr="00143888" w:rsidRDefault="00B54FAE"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UA measures the proportion of predicted pixels in a class that are correct, reflecting the reliability of the classifier’s predictions for that class (commission error inverse), represented as:</w:t>
      </w:r>
    </w:p>
    <w:p w14:paraId="57D5D294" w14:textId="48CA7AB2" w:rsidR="00B54FAE" w:rsidRPr="00143888" w:rsidRDefault="00000000" w:rsidP="00143888">
      <w:pPr>
        <w:spacing w:line="360" w:lineRule="auto"/>
        <w:jc w:val="both"/>
        <w:rPr>
          <w:rFonts w:ascii="Times New Roman" w:hAnsi="Times New Roman" w:cs="Times New Roman"/>
          <w:sz w:val="24"/>
          <w:szCs w:val="24"/>
        </w:rPr>
      </w:pPr>
      <m:oMathPara>
        <m:oMath>
          <m:sSub>
            <m:sSubPr>
              <m:ctrlPr>
                <w:rPr>
                  <w:rFonts w:ascii="Cambria Math" w:eastAsia="Arial" w:hAnsi="Cambria Math" w:cs="Times New Roman"/>
                  <w:i/>
                  <w:sz w:val="24"/>
                  <w:szCs w:val="24"/>
                </w:rPr>
              </m:ctrlPr>
            </m:sSubPr>
            <m:e>
              <m:r>
                <w:rPr>
                  <w:rFonts w:ascii="Cambria Math" w:hAnsi="Cambria Math" w:cs="Times New Roman"/>
                  <w:sz w:val="24"/>
                  <w:szCs w:val="24"/>
                </w:rPr>
                <m:t>UA</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eastAsia="Arial" w:hAnsi="Cambria Math" w:cs="Times New Roman"/>
                  <w:i/>
                  <w:sz w:val="24"/>
                  <w:szCs w:val="24"/>
                </w:rPr>
              </m:ctrlPr>
            </m:fPr>
            <m:num>
              <m:sSub>
                <m:sSubPr>
                  <m:ctrlPr>
                    <w:rPr>
                      <w:rFonts w:ascii="Cambria Math" w:eastAsia="Arial"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num>
            <m:den>
              <m:nary>
                <m:naryPr>
                  <m:chr m:val="∑"/>
                  <m:limLoc m:val="subSup"/>
                  <m:ctrlPr>
                    <w:rPr>
                      <w:rFonts w:ascii="Cambria Math" w:eastAsia="Arial"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eastAsia="Arial"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den>
          </m:f>
        </m:oMath>
      </m:oMathPara>
    </w:p>
    <w:p w14:paraId="40FC599F" w14:textId="77777777" w:rsidR="00B54FAE" w:rsidRPr="00143888" w:rsidRDefault="00B54FAE"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Where:</w:t>
      </w:r>
    </w:p>
    <w:p w14:paraId="2C070B25" w14:textId="77777777" w:rsidR="00B54FAE" w:rsidRPr="00A86A28" w:rsidRDefault="00000000" w:rsidP="00A86A28">
      <w:pPr>
        <w:pStyle w:val="ListParagraph"/>
        <w:numPr>
          <w:ilvl w:val="0"/>
          <w:numId w:val="39"/>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ii</m:t>
            </m:r>
          </m:sub>
        </m:sSub>
      </m:oMath>
      <w:r w:rsidR="00B54FAE" w:rsidRPr="00A86A28">
        <w:rPr>
          <w:rFonts w:ascii="Times New Roman" w:hAnsi="Times New Roman" w:cs="Times New Roman"/>
          <w:sz w:val="24"/>
          <w:szCs w:val="24"/>
        </w:rPr>
        <w:t xml:space="preserve"> is the number of true positives for class (i), and</w:t>
      </w:r>
    </w:p>
    <w:p w14:paraId="254350E0" w14:textId="6323C68F" w:rsidR="00B54FAE" w:rsidRPr="00A86A28" w:rsidRDefault="00000000" w:rsidP="00A86A28">
      <w:pPr>
        <w:pStyle w:val="ListParagraph"/>
        <w:numPr>
          <w:ilvl w:val="0"/>
          <w:numId w:val="39"/>
        </w:numPr>
        <w:spacing w:line="360" w:lineRule="auto"/>
        <w:jc w:val="both"/>
        <w:rPr>
          <w:rFonts w:ascii="Times New Roman" w:hAnsi="Times New Roman" w:cs="Times New Roman"/>
          <w:sz w:val="24"/>
          <w:szCs w:val="24"/>
        </w:rPr>
      </w:pPr>
      <m:oMath>
        <m:nary>
          <m:naryPr>
            <m:chr m:val="∑"/>
            <m:limLoc m:val="subSup"/>
            <m:ctrlPr>
              <w:rPr>
                <w:rFonts w:ascii="Cambria Math" w:hAnsi="Cambria Math" w:cs="Times New Roman"/>
                <w:i/>
                <w:sz w:val="24"/>
                <w:szCs w:val="24"/>
              </w:rPr>
            </m:ctrlPr>
          </m:naryPr>
          <m:sub>
            <m:r>
              <w:rPr>
                <w:rFonts w:ascii="Cambria Math" w:hAnsi="Cambria Math" w:cs="Times New Roman"/>
                <w:sz w:val="24"/>
                <w:szCs w:val="24"/>
              </w:rPr>
              <m:t>j=0</m:t>
            </m:r>
          </m:sub>
          <m:sup>
            <m:r>
              <w:rPr>
                <w:rFonts w:ascii="Cambria Math" w:hAnsi="Cambria Math" w:cs="Times New Roman"/>
                <w:sz w:val="24"/>
                <w:szCs w:val="24"/>
              </w:rPr>
              <m:t>3</m:t>
            </m:r>
          </m:sup>
          <m:e>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ij</m:t>
                </m:r>
              </m:sub>
            </m:sSub>
          </m:e>
        </m:nary>
      </m:oMath>
      <w:r w:rsidR="00B54FAE" w:rsidRPr="00A86A28">
        <w:rPr>
          <w:rFonts w:ascii="Times New Roman" w:hAnsi="Times New Roman" w:cs="Times New Roman"/>
          <w:sz w:val="24"/>
          <w:szCs w:val="24"/>
        </w:rPr>
        <w:t xml:space="preserve"> is the total number of pixels predicted as class (i) (column total)</w:t>
      </w:r>
    </w:p>
    <w:p w14:paraId="086553A8" w14:textId="77777777" w:rsidR="00B54FAE" w:rsidRPr="00143888" w:rsidRDefault="00B54FAE" w:rsidP="00143888">
      <w:pPr>
        <w:spacing w:line="360" w:lineRule="auto"/>
        <w:jc w:val="both"/>
        <w:rPr>
          <w:rFonts w:ascii="Times New Roman" w:hAnsi="Times New Roman" w:cs="Times New Roman"/>
          <w:sz w:val="24"/>
          <w:szCs w:val="24"/>
        </w:rPr>
      </w:pPr>
    </w:p>
    <w:p w14:paraId="07EE5F9A" w14:textId="77777777" w:rsidR="00B54FAE" w:rsidRPr="00143888" w:rsidRDefault="00B54FAE" w:rsidP="00143888">
      <w:pPr>
        <w:spacing w:line="360" w:lineRule="auto"/>
        <w:jc w:val="both"/>
        <w:rPr>
          <w:rFonts w:ascii="Times New Roman" w:hAnsi="Times New Roman" w:cs="Times New Roman"/>
          <w:sz w:val="24"/>
          <w:szCs w:val="24"/>
        </w:rPr>
      </w:pPr>
    </w:p>
    <w:p w14:paraId="66E8C8B4" w14:textId="77777777" w:rsidR="00343284" w:rsidRPr="00143888" w:rsidRDefault="00343284" w:rsidP="00143888">
      <w:pPr>
        <w:spacing w:line="360" w:lineRule="auto"/>
        <w:jc w:val="both"/>
        <w:rPr>
          <w:rFonts w:ascii="Times New Roman" w:hAnsi="Times New Roman" w:cs="Times New Roman"/>
          <w:sz w:val="24"/>
          <w:szCs w:val="24"/>
        </w:rPr>
      </w:pPr>
    </w:p>
    <w:p w14:paraId="334AF050" w14:textId="77777777" w:rsidR="00343284" w:rsidRPr="00143888" w:rsidRDefault="00343284" w:rsidP="00A86A28">
      <w:pPr>
        <w:pStyle w:val="Heading2"/>
      </w:pPr>
      <w:r w:rsidRPr="00143888">
        <w:t>Visualizations and Further Processing</w:t>
      </w:r>
    </w:p>
    <w:p w14:paraId="1761867A" w14:textId="232B54C6" w:rsidR="00343284" w:rsidRPr="00143888" w:rsidRDefault="00343284"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Initial visualizations such as classified maps for 1994-2003, 2004-2013, 2014-2023, and 2024-2033, plus time series charts (2003-2033), bar and pie charts, and confusion matrices are generated in GEE. For further processing and enhanced mapping, data is exported from GEE to Google Drive. Classified images are saved as </w:t>
      </w:r>
      <w:proofErr w:type="spellStart"/>
      <w:r w:rsidRPr="00143888">
        <w:rPr>
          <w:rFonts w:ascii="Times New Roman" w:hAnsi="Times New Roman" w:cs="Times New Roman"/>
          <w:sz w:val="24"/>
          <w:szCs w:val="24"/>
        </w:rPr>
        <w:t>GeoTIFFs</w:t>
      </w:r>
      <w:proofErr w:type="spellEnd"/>
      <w:r w:rsidRPr="00143888">
        <w:rPr>
          <w:rFonts w:ascii="Times New Roman" w:hAnsi="Times New Roman" w:cs="Times New Roman"/>
          <w:sz w:val="24"/>
          <w:szCs w:val="24"/>
        </w:rPr>
        <w:t xml:space="preserve"> (e.g., Collection_1994_2003.tif), preserving the 30 m resolution and class values (0-3). GCPs are exported as Shapefiles (e.g., GCPs_2003.shp) for reference, and area statistics and chart data are saved as CSVs. </w:t>
      </w:r>
      <w:r w:rsidR="003B550A" w:rsidRPr="00143888">
        <w:rPr>
          <w:rFonts w:ascii="Times New Roman" w:hAnsi="Times New Roman" w:cs="Times New Roman"/>
          <w:sz w:val="24"/>
          <w:szCs w:val="24"/>
        </w:rPr>
        <w:t>Further processing to generate visualization map files are done using QGIS.</w:t>
      </w:r>
    </w:p>
    <w:p w14:paraId="0A3F1779" w14:textId="77777777" w:rsidR="003B550A" w:rsidRPr="00143888" w:rsidRDefault="003B550A" w:rsidP="00143888">
      <w:pPr>
        <w:spacing w:line="360" w:lineRule="auto"/>
        <w:jc w:val="both"/>
        <w:rPr>
          <w:rFonts w:ascii="Times New Roman" w:hAnsi="Times New Roman" w:cs="Times New Roman"/>
          <w:sz w:val="24"/>
          <w:szCs w:val="24"/>
        </w:rPr>
      </w:pPr>
    </w:p>
    <w:p w14:paraId="5286D794" w14:textId="13A11A7A" w:rsidR="003B550A" w:rsidRPr="00143888" w:rsidRDefault="003B550A" w:rsidP="00A86A28">
      <w:pPr>
        <w:pStyle w:val="Heading3"/>
      </w:pPr>
      <w:r w:rsidRPr="00143888">
        <w:t>Software and Applications</w:t>
      </w:r>
    </w:p>
    <w:p w14:paraId="3B5E634C" w14:textId="77777777"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This study employs a combination of software tools and programming languages to process satellite imagery, classify land cover, predict urban growth, and visualize results for Juba, South Sudan. The primary platforms used are Google Earth Engine (GEE) and QGIS, with JavaScript serving as the programming language within GEE. These tools facilitate data acquisition, preprocessing, classification, and visualization, ensuring a comprehensive workflow for urban growth prediction.</w:t>
      </w:r>
    </w:p>
    <w:p w14:paraId="671313CD" w14:textId="77777777" w:rsidR="003B550A" w:rsidRPr="00143888" w:rsidRDefault="003B550A" w:rsidP="00A86A28">
      <w:pPr>
        <w:pStyle w:val="Heading3"/>
      </w:pPr>
      <w:r w:rsidRPr="00143888">
        <w:t>Google Earth Engine (GEE)</w:t>
      </w:r>
    </w:p>
    <w:p w14:paraId="61EB8ED0" w14:textId="23B0375F"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GEE, as a cloud-based geospatial processing platform, is designed for large-scale environmental data analysis. It provides access to extensive satellite imagery archives, including Landsat 5 and </w:t>
      </w:r>
      <w:r w:rsidRPr="00143888">
        <w:rPr>
          <w:rFonts w:ascii="Times New Roman" w:hAnsi="Times New Roman" w:cs="Times New Roman"/>
          <w:sz w:val="24"/>
          <w:szCs w:val="24"/>
        </w:rPr>
        <w:lastRenderedPageBreak/>
        <w:t xml:space="preserve">Landsat 7 data, used in this study. The platform supports data acquisition, preprocessing, classification using the Random Forest algorithm (selected for this study), and visualization. It also offers preprocessing capabilities such as cloud and shadow masking, band scaling, and composite creation. The built-in Random Forest classifier is used for land cover classification and prediction, and results are visualized through maps, time series charts, and accuracy assessments. The GEE Code Editor, accessible via </w:t>
      </w:r>
      <w:hyperlink r:id="rId13" w:history="1">
        <w:r w:rsidRPr="00143888">
          <w:rPr>
            <w:rStyle w:val="Hyperlink"/>
            <w:rFonts w:ascii="Times New Roman" w:hAnsi="Times New Roman" w:cs="Times New Roman"/>
            <w:sz w:val="24"/>
            <w:szCs w:val="24"/>
          </w:rPr>
          <w:t>https://code.earthengine.google.com</w:t>
        </w:r>
      </w:hyperlink>
      <w:r w:rsidRPr="00143888">
        <w:rPr>
          <w:rFonts w:ascii="Times New Roman" w:hAnsi="Times New Roman" w:cs="Times New Roman"/>
          <w:sz w:val="24"/>
          <w:szCs w:val="24"/>
        </w:rPr>
        <w:t>, serves as the development environment where the project script was written and managed, with integration to Google Drive for exporting processed outputs.</w:t>
      </w:r>
    </w:p>
    <w:p w14:paraId="464402CD" w14:textId="77777777" w:rsidR="003B550A" w:rsidRPr="00143888" w:rsidRDefault="003B550A" w:rsidP="00143888">
      <w:pPr>
        <w:spacing w:line="360" w:lineRule="auto"/>
        <w:jc w:val="both"/>
        <w:rPr>
          <w:rFonts w:ascii="Times New Roman" w:hAnsi="Times New Roman" w:cs="Times New Roman"/>
          <w:sz w:val="24"/>
          <w:szCs w:val="24"/>
        </w:rPr>
      </w:pPr>
    </w:p>
    <w:p w14:paraId="62708EF6" w14:textId="77777777" w:rsidR="003B550A" w:rsidRPr="00143888" w:rsidRDefault="003B550A" w:rsidP="00A86A28">
      <w:pPr>
        <w:pStyle w:val="Heading3"/>
      </w:pPr>
      <w:r w:rsidRPr="00143888">
        <w:t>JavaScript in GEE</w:t>
      </w:r>
    </w:p>
    <w:p w14:paraId="13294F88" w14:textId="77777777" w:rsidR="003B550A" w:rsidRPr="00143888" w:rsidRDefault="003B550A" w:rsidP="00143888">
      <w:pPr>
        <w:spacing w:line="360" w:lineRule="auto"/>
        <w:jc w:val="both"/>
        <w:rPr>
          <w:rFonts w:ascii="Times New Roman" w:hAnsi="Times New Roman" w:cs="Times New Roman"/>
          <w:sz w:val="24"/>
          <w:szCs w:val="24"/>
        </w:rPr>
      </w:pPr>
    </w:p>
    <w:p w14:paraId="32DCD7EB" w14:textId="77777777"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JavaScript is the primary scripting language for implementing the methodology in GEE. It enables the definition of functions, data handling, and algorithm implementation. Custom functions are written for image preprocessing, cloud masking, classification, and area computation. The language facilitates the loading of Landsat imagery, filtering by date and region of interest, and managing training data as feature collections. JavaScript commands allow seamless export of classified images and tabular data to Google Drive, while the GEE Earth Engine API supports efficient geospatial processing.</w:t>
      </w:r>
    </w:p>
    <w:p w14:paraId="5D541F19" w14:textId="77777777" w:rsidR="003B550A" w:rsidRPr="00143888" w:rsidRDefault="003B550A" w:rsidP="00143888">
      <w:pPr>
        <w:spacing w:line="360" w:lineRule="auto"/>
        <w:jc w:val="both"/>
        <w:rPr>
          <w:rFonts w:ascii="Times New Roman" w:hAnsi="Times New Roman" w:cs="Times New Roman"/>
          <w:sz w:val="24"/>
          <w:szCs w:val="24"/>
        </w:rPr>
      </w:pPr>
    </w:p>
    <w:p w14:paraId="7F39DBEB" w14:textId="77777777" w:rsidR="003B550A" w:rsidRPr="00143888" w:rsidRDefault="003B550A" w:rsidP="00A86A28">
      <w:pPr>
        <w:pStyle w:val="Heading3"/>
      </w:pPr>
      <w:r w:rsidRPr="00143888">
        <w:t>Random Forest in GEE</w:t>
      </w:r>
    </w:p>
    <w:p w14:paraId="69B6BE67" w14:textId="77777777" w:rsidR="003B550A" w:rsidRPr="00143888" w:rsidRDefault="003B550A" w:rsidP="00143888">
      <w:pPr>
        <w:spacing w:line="360" w:lineRule="auto"/>
        <w:jc w:val="both"/>
        <w:rPr>
          <w:rFonts w:ascii="Times New Roman" w:hAnsi="Times New Roman" w:cs="Times New Roman"/>
          <w:sz w:val="24"/>
          <w:szCs w:val="24"/>
        </w:rPr>
      </w:pPr>
    </w:p>
    <w:p w14:paraId="503E072F" w14:textId="22B37553" w:rsidR="003B550A" w:rsidRPr="00143888" w:rsidRDefault="003B550A"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Random Forest (RF) classifier is integrated into GEE as part of its supervised classification tools under the </w:t>
      </w:r>
      <w:proofErr w:type="spellStart"/>
      <w:r w:rsidRPr="00143888">
        <w:rPr>
          <w:rFonts w:ascii="Times New Roman" w:hAnsi="Times New Roman" w:cs="Times New Roman"/>
          <w:sz w:val="24"/>
          <w:szCs w:val="24"/>
        </w:rPr>
        <w:t>ee.Classifier</w:t>
      </w:r>
      <w:proofErr w:type="spellEnd"/>
      <w:r w:rsidRPr="00143888">
        <w:rPr>
          <w:rFonts w:ascii="Times New Roman" w:hAnsi="Times New Roman" w:cs="Times New Roman"/>
          <w:sz w:val="24"/>
          <w:szCs w:val="24"/>
        </w:rPr>
        <w:t xml:space="preserve"> namespace. It is implemented using the SMILE (Statistical Machine Intelligence and Learning Engine) library and optimized for large-scale geospatial data analysis. The RF classifier is instantiated using JavaScript (</w:t>
      </w:r>
      <w:proofErr w:type="spellStart"/>
      <w:r w:rsidRPr="00143888">
        <w:rPr>
          <w:rFonts w:ascii="Times New Roman" w:hAnsi="Times New Roman" w:cs="Times New Roman"/>
          <w:sz w:val="24"/>
          <w:szCs w:val="24"/>
        </w:rPr>
        <w:t>ee.Classifier.smileRandomForest</w:t>
      </w:r>
      <w:proofErr w:type="spellEnd"/>
      <w:r w:rsidRPr="00143888">
        <w:rPr>
          <w:rFonts w:ascii="Times New Roman" w:hAnsi="Times New Roman" w:cs="Times New Roman"/>
          <w:sz w:val="24"/>
          <w:szCs w:val="24"/>
        </w:rPr>
        <w:t>(50)), where 50 decision trees balance accuracy and efficiency. Training data, consisting of labeled ground control points (GCPs), is used to train the classifier, which is then applied to median composites for historical periods and the predicted 2033 dataset. Validation is performed using confusion matrices to assess classification accuracy, and results are exported for further analysis.</w:t>
      </w:r>
    </w:p>
    <w:p w14:paraId="78DF0DEF" w14:textId="77777777" w:rsidR="0019640C" w:rsidRPr="00143888" w:rsidRDefault="0019640C" w:rsidP="00E04863">
      <w:pPr>
        <w:pStyle w:val="Heading3"/>
      </w:pPr>
      <w:r w:rsidRPr="00143888">
        <w:t>QGIS</w:t>
      </w:r>
    </w:p>
    <w:p w14:paraId="202694AB" w14:textId="77777777" w:rsidR="0019640C" w:rsidRPr="00143888"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QGIS is an open-source Geographic Information System (GIS) software used for advanced visualization and spatial analysis of the study’s outputs. It enables the import of </w:t>
      </w:r>
      <w:proofErr w:type="spellStart"/>
      <w:r w:rsidRPr="00143888">
        <w:rPr>
          <w:rFonts w:ascii="Times New Roman" w:hAnsi="Times New Roman" w:cs="Times New Roman"/>
          <w:sz w:val="24"/>
          <w:szCs w:val="24"/>
        </w:rPr>
        <w:t>GeoTIFFs</w:t>
      </w:r>
      <w:proofErr w:type="spellEnd"/>
      <w:r w:rsidRPr="00143888">
        <w:rPr>
          <w:rFonts w:ascii="Times New Roman" w:hAnsi="Times New Roman" w:cs="Times New Roman"/>
          <w:sz w:val="24"/>
          <w:szCs w:val="24"/>
        </w:rPr>
        <w:t xml:space="preserve"> and </w:t>
      </w:r>
      <w:r w:rsidRPr="00143888">
        <w:rPr>
          <w:rFonts w:ascii="Times New Roman" w:hAnsi="Times New Roman" w:cs="Times New Roman"/>
          <w:sz w:val="24"/>
          <w:szCs w:val="24"/>
        </w:rPr>
        <w:lastRenderedPageBreak/>
        <w:t>Shapefiles while maintaining spatial resolution and metadata. The platform provides tools for symbology customization, comparative time series analysis, and cartographic enhancements such as legends and scale bars. QGIS also supports supplementary processing, including CSV integration for area statistics and spatial data manipulation. Its robust visualization capabilities enhance interpretability, making it a valuable complement to GEE.</w:t>
      </w:r>
    </w:p>
    <w:p w14:paraId="03222DEE" w14:textId="77777777" w:rsidR="0019640C" w:rsidRPr="00143888"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Integration and Workflow</w:t>
      </w:r>
    </w:p>
    <w:p w14:paraId="5148B3B7" w14:textId="77777777" w:rsidR="0019640C" w:rsidRPr="00143888" w:rsidRDefault="0019640C"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integration of GEE and QGIS ensures an efficient workflow for urban growth prediction. GEE handles cloud-based data processing, classification, and initial visualization, while QGIS refines and presents the results offline. JavaScript scripts orchestrate the RF classification process in GEE, exporting outputs to Google Drive for import into QGIS. This workflow leverages GEE’s computational scalability and QGIS’s visualization capabilities, providing a robust pipeline from raw satellite data to actionable urban planning insights.</w:t>
      </w:r>
    </w:p>
    <w:p w14:paraId="045BEB45" w14:textId="77777777" w:rsidR="00F034DF" w:rsidRPr="00143888" w:rsidRDefault="00F034DF" w:rsidP="00143888">
      <w:pPr>
        <w:spacing w:line="360" w:lineRule="auto"/>
        <w:jc w:val="both"/>
        <w:rPr>
          <w:rFonts w:ascii="Times New Roman" w:hAnsi="Times New Roman" w:cs="Times New Roman"/>
          <w:sz w:val="24"/>
          <w:szCs w:val="24"/>
        </w:rPr>
      </w:pPr>
    </w:p>
    <w:p w14:paraId="3B9112C4" w14:textId="77777777" w:rsidR="00F034DF" w:rsidRPr="00143888" w:rsidRDefault="00F034DF"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br w:type="page"/>
      </w:r>
    </w:p>
    <w:p w14:paraId="69B0D144" w14:textId="6321504E" w:rsidR="00F034DF" w:rsidRDefault="00F034DF" w:rsidP="00E04863">
      <w:pPr>
        <w:pStyle w:val="Heading1"/>
      </w:pPr>
      <w:r w:rsidRPr="00143888">
        <w:lastRenderedPageBreak/>
        <w:t>Results</w:t>
      </w:r>
      <w:r w:rsidR="001D61B2" w:rsidRPr="00143888">
        <w:t xml:space="preserve"> and Discussion</w:t>
      </w:r>
    </w:p>
    <w:p w14:paraId="79C6E793" w14:textId="5C909485" w:rsidR="004D61D9" w:rsidRPr="004D61D9" w:rsidRDefault="00400667" w:rsidP="00400667">
      <w:r w:rsidRPr="000F0885">
        <w:rPr>
          <w:noProof/>
        </w:rPr>
        <mc:AlternateContent>
          <mc:Choice Requires="wps">
            <w:drawing>
              <wp:anchor distT="91440" distB="91440" distL="365760" distR="365760" simplePos="0" relativeHeight="251675648" behindDoc="0" locked="0" layoutInCell="1" allowOverlap="1" wp14:anchorId="23D8F4C3" wp14:editId="48B18037">
                <wp:simplePos x="0" y="0"/>
                <wp:positionH relativeFrom="margin">
                  <wp:align>left</wp:align>
                </wp:positionH>
                <wp:positionV relativeFrom="margin">
                  <wp:posOffset>753110</wp:posOffset>
                </wp:positionV>
                <wp:extent cx="5984875" cy="3143250"/>
                <wp:effectExtent l="0" t="0" r="0" b="0"/>
                <wp:wrapTopAndBottom/>
                <wp:docPr id="1766134013" name="Rectangle 152"/>
                <wp:cNvGraphicFramePr/>
                <a:graphic xmlns:a="http://schemas.openxmlformats.org/drawingml/2006/main">
                  <a:graphicData uri="http://schemas.microsoft.com/office/word/2010/wordprocessingShape">
                    <wps:wsp>
                      <wps:cNvSpPr/>
                      <wps:spPr>
                        <a:xfrm>
                          <a:off x="0" y="0"/>
                          <a:ext cx="5984875" cy="31432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8B5B1B" w14:textId="266127E1" w:rsidR="004D61D9" w:rsidRPr="004D61D9" w:rsidRDefault="00400667" w:rsidP="004D61D9">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r w:rsidR="004D61D9" w:rsidRPr="004D61D9">
                              <w:rPr>
                                <w:rFonts w:ascii="Times New Roman" w:hAnsi="Times New Roman" w:cs="Times New Roman"/>
                                <w:color w:val="4F81BD" w:themeColor="accent1"/>
                              </w:rPr>
                              <w:t xml:space="preserve"> </w:t>
                            </w:r>
                          </w:p>
                          <w:p w14:paraId="40C7BCEB" w14:textId="6432E55C" w:rsidR="004D61D9" w:rsidRPr="000F0885"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4D61D9">
                              <w:rPr>
                                <w:rFonts w:ascii="Times New Roman" w:hAnsi="Times New Roman" w:cs="Times New Roman"/>
                                <w:color w:val="4F81BD" w:themeColor="accent1"/>
                              </w:rPr>
                              <w:t>The results show that (1) built-up areas expanded dramatically, increasing from 9.44 km² (1.6%) in 1994–2003 to 54.72 km² (9.4%) in 2014–2023, with further growth projected to 81.93 km² (14.1%) by 2033 due to urbanization. (2) Bare ground fluctuated, peaking at 87.49 km² (15.1%) in 2004–2013 before declining, likely due to conversion to urban land. (3) Surface water remained stable (~1.9%) with minor variations, reflecting the White Nile’s consistent influence. (4) Vegetative cover, initially dominant (483.24 km², 83.3%), declined to 450.73 km² (77.7%) by 2023 and is predicted to drop to 419.85 km² (72.4%) by 2033, signaling habitat loss. Urban growth followed infrastructure corridors, while topographic variations (430–800m elevation) shaped development patterns. The findings highlight urgent needs for sustainable planning to balance urbanization with environmental preservation, particularly in flood-prone areas near the White Nile.</w:t>
                            </w:r>
                          </w:p>
                          <w:p w14:paraId="14C10EFA" w14:textId="77777777" w:rsidR="00400667" w:rsidRPr="000F0885" w:rsidRDefault="00400667" w:rsidP="00400667">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D8F4C3" id="_x0000_s1029" style="position:absolute;margin-left:0;margin-top:59.3pt;width:471.25pt;height:247.5pt;z-index:251675648;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" filled="f" stroked="f" strokeweight="2pt">
                <v:textbox inset="10.8pt,0,10.8pt,0">
                  <w:txbxContent>
                    <w:p w14:paraId="138B5B1B" w14:textId="266127E1" w:rsidR="004D61D9" w:rsidRPr="004D61D9" w:rsidRDefault="00400667" w:rsidP="004D61D9">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r w:rsidR="004D61D9" w:rsidRPr="004D61D9">
                        <w:rPr>
                          <w:rFonts w:ascii="Times New Roman" w:hAnsi="Times New Roman" w:cs="Times New Roman"/>
                          <w:color w:val="4F81BD" w:themeColor="accent1"/>
                        </w:rPr>
                        <w:t xml:space="preserve"> </w:t>
                      </w:r>
                    </w:p>
                    <w:p w14:paraId="40C7BCEB" w14:textId="6432E55C" w:rsidR="004D61D9" w:rsidRPr="000F0885" w:rsidRDefault="004D61D9" w:rsidP="004D61D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4D61D9">
                        <w:rPr>
                          <w:rFonts w:ascii="Times New Roman" w:hAnsi="Times New Roman" w:cs="Times New Roman"/>
                          <w:color w:val="4F81BD" w:themeColor="accent1"/>
                        </w:rPr>
                        <w:t>The results show that (1) built-up areas expanded dramatically, increasing from 9.44 km² (1.6%) in 1994–2003 to 54.72 km² (9.4%) in 2014–2023, with further growth projected to 81.93 km² (14.1%) by 2033 due to urbanization. (2) Bare ground fluctuated, peaking at 87.49 km² (15.1%) in 2004–2013 before declining, likely due to conversion to urban land. (3) Surface water remained stable (~1.9%) with minor variations, reflecting the White Nile’s consistent influence. (4) Vegetative cover, initially dominant (483.24 km², 83.3%), declined to 450.73 km² (77.7%) by 2023 and is predicted to drop to 419.85 km² (72.4%) by 2033, signaling habitat loss. Urban growth followed infrastructure corridors, while topographic variations (430–800m elevation) shaped development patterns. The findings highlight urgent needs for sustainable planning to balance urbanization with environmental preservation, particularly in flood-prone areas near the White Nile.</w:t>
                      </w:r>
                    </w:p>
                    <w:p w14:paraId="14C10EFA" w14:textId="77777777" w:rsidR="00400667" w:rsidRPr="000F0885" w:rsidRDefault="00400667" w:rsidP="00400667">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19158745" w14:textId="0F94CF1E" w:rsidR="00400667" w:rsidRPr="00400667" w:rsidRDefault="00400667" w:rsidP="00400667">
      <w:r w:rsidRPr="00143888">
        <w:rPr>
          <w:rFonts w:ascii="Times New Roman" w:hAnsi="Times New Roman" w:cs="Times New Roman"/>
          <w:sz w:val="24"/>
          <w:szCs w:val="24"/>
        </w:rPr>
        <w:t>The expansive study area surrounding Juba, covering approximately 580.08 square kilometers, has experienced transformations in land use and land cover patterns over the past three decades, with projections extending an additional decade into the future. With the Random Forest classifier, four primary land cover classifications were examined: built-up urban areas, exposed bare ground, surface water bodies, and vegetative cover. The temporal framework divides the analysis into three distinct historical periods (1994-2003, 2004-2013, and 2014-2023) along with a predicted future projection period (2024-2033).</w:t>
      </w:r>
    </w:p>
    <w:p w14:paraId="06D01F9B" w14:textId="35131561" w:rsidR="003F749E" w:rsidRPr="003F749E" w:rsidRDefault="003F749E" w:rsidP="003F749E">
      <w:pPr>
        <w:pStyle w:val="Heading2"/>
      </w:pPr>
      <w:r>
        <w:t>Elevation of the Study Area</w:t>
      </w:r>
    </w:p>
    <w:p w14:paraId="0C00A3AE" w14:textId="4A2D9E4D" w:rsidR="00F034DF" w:rsidRPr="00143888" w:rsidRDefault="00F034DF"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The study area has an elevation range of approximately 430 to 800 meters above sea level</w:t>
      </w:r>
      <w:r w:rsidR="001E17EE" w:rsidRPr="00143888">
        <w:rPr>
          <w:rFonts w:ascii="Times New Roman" w:hAnsi="Times New Roman" w:cs="Times New Roman"/>
          <w:sz w:val="24"/>
          <w:szCs w:val="24"/>
        </w:rPr>
        <w:t>.</w:t>
      </w:r>
      <w:r w:rsidR="00F144C9" w:rsidRPr="00143888">
        <w:rPr>
          <w:rFonts w:ascii="Times New Roman" w:hAnsi="Times New Roman" w:cs="Times New Roman"/>
          <w:sz w:val="24"/>
          <w:szCs w:val="24"/>
        </w:rPr>
        <w:t xml:space="preserve"> </w:t>
      </w:r>
      <w:r w:rsidR="001D61B2" w:rsidRPr="00143888">
        <w:rPr>
          <w:rFonts w:ascii="Times New Roman" w:hAnsi="Times New Roman" w:cs="Times New Roman"/>
          <w:sz w:val="24"/>
          <w:szCs w:val="24"/>
        </w:rPr>
        <w:t xml:space="preserve">Flowing from the south to the North through Juba, the White Nile plays a significant role in the area’s topography. </w:t>
      </w:r>
      <w:r w:rsidR="00F144C9" w:rsidRPr="00143888">
        <w:rPr>
          <w:rFonts w:ascii="Times New Roman" w:hAnsi="Times New Roman" w:cs="Times New Roman"/>
          <w:sz w:val="24"/>
          <w:szCs w:val="24"/>
        </w:rPr>
        <w:t>The lowest elevation is at the White Nile (</w:t>
      </w:r>
      <w:proofErr w:type="spellStart"/>
      <w:r w:rsidR="00F144C9" w:rsidRPr="00143888">
        <w:rPr>
          <w:rFonts w:ascii="Times New Roman" w:hAnsi="Times New Roman" w:cs="Times New Roman"/>
          <w:sz w:val="24"/>
          <w:szCs w:val="24"/>
        </w:rPr>
        <w:t>Bahrl</w:t>
      </w:r>
      <w:proofErr w:type="spellEnd"/>
      <w:r w:rsidR="00F144C9" w:rsidRPr="00143888">
        <w:rPr>
          <w:rFonts w:ascii="Times New Roman" w:hAnsi="Times New Roman" w:cs="Times New Roman"/>
          <w:sz w:val="24"/>
          <w:szCs w:val="24"/>
        </w:rPr>
        <w:t>-</w:t>
      </w:r>
      <w:proofErr w:type="gramStart"/>
      <w:r w:rsidR="00F144C9" w:rsidRPr="00143888">
        <w:rPr>
          <w:rFonts w:ascii="Times New Roman" w:hAnsi="Times New Roman" w:cs="Times New Roman"/>
          <w:sz w:val="24"/>
          <w:szCs w:val="24"/>
        </w:rPr>
        <w:t>al</w:t>
      </w:r>
      <w:proofErr w:type="gramEnd"/>
      <w:r w:rsidR="00F144C9" w:rsidRPr="00143888">
        <w:rPr>
          <w:rFonts w:ascii="Times New Roman" w:hAnsi="Times New Roman" w:cs="Times New Roman"/>
          <w:sz w:val="24"/>
          <w:szCs w:val="24"/>
        </w:rPr>
        <w:t xml:space="preserve">-Jebel) with an elevation of approximately 450 meters above sea level, while the highest point is further west of Juba, at </w:t>
      </w:r>
      <w:proofErr w:type="spellStart"/>
      <w:r w:rsidR="00F144C9" w:rsidRPr="00143888">
        <w:rPr>
          <w:rFonts w:ascii="Times New Roman" w:hAnsi="Times New Roman" w:cs="Times New Roman"/>
          <w:sz w:val="24"/>
          <w:szCs w:val="24"/>
        </w:rPr>
        <w:t>Luri</w:t>
      </w:r>
      <w:proofErr w:type="spellEnd"/>
      <w:r w:rsidR="00F144C9" w:rsidRPr="00143888">
        <w:rPr>
          <w:rFonts w:ascii="Times New Roman" w:hAnsi="Times New Roman" w:cs="Times New Roman"/>
          <w:sz w:val="24"/>
          <w:szCs w:val="24"/>
        </w:rPr>
        <w:t xml:space="preserve"> with an elevation of about 780 meters above sea level. The core of Juba, including neighborhoods like </w:t>
      </w:r>
      <w:proofErr w:type="spellStart"/>
      <w:r w:rsidR="00F144C9" w:rsidRPr="00143888">
        <w:rPr>
          <w:rFonts w:ascii="Times New Roman" w:hAnsi="Times New Roman" w:cs="Times New Roman"/>
          <w:sz w:val="24"/>
          <w:szCs w:val="24"/>
        </w:rPr>
        <w:t>Gudele</w:t>
      </w:r>
      <w:proofErr w:type="spellEnd"/>
      <w:r w:rsidR="00F144C9" w:rsidRPr="00143888">
        <w:rPr>
          <w:rFonts w:ascii="Times New Roman" w:hAnsi="Times New Roman" w:cs="Times New Roman"/>
          <w:sz w:val="24"/>
          <w:szCs w:val="24"/>
        </w:rPr>
        <w:t xml:space="preserve">, </w:t>
      </w:r>
      <w:proofErr w:type="spellStart"/>
      <w:r w:rsidR="00F144C9" w:rsidRPr="00143888">
        <w:rPr>
          <w:rFonts w:ascii="Times New Roman" w:hAnsi="Times New Roman" w:cs="Times New Roman"/>
          <w:sz w:val="24"/>
          <w:szCs w:val="24"/>
        </w:rPr>
        <w:t>Munuki</w:t>
      </w:r>
      <w:proofErr w:type="spellEnd"/>
      <w:r w:rsidR="00F144C9" w:rsidRPr="00143888">
        <w:rPr>
          <w:rFonts w:ascii="Times New Roman" w:hAnsi="Times New Roman" w:cs="Times New Roman"/>
          <w:sz w:val="24"/>
          <w:szCs w:val="24"/>
        </w:rPr>
        <w:t xml:space="preserve">, Kator and Jebel, </w:t>
      </w:r>
      <w:proofErr w:type="gramStart"/>
      <w:r w:rsidR="00F144C9" w:rsidRPr="00143888">
        <w:rPr>
          <w:rFonts w:ascii="Times New Roman" w:hAnsi="Times New Roman" w:cs="Times New Roman"/>
          <w:sz w:val="24"/>
          <w:szCs w:val="24"/>
        </w:rPr>
        <w:t>les</w:t>
      </w:r>
      <w:proofErr w:type="gramEnd"/>
      <w:r w:rsidR="00F144C9" w:rsidRPr="00143888">
        <w:rPr>
          <w:rFonts w:ascii="Times New Roman" w:hAnsi="Times New Roman" w:cs="Times New Roman"/>
          <w:sz w:val="24"/>
          <w:szCs w:val="24"/>
        </w:rPr>
        <w:t xml:space="preserve"> at around 470-510 meters above sea level, with higher areas towards the </w:t>
      </w:r>
      <w:r w:rsidR="001D61B2" w:rsidRPr="00143888">
        <w:rPr>
          <w:rFonts w:ascii="Times New Roman" w:hAnsi="Times New Roman" w:cs="Times New Roman"/>
          <w:sz w:val="24"/>
          <w:szCs w:val="24"/>
        </w:rPr>
        <w:t xml:space="preserve">west or </w:t>
      </w:r>
      <w:proofErr w:type="gramStart"/>
      <w:r w:rsidR="001D61B2" w:rsidRPr="00143888">
        <w:rPr>
          <w:rFonts w:ascii="Times New Roman" w:hAnsi="Times New Roman" w:cs="Times New Roman"/>
          <w:sz w:val="24"/>
          <w:szCs w:val="24"/>
        </w:rPr>
        <w:t>south east</w:t>
      </w:r>
      <w:proofErr w:type="gramEnd"/>
      <w:r w:rsidR="00F144C9" w:rsidRPr="00143888">
        <w:rPr>
          <w:rFonts w:ascii="Times New Roman" w:hAnsi="Times New Roman" w:cs="Times New Roman"/>
          <w:sz w:val="24"/>
          <w:szCs w:val="24"/>
        </w:rPr>
        <w:t xml:space="preserve"> of the city (towards Yei </w:t>
      </w:r>
      <w:r w:rsidR="001D61B2" w:rsidRPr="00143888">
        <w:rPr>
          <w:rFonts w:ascii="Times New Roman" w:hAnsi="Times New Roman" w:cs="Times New Roman"/>
          <w:sz w:val="24"/>
          <w:szCs w:val="24"/>
        </w:rPr>
        <w:t xml:space="preserve">and Nimule </w:t>
      </w:r>
      <w:r w:rsidR="00F144C9" w:rsidRPr="00143888">
        <w:rPr>
          <w:rFonts w:ascii="Times New Roman" w:hAnsi="Times New Roman" w:cs="Times New Roman"/>
          <w:sz w:val="24"/>
          <w:szCs w:val="24"/>
        </w:rPr>
        <w:t>Highway</w:t>
      </w:r>
      <w:r w:rsidR="001D61B2" w:rsidRPr="00143888">
        <w:rPr>
          <w:rFonts w:ascii="Times New Roman" w:hAnsi="Times New Roman" w:cs="Times New Roman"/>
          <w:sz w:val="24"/>
          <w:szCs w:val="24"/>
        </w:rPr>
        <w:t>s,</w:t>
      </w:r>
      <w:r w:rsidR="00F144C9" w:rsidRPr="00143888">
        <w:rPr>
          <w:rFonts w:ascii="Times New Roman" w:hAnsi="Times New Roman" w:cs="Times New Roman"/>
          <w:sz w:val="24"/>
          <w:szCs w:val="24"/>
        </w:rPr>
        <w:t xml:space="preserve"> and Kajo-</w:t>
      </w:r>
      <w:proofErr w:type="spellStart"/>
      <w:r w:rsidR="00F144C9" w:rsidRPr="00143888">
        <w:rPr>
          <w:rFonts w:ascii="Times New Roman" w:hAnsi="Times New Roman" w:cs="Times New Roman"/>
          <w:sz w:val="24"/>
          <w:szCs w:val="24"/>
        </w:rPr>
        <w:t>keji</w:t>
      </w:r>
      <w:proofErr w:type="spellEnd"/>
      <w:r w:rsidR="00F144C9" w:rsidRPr="00143888">
        <w:rPr>
          <w:rFonts w:ascii="Times New Roman" w:hAnsi="Times New Roman" w:cs="Times New Roman"/>
          <w:sz w:val="24"/>
          <w:szCs w:val="24"/>
        </w:rPr>
        <w:t xml:space="preserve"> Road)</w:t>
      </w:r>
      <w:r w:rsidR="001D61B2" w:rsidRPr="00143888">
        <w:rPr>
          <w:rFonts w:ascii="Times New Roman" w:hAnsi="Times New Roman" w:cs="Times New Roman"/>
          <w:sz w:val="24"/>
          <w:szCs w:val="24"/>
        </w:rPr>
        <w:t>.</w:t>
      </w:r>
    </w:p>
    <w:p w14:paraId="21977F19" w14:textId="500518D7" w:rsidR="002D5656" w:rsidRPr="00143888" w:rsidRDefault="003F749E" w:rsidP="00143888">
      <w:pPr>
        <w:spacing w:line="360" w:lineRule="auto"/>
        <w:jc w:val="both"/>
        <w:rPr>
          <w:rFonts w:ascii="Times New Roman" w:hAnsi="Times New Roman" w:cs="Times New Roman"/>
          <w:sz w:val="24"/>
          <w:szCs w:val="24"/>
          <w:lang w:eastAsia="ja-JP"/>
        </w:rPr>
      </w:pPr>
      <w:r>
        <w:rPr>
          <w:noProof/>
        </w:rPr>
        <w:lastRenderedPageBreak/>
        <mc:AlternateContent>
          <mc:Choice Requires="wps">
            <w:drawing>
              <wp:anchor distT="0" distB="0" distL="114300" distR="114300" simplePos="0" relativeHeight="251673600" behindDoc="0" locked="0" layoutInCell="1" allowOverlap="1" wp14:anchorId="6E96E272" wp14:editId="61A90ED2">
                <wp:simplePos x="0" y="0"/>
                <wp:positionH relativeFrom="column">
                  <wp:posOffset>612140</wp:posOffset>
                </wp:positionH>
                <wp:positionV relativeFrom="paragraph">
                  <wp:posOffset>7753350</wp:posOffset>
                </wp:positionV>
                <wp:extent cx="4785995" cy="635"/>
                <wp:effectExtent l="0" t="0" r="0" b="0"/>
                <wp:wrapTopAndBottom/>
                <wp:docPr id="1670856250" name="Text Box 1"/>
                <wp:cNvGraphicFramePr/>
                <a:graphic xmlns:a="http://schemas.openxmlformats.org/drawingml/2006/main">
                  <a:graphicData uri="http://schemas.microsoft.com/office/word/2010/wordprocessingShape">
                    <wps:wsp>
                      <wps:cNvSpPr txBox="1"/>
                      <wps:spPr>
                        <a:xfrm>
                          <a:off x="0" y="0"/>
                          <a:ext cx="4785995" cy="635"/>
                        </a:xfrm>
                        <a:prstGeom prst="rect">
                          <a:avLst/>
                        </a:prstGeom>
                        <a:solidFill>
                          <a:prstClr val="white"/>
                        </a:solidFill>
                        <a:ln>
                          <a:noFill/>
                        </a:ln>
                      </wps:spPr>
                      <wps:txbx>
                        <w:txbxContent>
                          <w:p w14:paraId="2580345D" w14:textId="54AE18BF" w:rsidR="003F749E" w:rsidRPr="00B96FA4" w:rsidRDefault="003F749E" w:rsidP="003F749E">
                            <w:pPr>
                              <w:pStyle w:val="Caption"/>
                              <w:rPr>
                                <w:rFonts w:ascii="Times New Roman" w:hAnsi="Times New Roman" w:cs="Times New Roman"/>
                                <w:noProof/>
                                <w:lang w:eastAsia="ja-JP"/>
                              </w:rPr>
                            </w:pPr>
                            <w:r w:rsidRPr="003F749E">
                              <w:rPr>
                                <w:b/>
                                <w:bCs/>
                              </w:rPr>
                              <w:t xml:space="preserve">Figure </w:t>
                            </w:r>
                            <w:r w:rsidR="008B54A8">
                              <w:rPr>
                                <w:b/>
                                <w:bCs/>
                              </w:rPr>
                              <w:fldChar w:fldCharType="begin"/>
                            </w:r>
                            <w:r w:rsidR="008B54A8">
                              <w:rPr>
                                <w:b/>
                                <w:bCs/>
                              </w:rPr>
                              <w:instrText xml:space="preserve"> STYLEREF 1 \s </w:instrText>
                            </w:r>
                            <w:r w:rsidR="008B54A8">
                              <w:rPr>
                                <w:b/>
                                <w:bCs/>
                              </w:rPr>
                              <w:fldChar w:fldCharType="separate"/>
                            </w:r>
                            <w:r w:rsidR="00B76846">
                              <w:rPr>
                                <w:b/>
                                <w:bCs/>
                                <w:noProof/>
                              </w:rPr>
                              <w:t>4</w:t>
                            </w:r>
                            <w:r w:rsidR="008B54A8">
                              <w:rPr>
                                <w:b/>
                                <w:bCs/>
                              </w:rPr>
                              <w:fldChar w:fldCharType="end"/>
                            </w:r>
                            <w:r w:rsidR="008B54A8">
                              <w:rPr>
                                <w:b/>
                                <w:bCs/>
                              </w:rPr>
                              <w:noBreakHyphen/>
                            </w:r>
                            <w:r w:rsidR="008B54A8">
                              <w:rPr>
                                <w:b/>
                                <w:bCs/>
                              </w:rPr>
                              <w:fldChar w:fldCharType="begin"/>
                            </w:r>
                            <w:r w:rsidR="008B54A8">
                              <w:rPr>
                                <w:b/>
                                <w:bCs/>
                              </w:rPr>
                              <w:instrText xml:space="preserve"> SEQ Figure \* ARABIC \s 1 </w:instrText>
                            </w:r>
                            <w:r w:rsidR="008B54A8">
                              <w:rPr>
                                <w:b/>
                                <w:bCs/>
                              </w:rPr>
                              <w:fldChar w:fldCharType="separate"/>
                            </w:r>
                            <w:r w:rsidR="00B76846">
                              <w:rPr>
                                <w:b/>
                                <w:bCs/>
                                <w:noProof/>
                              </w:rPr>
                              <w:t>1</w:t>
                            </w:r>
                            <w:r w:rsidR="008B54A8">
                              <w:rPr>
                                <w:b/>
                                <w:bCs/>
                              </w:rPr>
                              <w:fldChar w:fldCharType="end"/>
                            </w:r>
                            <w:r w:rsidRPr="003F749E">
                              <w:rPr>
                                <w:b/>
                                <w:bCs/>
                              </w:rPr>
                              <w:t>:</w:t>
                            </w:r>
                            <w:r>
                              <w:t xml:space="preserve"> </w:t>
                            </w:r>
                            <w:r>
                              <w:rPr>
                                <w:i w:val="0"/>
                                <w:iCs w:val="0"/>
                              </w:rPr>
                              <w:t>Elevation of the Study area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96E272" id="_x0000_t202" coordsize="21600,21600" o:spt="202" path="m,l,21600r21600,l21600,xe">
                <v:stroke joinstyle="miter"/>
                <v:path gradientshapeok="t" o:connecttype="rect"/>
              </v:shapetype>
              <v:shape id="Text Box 1" o:spid="_x0000_s1030" type="#_x0000_t202" style="position:absolute;left:0;text-align:left;margin-left:48.2pt;margin-top:610.5pt;width:376.8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" stroked="f">
                <v:textbox style="mso-fit-shape-to-text:t" inset="0,0,0,0">
                  <w:txbxContent>
                    <w:p w14:paraId="2580345D" w14:textId="54AE18BF" w:rsidR="003F749E" w:rsidRPr="00B96FA4" w:rsidRDefault="003F749E" w:rsidP="003F749E">
                      <w:pPr>
                        <w:pStyle w:val="Caption"/>
                        <w:rPr>
                          <w:rFonts w:ascii="Times New Roman" w:hAnsi="Times New Roman" w:cs="Times New Roman"/>
                          <w:noProof/>
                          <w:lang w:eastAsia="ja-JP"/>
                        </w:rPr>
                      </w:pPr>
                      <w:r w:rsidRPr="003F749E">
                        <w:rPr>
                          <w:b/>
                          <w:bCs/>
                        </w:rPr>
                        <w:t xml:space="preserve">Figure </w:t>
                      </w:r>
                      <w:r w:rsidR="008B54A8">
                        <w:rPr>
                          <w:b/>
                          <w:bCs/>
                        </w:rPr>
                        <w:fldChar w:fldCharType="begin"/>
                      </w:r>
                      <w:r w:rsidR="008B54A8">
                        <w:rPr>
                          <w:b/>
                          <w:bCs/>
                        </w:rPr>
                        <w:instrText xml:space="preserve"> STYLEREF 1 \s </w:instrText>
                      </w:r>
                      <w:r w:rsidR="008B54A8">
                        <w:rPr>
                          <w:b/>
                          <w:bCs/>
                        </w:rPr>
                        <w:fldChar w:fldCharType="separate"/>
                      </w:r>
                      <w:r w:rsidR="00B76846">
                        <w:rPr>
                          <w:b/>
                          <w:bCs/>
                          <w:noProof/>
                        </w:rPr>
                        <w:t>4</w:t>
                      </w:r>
                      <w:r w:rsidR="008B54A8">
                        <w:rPr>
                          <w:b/>
                          <w:bCs/>
                        </w:rPr>
                        <w:fldChar w:fldCharType="end"/>
                      </w:r>
                      <w:r w:rsidR="008B54A8">
                        <w:rPr>
                          <w:b/>
                          <w:bCs/>
                        </w:rPr>
                        <w:noBreakHyphen/>
                      </w:r>
                      <w:r w:rsidR="008B54A8">
                        <w:rPr>
                          <w:b/>
                          <w:bCs/>
                        </w:rPr>
                        <w:fldChar w:fldCharType="begin"/>
                      </w:r>
                      <w:r w:rsidR="008B54A8">
                        <w:rPr>
                          <w:b/>
                          <w:bCs/>
                        </w:rPr>
                        <w:instrText xml:space="preserve"> SEQ Figure \* ARABIC \s 1 </w:instrText>
                      </w:r>
                      <w:r w:rsidR="008B54A8">
                        <w:rPr>
                          <w:b/>
                          <w:bCs/>
                        </w:rPr>
                        <w:fldChar w:fldCharType="separate"/>
                      </w:r>
                      <w:r w:rsidR="00B76846">
                        <w:rPr>
                          <w:b/>
                          <w:bCs/>
                          <w:noProof/>
                        </w:rPr>
                        <w:t>1</w:t>
                      </w:r>
                      <w:r w:rsidR="008B54A8">
                        <w:rPr>
                          <w:b/>
                          <w:bCs/>
                        </w:rPr>
                        <w:fldChar w:fldCharType="end"/>
                      </w:r>
                      <w:r w:rsidRPr="003F749E">
                        <w:rPr>
                          <w:b/>
                          <w:bCs/>
                        </w:rPr>
                        <w:t>:</w:t>
                      </w:r>
                      <w:r>
                        <w:t xml:space="preserve"> </w:t>
                      </w:r>
                      <w:r>
                        <w:rPr>
                          <w:i w:val="0"/>
                          <w:iCs w:val="0"/>
                        </w:rPr>
                        <w:t>Elevation of the Study area</w:t>
                      </w:r>
                    </w:p>
                  </w:txbxContent>
                </v:textbox>
                <w10:wrap type="topAndBottom"/>
              </v:shape>
            </w:pict>
          </mc:Fallback>
        </mc:AlternateContent>
      </w:r>
      <w:r w:rsidR="002D5656" w:rsidRPr="00143888">
        <w:rPr>
          <w:rFonts w:ascii="Times New Roman" w:hAnsi="Times New Roman" w:cs="Times New Roman"/>
          <w:noProof/>
          <w:sz w:val="24"/>
          <w:szCs w:val="24"/>
          <w:lang w:eastAsia="ja-JP"/>
        </w:rPr>
        <w:drawing>
          <wp:anchor distT="0" distB="0" distL="114300" distR="114300" simplePos="0" relativeHeight="251661312" behindDoc="0" locked="0" layoutInCell="1" allowOverlap="1" wp14:anchorId="3EEC78AB" wp14:editId="1CFF0BF9">
            <wp:simplePos x="0" y="0"/>
            <wp:positionH relativeFrom="column">
              <wp:posOffset>612363</wp:posOffset>
            </wp:positionH>
            <wp:positionV relativeFrom="paragraph">
              <wp:posOffset>0</wp:posOffset>
            </wp:positionV>
            <wp:extent cx="4786156" cy="7696380"/>
            <wp:effectExtent l="0" t="0" r="0" b="0"/>
            <wp:wrapTopAndBottom/>
            <wp:docPr id="105681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1786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86156" cy="7696380"/>
                    </a:xfrm>
                    <a:prstGeom prst="rect">
                      <a:avLst/>
                    </a:prstGeom>
                  </pic:spPr>
                </pic:pic>
              </a:graphicData>
            </a:graphic>
            <wp14:sizeRelH relativeFrom="page">
              <wp14:pctWidth>0</wp14:pctWidth>
            </wp14:sizeRelH>
            <wp14:sizeRelV relativeFrom="page">
              <wp14:pctHeight>0</wp14:pctHeight>
            </wp14:sizeRelV>
          </wp:anchor>
        </w:drawing>
      </w:r>
    </w:p>
    <w:p w14:paraId="403DDBE2" w14:textId="28E37202" w:rsidR="003B74BC" w:rsidRPr="003B74BC" w:rsidRDefault="003B74BC" w:rsidP="003B74BC">
      <w:pPr>
        <w:pStyle w:val="Heading2"/>
      </w:pPr>
      <w:r>
        <w:rPr>
          <w:noProof/>
        </w:rPr>
        <w:lastRenderedPageBreak/>
        <mc:AlternateContent>
          <mc:Choice Requires="wps">
            <w:drawing>
              <wp:anchor distT="0" distB="0" distL="114300" distR="114300" simplePos="0" relativeHeight="251677696" behindDoc="0" locked="0" layoutInCell="1" allowOverlap="1" wp14:anchorId="6FAA5729" wp14:editId="06155B33">
                <wp:simplePos x="0" y="0"/>
                <wp:positionH relativeFrom="margin">
                  <wp:align>right</wp:align>
                </wp:positionH>
                <wp:positionV relativeFrom="paragraph">
                  <wp:posOffset>5183060</wp:posOffset>
                </wp:positionV>
                <wp:extent cx="5907405" cy="635"/>
                <wp:effectExtent l="0" t="0" r="0" b="8255"/>
                <wp:wrapTopAndBottom/>
                <wp:docPr id="1653552266" name="Text Box 1"/>
                <wp:cNvGraphicFramePr/>
                <a:graphic xmlns:a="http://schemas.openxmlformats.org/drawingml/2006/main">
                  <a:graphicData uri="http://schemas.microsoft.com/office/word/2010/wordprocessingShape">
                    <wps:wsp>
                      <wps:cNvSpPr txBox="1"/>
                      <wps:spPr>
                        <a:xfrm>
                          <a:off x="0" y="0"/>
                          <a:ext cx="5907405" cy="635"/>
                        </a:xfrm>
                        <a:prstGeom prst="rect">
                          <a:avLst/>
                        </a:prstGeom>
                        <a:solidFill>
                          <a:prstClr val="white"/>
                        </a:solidFill>
                        <a:ln>
                          <a:noFill/>
                        </a:ln>
                      </wps:spPr>
                      <wps:txbx>
                        <w:txbxContent>
                          <w:p w14:paraId="620C13D3" w14:textId="4B44283E" w:rsidR="003B74BC" w:rsidRPr="005C6D5C" w:rsidRDefault="003B74BC" w:rsidP="003B74BC">
                            <w:pPr>
                              <w:pStyle w:val="Caption"/>
                              <w:jc w:val="center"/>
                              <w:rPr>
                                <w:rFonts w:ascii="Times New Roman" w:hAnsi="Times New Roman" w:cs="Times New Roman"/>
                                <w:noProof/>
                              </w:rPr>
                            </w:pPr>
                            <w:r w:rsidRPr="003B74BC">
                              <w:rPr>
                                <w:b/>
                                <w:bCs/>
                              </w:rPr>
                              <w:t xml:space="preserve">Figure </w:t>
                            </w:r>
                            <w:r w:rsidR="008B54A8">
                              <w:rPr>
                                <w:b/>
                                <w:bCs/>
                              </w:rPr>
                              <w:fldChar w:fldCharType="begin"/>
                            </w:r>
                            <w:r w:rsidR="008B54A8">
                              <w:rPr>
                                <w:b/>
                                <w:bCs/>
                              </w:rPr>
                              <w:instrText xml:space="preserve"> STYLEREF 1 \s </w:instrText>
                            </w:r>
                            <w:r w:rsidR="008B54A8">
                              <w:rPr>
                                <w:b/>
                                <w:bCs/>
                              </w:rPr>
                              <w:fldChar w:fldCharType="separate"/>
                            </w:r>
                            <w:r w:rsidR="00B76846">
                              <w:rPr>
                                <w:b/>
                                <w:bCs/>
                                <w:noProof/>
                              </w:rPr>
                              <w:t>4</w:t>
                            </w:r>
                            <w:r w:rsidR="008B54A8">
                              <w:rPr>
                                <w:b/>
                                <w:bCs/>
                              </w:rPr>
                              <w:fldChar w:fldCharType="end"/>
                            </w:r>
                            <w:r w:rsidR="008B54A8">
                              <w:rPr>
                                <w:b/>
                                <w:bCs/>
                              </w:rPr>
                              <w:noBreakHyphen/>
                            </w:r>
                            <w:r w:rsidR="008B54A8">
                              <w:rPr>
                                <w:b/>
                                <w:bCs/>
                              </w:rPr>
                              <w:fldChar w:fldCharType="begin"/>
                            </w:r>
                            <w:r w:rsidR="008B54A8">
                              <w:rPr>
                                <w:b/>
                                <w:bCs/>
                              </w:rPr>
                              <w:instrText xml:space="preserve"> SEQ Figure \* ARABIC \s 1 </w:instrText>
                            </w:r>
                            <w:r w:rsidR="008B54A8">
                              <w:rPr>
                                <w:b/>
                                <w:bCs/>
                              </w:rPr>
                              <w:fldChar w:fldCharType="separate"/>
                            </w:r>
                            <w:r w:rsidR="00B76846">
                              <w:rPr>
                                <w:b/>
                                <w:bCs/>
                                <w:noProof/>
                              </w:rPr>
                              <w:t>2</w:t>
                            </w:r>
                            <w:r w:rsidR="008B54A8">
                              <w:rPr>
                                <w:b/>
                                <w:bCs/>
                              </w:rPr>
                              <w:fldChar w:fldCharType="end"/>
                            </w:r>
                            <w:r w:rsidRPr="003B74BC">
                              <w:rPr>
                                <w:b/>
                                <w:bCs/>
                              </w:rPr>
                              <w:t>:</w:t>
                            </w:r>
                            <w:r>
                              <w:t xml:space="preserve"> </w:t>
                            </w:r>
                            <w:r w:rsidRPr="003B74BC">
                              <w:rPr>
                                <w:i w:val="0"/>
                                <w:iCs w:val="0"/>
                              </w:rPr>
                              <w:t>Prediction Analysis</w:t>
                            </w:r>
                            <w:r>
                              <w:rPr>
                                <w:i w:val="0"/>
                                <w:iCs w:val="0"/>
                              </w:rPr>
                              <w:t xml:space="preserve"> – time-series map (A)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AA5729" id="_x0000_s1031" type="#_x0000_t202" style="position:absolute;left:0;text-align:left;margin-left:413.95pt;margin-top:408.1pt;width:465.15pt;height:.05pt;z-index:25167769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" stroked="f">
                <v:textbox style="mso-fit-shape-to-text:t" inset="0,0,0,0">
                  <w:txbxContent>
                    <w:p w14:paraId="620C13D3" w14:textId="4B44283E" w:rsidR="003B74BC" w:rsidRPr="005C6D5C" w:rsidRDefault="003B74BC" w:rsidP="003B74BC">
                      <w:pPr>
                        <w:pStyle w:val="Caption"/>
                        <w:jc w:val="center"/>
                        <w:rPr>
                          <w:rFonts w:ascii="Times New Roman" w:hAnsi="Times New Roman" w:cs="Times New Roman"/>
                          <w:noProof/>
                        </w:rPr>
                      </w:pPr>
                      <w:r w:rsidRPr="003B74BC">
                        <w:rPr>
                          <w:b/>
                          <w:bCs/>
                        </w:rPr>
                        <w:t xml:space="preserve">Figure </w:t>
                      </w:r>
                      <w:r w:rsidR="008B54A8">
                        <w:rPr>
                          <w:b/>
                          <w:bCs/>
                        </w:rPr>
                        <w:fldChar w:fldCharType="begin"/>
                      </w:r>
                      <w:r w:rsidR="008B54A8">
                        <w:rPr>
                          <w:b/>
                          <w:bCs/>
                        </w:rPr>
                        <w:instrText xml:space="preserve"> STYLEREF 1 \s </w:instrText>
                      </w:r>
                      <w:r w:rsidR="008B54A8">
                        <w:rPr>
                          <w:b/>
                          <w:bCs/>
                        </w:rPr>
                        <w:fldChar w:fldCharType="separate"/>
                      </w:r>
                      <w:r w:rsidR="00B76846">
                        <w:rPr>
                          <w:b/>
                          <w:bCs/>
                          <w:noProof/>
                        </w:rPr>
                        <w:t>4</w:t>
                      </w:r>
                      <w:r w:rsidR="008B54A8">
                        <w:rPr>
                          <w:b/>
                          <w:bCs/>
                        </w:rPr>
                        <w:fldChar w:fldCharType="end"/>
                      </w:r>
                      <w:r w:rsidR="008B54A8">
                        <w:rPr>
                          <w:b/>
                          <w:bCs/>
                        </w:rPr>
                        <w:noBreakHyphen/>
                      </w:r>
                      <w:r w:rsidR="008B54A8">
                        <w:rPr>
                          <w:b/>
                          <w:bCs/>
                        </w:rPr>
                        <w:fldChar w:fldCharType="begin"/>
                      </w:r>
                      <w:r w:rsidR="008B54A8">
                        <w:rPr>
                          <w:b/>
                          <w:bCs/>
                        </w:rPr>
                        <w:instrText xml:space="preserve"> SEQ Figure \* ARABIC \s 1 </w:instrText>
                      </w:r>
                      <w:r w:rsidR="008B54A8">
                        <w:rPr>
                          <w:b/>
                          <w:bCs/>
                        </w:rPr>
                        <w:fldChar w:fldCharType="separate"/>
                      </w:r>
                      <w:r w:rsidR="00B76846">
                        <w:rPr>
                          <w:b/>
                          <w:bCs/>
                          <w:noProof/>
                        </w:rPr>
                        <w:t>2</w:t>
                      </w:r>
                      <w:r w:rsidR="008B54A8">
                        <w:rPr>
                          <w:b/>
                          <w:bCs/>
                        </w:rPr>
                        <w:fldChar w:fldCharType="end"/>
                      </w:r>
                      <w:r w:rsidRPr="003B74BC">
                        <w:rPr>
                          <w:b/>
                          <w:bCs/>
                        </w:rPr>
                        <w:t>:</w:t>
                      </w:r>
                      <w:r>
                        <w:t xml:space="preserve"> </w:t>
                      </w:r>
                      <w:r w:rsidRPr="003B74BC">
                        <w:rPr>
                          <w:i w:val="0"/>
                          <w:iCs w:val="0"/>
                        </w:rPr>
                        <w:t>Prediction Analysis</w:t>
                      </w:r>
                      <w:r>
                        <w:rPr>
                          <w:i w:val="0"/>
                          <w:iCs w:val="0"/>
                        </w:rPr>
                        <w:t xml:space="preserve"> – time-series map (A)</w:t>
                      </w:r>
                    </w:p>
                  </w:txbxContent>
                </v:textbox>
                <w10:wrap type="topAndBottom" anchorx="margin"/>
              </v:shape>
            </w:pict>
          </mc:Fallback>
        </mc:AlternateContent>
      </w:r>
      <w:r w:rsidRPr="00143888">
        <w:rPr>
          <w:rFonts w:ascii="Times New Roman" w:hAnsi="Times New Roman" w:cs="Times New Roman"/>
          <w:noProof/>
          <w:sz w:val="24"/>
          <w:szCs w:val="24"/>
        </w:rPr>
        <w:drawing>
          <wp:anchor distT="0" distB="0" distL="114300" distR="114300" simplePos="0" relativeHeight="251662336" behindDoc="0" locked="0" layoutInCell="1" allowOverlap="1" wp14:anchorId="73BD94BE" wp14:editId="4AC7C46A">
            <wp:simplePos x="0" y="0"/>
            <wp:positionH relativeFrom="margin">
              <wp:align>right</wp:align>
            </wp:positionH>
            <wp:positionV relativeFrom="paragraph">
              <wp:posOffset>361067</wp:posOffset>
            </wp:positionV>
            <wp:extent cx="5907405" cy="4724400"/>
            <wp:effectExtent l="0" t="0" r="0" b="0"/>
            <wp:wrapTopAndBottom/>
            <wp:docPr id="44108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8690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07405" cy="4724400"/>
                    </a:xfrm>
                    <a:prstGeom prst="rect">
                      <a:avLst/>
                    </a:prstGeom>
                  </pic:spPr>
                </pic:pic>
              </a:graphicData>
            </a:graphic>
            <wp14:sizeRelH relativeFrom="page">
              <wp14:pctWidth>0</wp14:pctWidth>
            </wp14:sizeRelH>
            <wp14:sizeRelV relativeFrom="page">
              <wp14:pctHeight>0</wp14:pctHeight>
            </wp14:sizeRelV>
          </wp:anchor>
        </w:drawing>
      </w:r>
      <w:r w:rsidR="003F749E" w:rsidRPr="00143888">
        <w:t>Analysis of land cover changes in the study area</w:t>
      </w:r>
    </w:p>
    <w:p w14:paraId="71D98F8F" w14:textId="42654F05" w:rsidR="003B74BC" w:rsidRDefault="003B74BC" w:rsidP="003B74BC">
      <w:pPr>
        <w:spacing w:line="360" w:lineRule="auto"/>
        <w:jc w:val="both"/>
        <w:rPr>
          <w:rFonts w:ascii="Times New Roman" w:hAnsi="Times New Roman" w:cs="Times New Roman"/>
          <w:bCs/>
          <w:sz w:val="24"/>
          <w:szCs w:val="24"/>
        </w:rPr>
      </w:pPr>
    </w:p>
    <w:p w14:paraId="47FB8CF3" w14:textId="389972E5" w:rsidR="003B74BC" w:rsidRPr="00143888" w:rsidRDefault="003B74BC" w:rsidP="003B74BC">
      <w:pPr>
        <w:pStyle w:val="Heading3"/>
      </w:pPr>
      <w:r w:rsidRPr="00143888">
        <w:t>Built-up Areas</w:t>
      </w:r>
    </w:p>
    <w:p w14:paraId="185B1F38" w14:textId="794DE69E" w:rsidR="003B74BC" w:rsidRPr="00143888" w:rsidRDefault="003B74BC" w:rsidP="003B74BC">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built-up area in the Juba region has shown a marked and consistent increase across the study periods. During the 1994-2003 period, the built-up area was 9.44 sq km, occupying just 1.6% of the 580.08 sq km study area. </w:t>
      </w:r>
    </w:p>
    <w:p w14:paraId="7AC9721E" w14:textId="1F51795C" w:rsidR="003B74BC" w:rsidRPr="00143888" w:rsidRDefault="003B74BC" w:rsidP="003B74BC">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By the 2004-2013 period, this area expanded significantly to 43.11 sq km (7.4%), reflecting rapid urbanization in Juba, likely driven by population growth and post-conflict development following South Sudan’s Comprehensive Peace Agreement (CPA), which ended decades of conflict. The growth continued into the post-independence period, from 2014-2023, with the built-up area reaching 54.72 sq km (9.4%). The predicted built-up area for the 2024-2033 period is 81.93 sq km </w:t>
      </w:r>
      <w:r w:rsidRPr="00143888">
        <w:rPr>
          <w:rFonts w:ascii="Times New Roman" w:hAnsi="Times New Roman" w:cs="Times New Roman"/>
          <w:sz w:val="24"/>
          <w:szCs w:val="24"/>
        </w:rPr>
        <w:lastRenderedPageBreak/>
        <w:t>(14.1%), suggesting continued urban development. Wider expansions of built-up areas followed patterns along infrastructure corridors.</w:t>
      </w:r>
    </w:p>
    <w:p w14:paraId="0A1EDDAD" w14:textId="4BCA561E" w:rsidR="0019640C" w:rsidRDefault="003B74BC" w:rsidP="003B74BC">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Growth Rates:</w:t>
      </w:r>
      <w:r w:rsidRPr="00143888">
        <w:rPr>
          <w:rFonts w:ascii="Times New Roman" w:hAnsi="Times New Roman" w:cs="Times New Roman"/>
          <w:sz w:val="24"/>
          <w:szCs w:val="24"/>
        </w:rPr>
        <w:t xml:space="preserve"> From the 1994-2003 period to the 2004-2013 period, the built-up area increased at an annual rate of 3.37 sq km/year over the 10-year interval, aligning with Juba’s rapid development, from a state capital to an autonomous regional capital and finally to the country’s capital city (July 9</w:t>
      </w:r>
      <w:r w:rsidRPr="00143888">
        <w:rPr>
          <w:rFonts w:ascii="Times New Roman" w:hAnsi="Times New Roman" w:cs="Times New Roman"/>
          <w:sz w:val="24"/>
          <w:szCs w:val="24"/>
          <w:vertAlign w:val="superscript"/>
        </w:rPr>
        <w:t>th</w:t>
      </w:r>
      <w:proofErr w:type="gramStart"/>
      <w:r w:rsidRPr="00143888">
        <w:rPr>
          <w:rFonts w:ascii="Times New Roman" w:hAnsi="Times New Roman" w:cs="Times New Roman"/>
          <w:sz w:val="24"/>
          <w:szCs w:val="24"/>
        </w:rPr>
        <w:t xml:space="preserve"> 2011</w:t>
      </w:r>
      <w:proofErr w:type="gramEnd"/>
      <w:r w:rsidRPr="00143888">
        <w:rPr>
          <w:rFonts w:ascii="Times New Roman" w:hAnsi="Times New Roman" w:cs="Times New Roman"/>
          <w:sz w:val="24"/>
          <w:szCs w:val="24"/>
        </w:rPr>
        <w:t>, onwards). From the 2004-2013 period to the 2014-2023 period, the annual growth rate slowed to 1.16 sq km/year, possibly due to a stabilization of urban expansion as available land becomes scarcer or development shifts to infilling – alternatively, it could draw inferences from a conflict that arose in 2013 just after independence, and again in 2016, which both did not spare the study area. The average annual growth rate from 1994 to 2023 is 2.26 sq km/year, indicating a sustained upward trend in urbanization over the three decades. For the predicted 2024-2033 period, the annual growth rate is expected to be 2.72 sq km/year, suggesting a resurgence in urban expansion.</w:t>
      </w:r>
    </w:p>
    <w:p w14:paraId="1151BD4B" w14:textId="77777777" w:rsidR="003B74BC" w:rsidRPr="003B74BC" w:rsidRDefault="003B74BC" w:rsidP="003B74BC">
      <w:pPr>
        <w:spacing w:line="360" w:lineRule="auto"/>
        <w:jc w:val="both"/>
        <w:rPr>
          <w:rFonts w:ascii="Times New Roman" w:hAnsi="Times New Roman" w:cs="Times New Roman"/>
          <w:sz w:val="24"/>
          <w:szCs w:val="24"/>
        </w:rPr>
      </w:pPr>
    </w:p>
    <w:p w14:paraId="4D465834" w14:textId="77777777" w:rsidR="003B74BC" w:rsidRDefault="003B74BC" w:rsidP="003B74BC">
      <w:pPr>
        <w:keepNext/>
        <w:spacing w:line="360" w:lineRule="auto"/>
        <w:jc w:val="both"/>
      </w:pPr>
      <w:r w:rsidRPr="00143888">
        <w:rPr>
          <w:rFonts w:ascii="Times New Roman" w:hAnsi="Times New Roman" w:cs="Times New Roman"/>
          <w:noProof/>
          <w:sz w:val="24"/>
          <w:szCs w:val="24"/>
        </w:rPr>
        <w:drawing>
          <wp:inline distT="0" distB="0" distL="0" distR="0" wp14:anchorId="6D162909" wp14:editId="272EBCBC">
            <wp:extent cx="5983605" cy="3757295"/>
            <wp:effectExtent l="0" t="0" r="0" b="8255"/>
            <wp:docPr id="2026118865" name="Picture 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570807" name="Picture 10" descr="A screenshot of a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83605" cy="3757295"/>
                    </a:xfrm>
                    <a:prstGeom prst="rect">
                      <a:avLst/>
                    </a:prstGeom>
                  </pic:spPr>
                </pic:pic>
              </a:graphicData>
            </a:graphic>
          </wp:inline>
        </w:drawing>
      </w:r>
    </w:p>
    <w:p w14:paraId="7AF40AFB" w14:textId="760731E3" w:rsidR="00343284" w:rsidRPr="003B74BC" w:rsidRDefault="003B74BC" w:rsidP="003B74BC">
      <w:pPr>
        <w:pStyle w:val="Caption"/>
        <w:jc w:val="both"/>
        <w:rPr>
          <w:rFonts w:ascii="Times New Roman" w:hAnsi="Times New Roman" w:cs="Times New Roman"/>
          <w:i w:val="0"/>
          <w:iCs w:val="0"/>
          <w:sz w:val="24"/>
          <w:szCs w:val="24"/>
        </w:rPr>
      </w:pPr>
      <w:r w:rsidRPr="003B74BC">
        <w:rPr>
          <w:b/>
          <w:bCs/>
        </w:rPr>
        <w:t xml:space="preserve">Figure </w:t>
      </w:r>
      <w:r w:rsidR="008B54A8">
        <w:rPr>
          <w:b/>
          <w:bCs/>
        </w:rPr>
        <w:fldChar w:fldCharType="begin"/>
      </w:r>
      <w:r w:rsidR="008B54A8">
        <w:rPr>
          <w:b/>
          <w:bCs/>
        </w:rPr>
        <w:instrText xml:space="preserve"> STYLEREF 1 \s </w:instrText>
      </w:r>
      <w:r w:rsidR="008B54A8">
        <w:rPr>
          <w:b/>
          <w:bCs/>
        </w:rPr>
        <w:fldChar w:fldCharType="separate"/>
      </w:r>
      <w:r w:rsidR="00B76846">
        <w:rPr>
          <w:b/>
          <w:bCs/>
          <w:noProof/>
        </w:rPr>
        <w:t>4</w:t>
      </w:r>
      <w:r w:rsidR="008B54A8">
        <w:rPr>
          <w:b/>
          <w:bCs/>
        </w:rPr>
        <w:fldChar w:fldCharType="end"/>
      </w:r>
      <w:r w:rsidR="008B54A8">
        <w:rPr>
          <w:b/>
          <w:bCs/>
        </w:rPr>
        <w:noBreakHyphen/>
      </w:r>
      <w:r w:rsidR="008B54A8">
        <w:rPr>
          <w:b/>
          <w:bCs/>
        </w:rPr>
        <w:fldChar w:fldCharType="begin"/>
      </w:r>
      <w:r w:rsidR="008B54A8">
        <w:rPr>
          <w:b/>
          <w:bCs/>
        </w:rPr>
        <w:instrText xml:space="preserve"> SEQ Figure \* ARABIC \s 1 </w:instrText>
      </w:r>
      <w:r w:rsidR="008B54A8">
        <w:rPr>
          <w:b/>
          <w:bCs/>
        </w:rPr>
        <w:fldChar w:fldCharType="separate"/>
      </w:r>
      <w:r w:rsidR="00B76846">
        <w:rPr>
          <w:b/>
          <w:bCs/>
          <w:noProof/>
        </w:rPr>
        <w:t>3</w:t>
      </w:r>
      <w:r w:rsidR="008B54A8">
        <w:rPr>
          <w:b/>
          <w:bCs/>
        </w:rPr>
        <w:fldChar w:fldCharType="end"/>
      </w:r>
      <w:r w:rsidRPr="003B74BC">
        <w:rPr>
          <w:b/>
          <w:bCs/>
        </w:rPr>
        <w:t xml:space="preserve">: </w:t>
      </w:r>
      <w:r w:rsidRPr="003B74BC">
        <w:rPr>
          <w:i w:val="0"/>
          <w:iCs w:val="0"/>
        </w:rPr>
        <w:t xml:space="preserve">Prediction Analysis – </w:t>
      </w:r>
      <w:proofErr w:type="spellStart"/>
      <w:r w:rsidRPr="003B74BC">
        <w:rPr>
          <w:i w:val="0"/>
          <w:iCs w:val="0"/>
        </w:rPr>
        <w:t>timeseires</w:t>
      </w:r>
      <w:proofErr w:type="spellEnd"/>
      <w:r w:rsidRPr="003B74BC">
        <w:rPr>
          <w:i w:val="0"/>
          <w:iCs w:val="0"/>
        </w:rPr>
        <w:t xml:space="preserve"> 1994-2033 (B)</w:t>
      </w:r>
    </w:p>
    <w:p w14:paraId="74090D32" w14:textId="77777777" w:rsidR="003B74BC" w:rsidRPr="00143888" w:rsidRDefault="003B74BC" w:rsidP="00143888">
      <w:pPr>
        <w:spacing w:line="360" w:lineRule="auto"/>
        <w:jc w:val="both"/>
        <w:rPr>
          <w:rFonts w:ascii="Times New Roman" w:hAnsi="Times New Roman" w:cs="Times New Roman"/>
          <w:sz w:val="24"/>
          <w:szCs w:val="24"/>
        </w:rPr>
      </w:pPr>
    </w:p>
    <w:p w14:paraId="23B37E0C" w14:textId="77777777" w:rsidR="00BB7326" w:rsidRPr="00143888" w:rsidRDefault="00BB7326" w:rsidP="003B74BC">
      <w:pPr>
        <w:pStyle w:val="Heading3"/>
      </w:pPr>
      <w:bookmarkStart w:id="10" w:name="_1gmsuju8uro1" w:colFirst="0" w:colLast="0"/>
      <w:bookmarkEnd w:id="10"/>
      <w:r w:rsidRPr="00143888">
        <w:lastRenderedPageBreak/>
        <w:t>Bare Ground</w:t>
      </w:r>
    </w:p>
    <w:p w14:paraId="37F7477C" w14:textId="47CF1E92"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Bare ground coverage displayed notable fluctuations over the study periods. In the 1994-2003 period, bare ground covered 77.12 sq km, accounting for 13.3% of the study area. This increased to 87.49 sq km (15.1%) by the 2004-2013 period, possibly due to land clearing for urban expansion, agriculture, or infrastructure development during this period of rapid growth. However, by the 2014-2023 period, bare ground decreased to 63.78 sq km (11.0%), possibly due to the conversion of bare ground into built-up areas</w:t>
      </w:r>
      <w:r w:rsidR="00071F80" w:rsidRPr="00143888">
        <w:rPr>
          <w:rFonts w:ascii="Times New Roman" w:hAnsi="Times New Roman" w:cs="Times New Roman"/>
          <w:sz w:val="24"/>
          <w:szCs w:val="24"/>
        </w:rPr>
        <w:t>,</w:t>
      </w:r>
      <w:r w:rsidRPr="00143888">
        <w:rPr>
          <w:rFonts w:ascii="Times New Roman" w:hAnsi="Times New Roman" w:cs="Times New Roman"/>
          <w:sz w:val="24"/>
          <w:szCs w:val="24"/>
        </w:rPr>
        <w:t xml:space="preserve"> the regrowth of vegetative cover</w:t>
      </w:r>
      <w:r w:rsidR="00071F80" w:rsidRPr="00143888">
        <w:rPr>
          <w:rFonts w:ascii="Times New Roman" w:hAnsi="Times New Roman" w:cs="Times New Roman"/>
          <w:sz w:val="24"/>
          <w:szCs w:val="24"/>
        </w:rPr>
        <w:t>, or retraction of settlements from areas that were further expanding due to conflict(s)</w:t>
      </w:r>
      <w:r w:rsidRPr="00143888">
        <w:rPr>
          <w:rFonts w:ascii="Times New Roman" w:hAnsi="Times New Roman" w:cs="Times New Roman"/>
          <w:sz w:val="24"/>
          <w:szCs w:val="24"/>
        </w:rPr>
        <w:t>. The prediction for the 2024-2033 period shows a slight increase to 66.63 sq km (11.5%), indicating a potential stabilization or minor expansion of bare ground.</w:t>
      </w:r>
    </w:p>
    <w:p w14:paraId="247E3192" w14:textId="4C93F93E"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Growth Rates:</w:t>
      </w:r>
      <w:r w:rsidRPr="00143888">
        <w:rPr>
          <w:rFonts w:ascii="Times New Roman" w:hAnsi="Times New Roman" w:cs="Times New Roman"/>
          <w:sz w:val="24"/>
          <w:szCs w:val="24"/>
        </w:rPr>
        <w:t xml:space="preserve"> From the 1994-2003 period to the 2004-2013 period, bare ground increased at an annual rate of 1.04 sq km/year. However, from the 2004-2013 period to the 2014-2023 period, it decreased at a rate of -2.37 sq km/year, reflecting a significant reduction. For the predicted 2024-2033 period, bare ground is expected to grow at a rate of 0.29 sq km/year, suggesting </w:t>
      </w:r>
      <w:proofErr w:type="gramStart"/>
      <w:r w:rsidRPr="00143888">
        <w:rPr>
          <w:rFonts w:ascii="Times New Roman" w:hAnsi="Times New Roman" w:cs="Times New Roman"/>
          <w:sz w:val="24"/>
          <w:szCs w:val="24"/>
        </w:rPr>
        <w:t>a modest</w:t>
      </w:r>
      <w:proofErr w:type="gramEnd"/>
      <w:r w:rsidRPr="00143888">
        <w:rPr>
          <w:rFonts w:ascii="Times New Roman" w:hAnsi="Times New Roman" w:cs="Times New Roman"/>
          <w:sz w:val="24"/>
          <w:szCs w:val="24"/>
        </w:rPr>
        <w:t xml:space="preserve"> </w:t>
      </w:r>
      <w:r w:rsidR="00071F80" w:rsidRPr="00143888">
        <w:rPr>
          <w:rFonts w:ascii="Times New Roman" w:hAnsi="Times New Roman" w:cs="Times New Roman"/>
          <w:sz w:val="24"/>
          <w:szCs w:val="24"/>
        </w:rPr>
        <w:t>growth</w:t>
      </w:r>
      <w:r w:rsidRPr="00143888">
        <w:rPr>
          <w:rFonts w:ascii="Times New Roman" w:hAnsi="Times New Roman" w:cs="Times New Roman"/>
          <w:sz w:val="24"/>
          <w:szCs w:val="24"/>
        </w:rPr>
        <w:t>, possibly due to new land clearing activities as urban development continues.</w:t>
      </w:r>
    </w:p>
    <w:p w14:paraId="1840797F" w14:textId="77777777" w:rsidR="00BB7326" w:rsidRPr="00143888" w:rsidRDefault="00BB7326" w:rsidP="003B74BC">
      <w:pPr>
        <w:pStyle w:val="Heading3"/>
      </w:pPr>
      <w:r w:rsidRPr="00143888">
        <w:t>Surface Water</w:t>
      </w:r>
    </w:p>
    <w:p w14:paraId="7C81AD3D" w14:textId="58C88E51"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Surface water, primarily associated with the White Nile (Bahr </w:t>
      </w:r>
      <w:proofErr w:type="spellStart"/>
      <w:r w:rsidRPr="00143888">
        <w:rPr>
          <w:rFonts w:ascii="Times New Roman" w:hAnsi="Times New Roman" w:cs="Times New Roman"/>
          <w:sz w:val="24"/>
          <w:szCs w:val="24"/>
        </w:rPr>
        <w:t>el</w:t>
      </w:r>
      <w:proofErr w:type="spellEnd"/>
      <w:r w:rsidRPr="00143888">
        <w:rPr>
          <w:rFonts w:ascii="Times New Roman" w:hAnsi="Times New Roman" w:cs="Times New Roman"/>
          <w:sz w:val="24"/>
          <w:szCs w:val="24"/>
        </w:rPr>
        <w:t xml:space="preserve"> Jebel), remained relatively stable with minor variations across the periods. In the 1994-2003 period, surface water covered 10.28 sq km, or 1.8% of the study area. This increased slightly to 11.13 sq km (1.9%) by the 2004-2013 period, possibly due to </w:t>
      </w:r>
      <w:r w:rsidR="00B43490" w:rsidRPr="00143888">
        <w:rPr>
          <w:rFonts w:ascii="Times New Roman" w:hAnsi="Times New Roman" w:cs="Times New Roman"/>
          <w:sz w:val="24"/>
          <w:szCs w:val="24"/>
        </w:rPr>
        <w:t>seasonal changes</w:t>
      </w:r>
      <w:r w:rsidRPr="00143888">
        <w:rPr>
          <w:rFonts w:ascii="Times New Roman" w:hAnsi="Times New Roman" w:cs="Times New Roman"/>
          <w:sz w:val="24"/>
          <w:szCs w:val="24"/>
        </w:rPr>
        <w:t>, improved detection in Landsat imagery, or minor changes in the river’s course. By the 2014-2023 period, surface water slightly decreased to 10.86 sq km (1.9%), potentially reflecting natural variability, or drier climatic conditions. The predicted surface water area for the 2024-2033 period is 11.67 sq km (2.0%), suggesting a potential rise in water coverage.</w:t>
      </w:r>
    </w:p>
    <w:p w14:paraId="15DFEE88" w14:textId="1471F025"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Growth Rates:</w:t>
      </w:r>
      <w:r w:rsidRPr="00143888">
        <w:rPr>
          <w:rFonts w:ascii="Times New Roman" w:hAnsi="Times New Roman" w:cs="Times New Roman"/>
          <w:sz w:val="24"/>
          <w:szCs w:val="24"/>
        </w:rPr>
        <w:t xml:space="preserve"> From the 1994-2003 period to the 2004-2013 period, surface water increased at an annual rate of 0.09 sq km/year. From the 2004-2013 period to the 2014-2023 period, it decreased at a rate of -0.03 sq km/year. For the predicted 2024-2033 period, surface water is expected to </w:t>
      </w:r>
      <w:r w:rsidR="00B43490" w:rsidRPr="00143888">
        <w:rPr>
          <w:rFonts w:ascii="Times New Roman" w:hAnsi="Times New Roman" w:cs="Times New Roman"/>
          <w:sz w:val="24"/>
          <w:szCs w:val="24"/>
        </w:rPr>
        <w:t>increase</w:t>
      </w:r>
      <w:r w:rsidRPr="00143888">
        <w:rPr>
          <w:rFonts w:ascii="Times New Roman" w:hAnsi="Times New Roman" w:cs="Times New Roman"/>
          <w:sz w:val="24"/>
          <w:szCs w:val="24"/>
        </w:rPr>
        <w:t xml:space="preserve"> at a rate of 0.08 sq km/year, indicating a slight rise in water coverage, possibly due to increased precipitation</w:t>
      </w:r>
      <w:r w:rsidR="00B43490" w:rsidRPr="00143888">
        <w:rPr>
          <w:rFonts w:ascii="Times New Roman" w:hAnsi="Times New Roman" w:cs="Times New Roman"/>
          <w:sz w:val="24"/>
          <w:szCs w:val="24"/>
        </w:rPr>
        <w:t>, or</w:t>
      </w:r>
      <w:r w:rsidRPr="00143888">
        <w:rPr>
          <w:rFonts w:ascii="Times New Roman" w:hAnsi="Times New Roman" w:cs="Times New Roman"/>
          <w:sz w:val="24"/>
          <w:szCs w:val="24"/>
        </w:rPr>
        <w:t xml:space="preserve"> flooding events.</w:t>
      </w:r>
    </w:p>
    <w:p w14:paraId="4ACE8423" w14:textId="77777777" w:rsidR="00BB7326" w:rsidRPr="00143888" w:rsidRDefault="00BB7326" w:rsidP="003B74BC">
      <w:pPr>
        <w:pStyle w:val="Heading3"/>
      </w:pPr>
      <w:r w:rsidRPr="00143888">
        <w:t>Vegetative Cover</w:t>
      </w:r>
    </w:p>
    <w:p w14:paraId="6FB01D69" w14:textId="54A4FF46"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Vegetative cover, the dominant land cover type in the </w:t>
      </w:r>
      <w:r w:rsidR="00B43490" w:rsidRPr="00143888">
        <w:rPr>
          <w:rFonts w:ascii="Times New Roman" w:hAnsi="Times New Roman" w:cs="Times New Roman"/>
          <w:sz w:val="24"/>
          <w:szCs w:val="24"/>
        </w:rPr>
        <w:t>study area</w:t>
      </w:r>
      <w:r w:rsidRPr="00143888">
        <w:rPr>
          <w:rFonts w:ascii="Times New Roman" w:hAnsi="Times New Roman" w:cs="Times New Roman"/>
          <w:sz w:val="24"/>
          <w:szCs w:val="24"/>
        </w:rPr>
        <w:t xml:space="preserve">, experienced a decline followed by a partial recovery, with a projected decrease in the future. During the 1994-2003 period, </w:t>
      </w:r>
      <w:r w:rsidRPr="00143888">
        <w:rPr>
          <w:rFonts w:ascii="Times New Roman" w:hAnsi="Times New Roman" w:cs="Times New Roman"/>
          <w:sz w:val="24"/>
          <w:szCs w:val="24"/>
        </w:rPr>
        <w:lastRenderedPageBreak/>
        <w:t xml:space="preserve">vegetative cover spanned 483.24 sq km, comprising 83.3% of the 580.08 sq km study area. By the 2004-2013 period, it decreased to 438.34 sq km (75.5%), likely due to urban expansion and land clearing for bare ground, particularly in areas </w:t>
      </w:r>
      <w:r w:rsidR="00B43490" w:rsidRPr="00143888">
        <w:rPr>
          <w:rFonts w:ascii="Times New Roman" w:hAnsi="Times New Roman" w:cs="Times New Roman"/>
          <w:sz w:val="24"/>
          <w:szCs w:val="24"/>
        </w:rPr>
        <w:t>further from the core city suburbs</w:t>
      </w:r>
      <w:r w:rsidRPr="00143888">
        <w:rPr>
          <w:rFonts w:ascii="Times New Roman" w:hAnsi="Times New Roman" w:cs="Times New Roman"/>
          <w:sz w:val="24"/>
          <w:szCs w:val="24"/>
        </w:rPr>
        <w:t xml:space="preserve">. By the 2014-2023 period, vegetative cover increased to 450.73 sq km (77.7%), indicating some natural regrowth or </w:t>
      </w:r>
      <w:r w:rsidR="00B43490" w:rsidRPr="00143888">
        <w:rPr>
          <w:rFonts w:ascii="Times New Roman" w:hAnsi="Times New Roman" w:cs="Times New Roman"/>
          <w:sz w:val="24"/>
          <w:szCs w:val="24"/>
        </w:rPr>
        <w:t>conflict related, as areas further from the core city became insecure</w:t>
      </w:r>
      <w:r w:rsidRPr="00143888">
        <w:rPr>
          <w:rFonts w:ascii="Times New Roman" w:hAnsi="Times New Roman" w:cs="Times New Roman"/>
          <w:sz w:val="24"/>
          <w:szCs w:val="24"/>
        </w:rPr>
        <w:t>. However, the prediction for the 2024-2033 period shows a decline to 419.85 sq km (72.4%), suggesting future pressure from continued urbanization and land use changes.</w:t>
      </w:r>
    </w:p>
    <w:p w14:paraId="52653829" w14:textId="36FD14A6"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Growth Rates:</w:t>
      </w:r>
      <w:r w:rsidRPr="00143888">
        <w:rPr>
          <w:rFonts w:ascii="Times New Roman" w:hAnsi="Times New Roman" w:cs="Times New Roman"/>
          <w:sz w:val="24"/>
          <w:szCs w:val="24"/>
        </w:rPr>
        <w:t xml:space="preserve"> From the 1994-2003 period to the 2004-2013 period, vegetative cover decreased at an annual rate of -4.49 sq km/year. From the 2004-2013 period to the 2014-2023 period, it increased at a rate of 1.24 sq km/year, suggesting natural regrowth</w:t>
      </w:r>
      <w:r w:rsidR="00B43490" w:rsidRPr="00143888">
        <w:rPr>
          <w:rFonts w:ascii="Times New Roman" w:hAnsi="Times New Roman" w:cs="Times New Roman"/>
          <w:sz w:val="24"/>
          <w:szCs w:val="24"/>
        </w:rPr>
        <w:t>, or seasonal patterns</w:t>
      </w:r>
      <w:r w:rsidRPr="00143888">
        <w:rPr>
          <w:rFonts w:ascii="Times New Roman" w:hAnsi="Times New Roman" w:cs="Times New Roman"/>
          <w:sz w:val="24"/>
          <w:szCs w:val="24"/>
        </w:rPr>
        <w:t>. For the predicted 2024-2033 period, vegetative cover is expected to decrease at a rate of -3.09 sq km/year, indicating future pressure from urbanization, potentially exacerbating habitat loss and environmental degradation.</w:t>
      </w:r>
    </w:p>
    <w:p w14:paraId="0220A003" w14:textId="77777777" w:rsidR="00B43490" w:rsidRPr="00143888" w:rsidRDefault="00B43490" w:rsidP="00143888">
      <w:pPr>
        <w:spacing w:line="360" w:lineRule="auto"/>
        <w:jc w:val="both"/>
        <w:rPr>
          <w:rFonts w:ascii="Times New Roman" w:hAnsi="Times New Roman" w:cs="Times New Roman"/>
          <w:sz w:val="24"/>
          <w:szCs w:val="24"/>
        </w:rPr>
      </w:pPr>
    </w:p>
    <w:p w14:paraId="51181F58" w14:textId="638EA6C1" w:rsidR="00FD7D6C" w:rsidRPr="003B74BC" w:rsidRDefault="00BB7326" w:rsidP="003B74BC">
      <w:pPr>
        <w:pStyle w:val="Heading3"/>
      </w:pPr>
      <w:r w:rsidRPr="00143888">
        <w:t>Overall Trends and Implications</w:t>
      </w:r>
    </w:p>
    <w:p w14:paraId="6D76B342" w14:textId="77777777" w:rsidR="000F05DC"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land cover analysis reveals a clear trend of urbanization in the </w:t>
      </w:r>
      <w:r w:rsidR="00B43490" w:rsidRPr="00143888">
        <w:rPr>
          <w:rFonts w:ascii="Times New Roman" w:hAnsi="Times New Roman" w:cs="Times New Roman"/>
          <w:sz w:val="24"/>
          <w:szCs w:val="24"/>
        </w:rPr>
        <w:t>study area</w:t>
      </w:r>
      <w:r w:rsidRPr="00143888">
        <w:rPr>
          <w:rFonts w:ascii="Times New Roman" w:hAnsi="Times New Roman" w:cs="Times New Roman"/>
          <w:sz w:val="24"/>
          <w:szCs w:val="24"/>
        </w:rPr>
        <w:t xml:space="preserve">, with the built-up area increasing nearly ninefold from the 1994-2003 period to the projected 2024-2033 period, primarily at the expense of vegetative cover, which shows a net decline from 83.3% to 72.4% of the study area over the 40-year span. Bare ground peaks in the 2004-2013 period but decreases thereafter, while surface water remains relatively stable, with a slight projected increase by 2024-2033. </w:t>
      </w:r>
    </w:p>
    <w:p w14:paraId="2BF94188" w14:textId="1453C9F0" w:rsidR="000F05DC"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growth rates </w:t>
      </w:r>
      <w:r w:rsidR="000F05DC" w:rsidRPr="00143888">
        <w:rPr>
          <w:rFonts w:ascii="Times New Roman" w:hAnsi="Times New Roman" w:cs="Times New Roman"/>
          <w:sz w:val="24"/>
          <w:szCs w:val="24"/>
        </w:rPr>
        <w:t>are reflective of</w:t>
      </w:r>
      <w:r w:rsidRPr="00143888">
        <w:rPr>
          <w:rFonts w:ascii="Times New Roman" w:hAnsi="Times New Roman" w:cs="Times New Roman"/>
          <w:sz w:val="24"/>
          <w:szCs w:val="24"/>
        </w:rPr>
        <w:t xml:space="preserve"> the dynamic interplay between land cover classes: built-up area consistently grows, with a notable resurgence in the 2024-2033 period (2.72 sq km/year), while vegetative cover faces significant declines (-3.09 sq km/year in 2024-2033). Bare ground shows variability, with a slight predicted increase (0.29 sq km/year), and surface water remains stable with minor growth (0.08 sq km/year). These changes align with Juba’s growth as a capital city, as evidenced by the expansion of neighborhoods</w:t>
      </w:r>
      <w:r w:rsidR="000F05DC" w:rsidRPr="00143888">
        <w:rPr>
          <w:rFonts w:ascii="Times New Roman" w:hAnsi="Times New Roman" w:cs="Times New Roman"/>
          <w:sz w:val="24"/>
          <w:szCs w:val="24"/>
        </w:rPr>
        <w:t xml:space="preserve"> further from the core, primarily three Payams of Juba City</w:t>
      </w:r>
      <w:r w:rsidRPr="00143888">
        <w:rPr>
          <w:rFonts w:ascii="Times New Roman" w:hAnsi="Times New Roman" w:cs="Times New Roman"/>
          <w:sz w:val="24"/>
          <w:szCs w:val="24"/>
        </w:rPr>
        <w:t xml:space="preserve">. </w:t>
      </w:r>
    </w:p>
    <w:p w14:paraId="1F68CDC9" w14:textId="4FDF3A89" w:rsidR="005D6B8B" w:rsidRPr="004D61D9"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predicted decline in vegetative cover raises concerns about habitat loss, soil erosion, and environmental degradation, particularly in a region with </w:t>
      </w:r>
      <w:r w:rsidR="000F05DC" w:rsidRPr="00143888">
        <w:rPr>
          <w:rFonts w:ascii="Times New Roman" w:hAnsi="Times New Roman" w:cs="Times New Roman"/>
          <w:sz w:val="24"/>
          <w:szCs w:val="24"/>
        </w:rPr>
        <w:t>variations in to</w:t>
      </w:r>
      <w:r w:rsidRPr="00143888">
        <w:rPr>
          <w:rFonts w:ascii="Times New Roman" w:hAnsi="Times New Roman" w:cs="Times New Roman"/>
          <w:sz w:val="24"/>
          <w:szCs w:val="24"/>
        </w:rPr>
        <w:t xml:space="preserve">pography (430-800 meters elevation) prone to flooding along the White Nile. </w:t>
      </w:r>
    </w:p>
    <w:p w14:paraId="35D149D4" w14:textId="0AB41F78" w:rsidR="005E75C9" w:rsidRPr="005E75C9" w:rsidRDefault="005D6B8B" w:rsidP="005E75C9">
      <w:pPr>
        <w:pStyle w:val="Heading1"/>
      </w:pPr>
      <w:r w:rsidRPr="00143888">
        <w:lastRenderedPageBreak/>
        <w:t>Discussion</w:t>
      </w:r>
      <w:r w:rsidR="004D61D9">
        <w:t xml:space="preserve"> and Conclusion</w:t>
      </w:r>
      <w:r w:rsidR="005E75C9" w:rsidRPr="000F0885">
        <w:rPr>
          <w:noProof/>
        </w:rPr>
        <mc:AlternateContent>
          <mc:Choice Requires="wps">
            <w:drawing>
              <wp:anchor distT="91440" distB="91440" distL="365760" distR="365760" simplePos="0" relativeHeight="251679744" behindDoc="0" locked="0" layoutInCell="1" allowOverlap="1" wp14:anchorId="06860DFD" wp14:editId="717857D9">
                <wp:simplePos x="0" y="0"/>
                <wp:positionH relativeFrom="margin">
                  <wp:align>left</wp:align>
                </wp:positionH>
                <wp:positionV relativeFrom="margin">
                  <wp:posOffset>753110</wp:posOffset>
                </wp:positionV>
                <wp:extent cx="5984875" cy="3581400"/>
                <wp:effectExtent l="0" t="0" r="0" b="0"/>
                <wp:wrapTopAndBottom/>
                <wp:docPr id="1492532873" name="Rectangle 152"/>
                <wp:cNvGraphicFramePr/>
                <a:graphic xmlns:a="http://schemas.openxmlformats.org/drawingml/2006/main">
                  <a:graphicData uri="http://schemas.microsoft.com/office/word/2010/wordprocessingShape">
                    <wps:wsp>
                      <wps:cNvSpPr/>
                      <wps:spPr>
                        <a:xfrm>
                          <a:off x="0" y="0"/>
                          <a:ext cx="5984875" cy="3581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CB202C" w14:textId="77777777" w:rsidR="005E75C9" w:rsidRPr="004D61D9" w:rsidRDefault="005E75C9" w:rsidP="005E75C9">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r w:rsidRPr="004D61D9">
                              <w:rPr>
                                <w:rFonts w:ascii="Times New Roman" w:hAnsi="Times New Roman" w:cs="Times New Roman"/>
                                <w:color w:val="4F81BD" w:themeColor="accent1"/>
                              </w:rPr>
                              <w:t xml:space="preserve"> </w:t>
                            </w:r>
                          </w:p>
                          <w:p w14:paraId="1D56552E" w14:textId="311494B6" w:rsidR="005E75C9" w:rsidRPr="000F0885" w:rsidRDefault="005E75C9" w:rsidP="005E75C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5E75C9">
                              <w:rPr>
                                <w:rFonts w:ascii="Times New Roman" w:hAnsi="Times New Roman" w:cs="Times New Roman"/>
                                <w:color w:val="4F81BD" w:themeColor="accent1"/>
                              </w:rPr>
                              <w:t>The Random Forest classifier demonstrated consistently high performance across all study periods, with overall accuracy ranging from 97.56% to 100% based on 82 validation pixels per period. The 1994-2003 period achieved perfect classification (100% accuracy) for all land cover classes (Urban, Bare, Water, and Vegetation). Accuracy slightly declined to 97.56% in 2004-2013, primarily due to bare ground misclassifications (PA/UA of 92.31%). Performance improved to 98.78% in 2014-2023 as bare ground classification accuracy increased to 96.15%. Urban, water, and vegetation classes maintained perfect accuracy (100% PA/UA) throughout all periods. The bare ground class showed the only classification challenges, with errors typically being misclassified as urban. The high overall accuracy scores (averaging 98.78%) validate the model's reliability for land cover analysis in this study. The consistent performance across three decades suggests robust classification methodology, though the bare ground class could benefit from additional training samples or spectral feature enhancements to further minimize its marginal misclassification rate.</w:t>
                            </w:r>
                          </w:p>
                          <w:p w14:paraId="679A6345" w14:textId="77777777" w:rsidR="005E75C9" w:rsidRPr="000F0885" w:rsidRDefault="005E75C9" w:rsidP="005E75C9">
                            <w:pPr>
                              <w:pStyle w:val="NoSpacing"/>
                              <w:spacing w:before="240"/>
                              <w:jc w:val="both"/>
                              <w:rPr>
                                <w:rFonts w:ascii="Times New Roman" w:hAnsi="Times New Roman" w:cs="Times New Roman"/>
                                <w:color w:val="4F81BD" w:themeColor="accent1"/>
                              </w:rPr>
                            </w:pP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860DFD" id="_x0000_s1032" style="position:absolute;left:0;text-align:left;margin-left:0;margin-top:59.3pt;width:471.25pt;height:282pt;z-index:251679744;visibility:visible;mso-wrap-style:square;mso-width-percent:0;mso-height-percent:0;mso-wrap-distance-left:28.8pt;mso-wrap-distance-top:7.2pt;mso-wrap-distance-right:28.8pt;mso-wrap-distance-bottom:7.2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" filled="f" stroked="f" strokeweight="2pt">
                <v:textbox inset="10.8pt,0,10.8pt,0">
                  <w:txbxContent>
                    <w:p w14:paraId="2ECB202C" w14:textId="77777777" w:rsidR="005E75C9" w:rsidRPr="004D61D9" w:rsidRDefault="005E75C9" w:rsidP="005E75C9">
                      <w:pPr>
                        <w:pStyle w:val="NoSpacing"/>
                        <w:jc w:val="both"/>
                        <w:rPr>
                          <w:rFonts w:ascii="Times New Roman" w:hAnsi="Times New Roman" w:cs="Times New Roman"/>
                          <w:color w:val="4F81BD" w:themeColor="accent1"/>
                        </w:rPr>
                      </w:pPr>
                      <w:r w:rsidRPr="000F0885">
                        <w:rPr>
                          <w:rFonts w:ascii="Times New Roman" w:hAnsi="Times New Roman" w:cs="Times New Roman"/>
                          <w:noProof/>
                          <w:color w:val="4F81BD" w:themeColor="accent1"/>
                        </w:rPr>
                        <w:t>Chapter Summary</w:t>
                      </w:r>
                      <w:r w:rsidRPr="004D61D9">
                        <w:rPr>
                          <w:rFonts w:ascii="Times New Roman" w:hAnsi="Times New Roman" w:cs="Times New Roman"/>
                          <w:color w:val="4F81BD" w:themeColor="accent1"/>
                        </w:rPr>
                        <w:t xml:space="preserve"> </w:t>
                      </w:r>
                    </w:p>
                    <w:p w14:paraId="1D56552E" w14:textId="311494B6" w:rsidR="005E75C9" w:rsidRPr="000F0885" w:rsidRDefault="005E75C9" w:rsidP="005E75C9">
                      <w:pPr>
                        <w:pStyle w:val="NoSpacing"/>
                        <w:pBdr>
                          <w:top w:val="single" w:sz="6" w:space="10" w:color="4F81BD" w:themeColor="accent1"/>
                          <w:left w:val="single" w:sz="2" w:space="10" w:color="FFFFFF" w:themeColor="background1"/>
                          <w:bottom w:val="single" w:sz="6" w:space="10" w:color="4F81BD" w:themeColor="accent1"/>
                          <w:right w:val="single" w:sz="2" w:space="10" w:color="FFFFFF" w:themeColor="background1"/>
                        </w:pBdr>
                        <w:spacing w:before="240" w:after="240" w:line="360" w:lineRule="auto"/>
                        <w:jc w:val="both"/>
                        <w:rPr>
                          <w:rFonts w:ascii="Times New Roman" w:hAnsi="Times New Roman" w:cs="Times New Roman"/>
                          <w:color w:val="4F81BD" w:themeColor="accent1"/>
                        </w:rPr>
                      </w:pPr>
                      <w:r w:rsidRPr="005E75C9">
                        <w:rPr>
                          <w:rFonts w:ascii="Times New Roman" w:hAnsi="Times New Roman" w:cs="Times New Roman"/>
                          <w:color w:val="4F81BD" w:themeColor="accent1"/>
                        </w:rPr>
                        <w:t>The Random Forest classifier demonstrated consistently high performance across all study periods, with overall accuracy ranging from 97.56% to 100% based on 82 validation pixels per period. The 1994-2003 period achieved perfect classification (100% accuracy) for all land cover classes (Urban, Bare, Water, and Vegetation). Accuracy slightly declined to 97.56% in 2004-2013, primarily due to bare ground misclassifications (PA/UA of 92.31%). Performance improved to 98.78% in 2014-2023 as bare ground classification accuracy increased to 96.15%. Urban, water, and vegetation classes maintained perfect accuracy (100% PA/UA) throughout all periods. The bare ground class showed the only classification challenges, with errors typically being misclassified as urban. The high overall accuracy scores (averaging 98.78%) validate the model's reliability for land cover analysis in this study. The consistent performance across three decades suggests robust classification methodology, though the bare ground class could benefit from additional training samples or spectral feature enhancements to further minimize its marginal misclassification rate.</w:t>
                      </w:r>
                    </w:p>
                    <w:p w14:paraId="679A6345" w14:textId="77777777" w:rsidR="005E75C9" w:rsidRPr="000F0885" w:rsidRDefault="005E75C9" w:rsidP="005E75C9">
                      <w:pPr>
                        <w:pStyle w:val="NoSpacing"/>
                        <w:spacing w:before="240"/>
                        <w:jc w:val="both"/>
                        <w:rPr>
                          <w:rFonts w:ascii="Times New Roman" w:hAnsi="Times New Roman" w:cs="Times New Roman"/>
                          <w:color w:val="4F81BD" w:themeColor="accent1"/>
                        </w:rPr>
                      </w:pPr>
                    </w:p>
                  </w:txbxContent>
                </v:textbox>
                <w10:wrap type="topAndBottom" anchorx="margin" anchory="margin"/>
              </v:rect>
            </w:pict>
          </mc:Fallback>
        </mc:AlternateContent>
      </w:r>
    </w:p>
    <w:p w14:paraId="12333A32" w14:textId="6EDEB807" w:rsidR="005E75C9" w:rsidRPr="005E75C9" w:rsidRDefault="00725BB7" w:rsidP="005E75C9">
      <w:pPr>
        <w:pStyle w:val="Heading2"/>
      </w:pPr>
      <w:r>
        <w:t xml:space="preserve">Summary: </w:t>
      </w:r>
      <w:r w:rsidR="00BB7326" w:rsidRPr="00143888">
        <w:t xml:space="preserve">Land Cover Transition and Predicted Growth Rates for the 2024-2033 Period in the </w:t>
      </w:r>
      <w:r w:rsidR="005D6B8B" w:rsidRPr="00143888">
        <w:t>Study area</w:t>
      </w:r>
    </w:p>
    <w:p w14:paraId="2BD60D2E" w14:textId="77777777" w:rsidR="00766C6C" w:rsidRPr="00143888" w:rsidRDefault="00766C6C" w:rsidP="00143888">
      <w:pPr>
        <w:spacing w:line="360" w:lineRule="auto"/>
        <w:jc w:val="both"/>
        <w:rPr>
          <w:rFonts w:ascii="Times New Roman" w:hAnsi="Times New Roman" w:cs="Times New Roman"/>
          <w:bCs/>
          <w:sz w:val="24"/>
          <w:szCs w:val="24"/>
        </w:rPr>
      </w:pPr>
    </w:p>
    <w:p w14:paraId="50FAFE96" w14:textId="6B69F4D0" w:rsidR="000F05DC" w:rsidRPr="00143888" w:rsidRDefault="000F05DC" w:rsidP="00143888">
      <w:pPr>
        <w:spacing w:line="360" w:lineRule="auto"/>
        <w:jc w:val="both"/>
        <w:rPr>
          <w:rFonts w:ascii="Times New Roman" w:hAnsi="Times New Roman" w:cs="Times New Roman"/>
          <w:sz w:val="24"/>
          <w:szCs w:val="24"/>
        </w:rPr>
      </w:pPr>
    </w:p>
    <w:p w14:paraId="14D7D8BE" w14:textId="01094EFD" w:rsidR="00BB7326" w:rsidRPr="00143888" w:rsidRDefault="000F05DC"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 xml:space="preserve">Summary of Predicted </w:t>
      </w:r>
      <w:r w:rsidR="00BB7326" w:rsidRPr="00143888">
        <w:rPr>
          <w:rFonts w:ascii="Times New Roman" w:hAnsi="Times New Roman" w:cs="Times New Roman"/>
          <w:bCs/>
          <w:sz w:val="24"/>
          <w:szCs w:val="24"/>
        </w:rPr>
        <w:t>Land Cover Transition (2014-2023 to 2024-2033)</w:t>
      </w:r>
    </w:p>
    <w:p w14:paraId="37A2A194" w14:textId="74EC03CB"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 xml:space="preserve">The transition from the 2014-2023 period to the 2024-2033 period </w:t>
      </w:r>
      <w:proofErr w:type="gramStart"/>
      <w:r w:rsidR="005D6B8B" w:rsidRPr="00143888">
        <w:rPr>
          <w:rFonts w:ascii="Times New Roman" w:hAnsi="Times New Roman" w:cs="Times New Roman"/>
          <w:sz w:val="24"/>
          <w:szCs w:val="24"/>
        </w:rPr>
        <w:t>indicate</w:t>
      </w:r>
      <w:proofErr w:type="gramEnd"/>
      <w:r w:rsidRPr="00143888">
        <w:rPr>
          <w:rFonts w:ascii="Times New Roman" w:hAnsi="Times New Roman" w:cs="Times New Roman"/>
          <w:sz w:val="24"/>
          <w:szCs w:val="24"/>
        </w:rPr>
        <w:t xml:space="preserve"> significant changes in the distribution of land cover classes within the 580.08 sq km study area:</w:t>
      </w:r>
    </w:p>
    <w:p w14:paraId="06C013A4" w14:textId="1899C1BD"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Built-up Area:</w:t>
      </w:r>
      <w:r w:rsidRPr="00143888">
        <w:rPr>
          <w:rFonts w:ascii="Times New Roman" w:hAnsi="Times New Roman" w:cs="Times New Roman"/>
          <w:sz w:val="24"/>
          <w:szCs w:val="24"/>
        </w:rPr>
        <w:t xml:space="preserve"> The built-up area is predicted to increase from 54.72 sq km (9.4% of the study area) in 2014-2023 to 81.93 sq km (14.1%) in 2024-2033, a net gain of 27.21 sq km. The increase suggests that approximately 4.7% of the study area (27.21 sq km) will transition into built-up </w:t>
      </w:r>
      <w:proofErr w:type="gramStart"/>
      <w:r w:rsidRPr="00143888">
        <w:rPr>
          <w:rFonts w:ascii="Times New Roman" w:hAnsi="Times New Roman" w:cs="Times New Roman"/>
          <w:sz w:val="24"/>
          <w:szCs w:val="24"/>
        </w:rPr>
        <w:t>area</w:t>
      </w:r>
      <w:proofErr w:type="gramEnd"/>
      <w:r w:rsidRPr="00143888">
        <w:rPr>
          <w:rFonts w:ascii="Times New Roman" w:hAnsi="Times New Roman" w:cs="Times New Roman"/>
          <w:sz w:val="24"/>
          <w:szCs w:val="24"/>
        </w:rPr>
        <w:t>, primarily at the expense of other land cover types.</w:t>
      </w:r>
    </w:p>
    <w:p w14:paraId="49D10B8C" w14:textId="12EF3717"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lastRenderedPageBreak/>
        <w:t>Bare Ground:</w:t>
      </w:r>
      <w:r w:rsidRPr="00143888">
        <w:rPr>
          <w:rFonts w:ascii="Times New Roman" w:hAnsi="Times New Roman" w:cs="Times New Roman"/>
          <w:sz w:val="24"/>
          <w:szCs w:val="24"/>
        </w:rPr>
        <w:t xml:space="preserve"> Bare ground is expected to rise slightly from 63.78 sq km (11.0%) in 2014-2023 to 66.63 sq km (11.5%) in 2024-2033, a net increase of 2.85 sq km. This modest gain of 0.5% of the study area indicates potential new land clearing activities, as a precursor to further urban development or agricultural expansion, though the overall change is relatively small.</w:t>
      </w:r>
    </w:p>
    <w:p w14:paraId="7D4C7320" w14:textId="3E46C8DB"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Surface Water:</w:t>
      </w:r>
      <w:r w:rsidRPr="00143888">
        <w:rPr>
          <w:rFonts w:ascii="Times New Roman" w:hAnsi="Times New Roman" w:cs="Times New Roman"/>
          <w:sz w:val="24"/>
          <w:szCs w:val="24"/>
        </w:rPr>
        <w:t xml:space="preserve"> Surface water is projected to increase</w:t>
      </w:r>
      <w:r w:rsidR="000F05DC" w:rsidRPr="00143888">
        <w:rPr>
          <w:rFonts w:ascii="Times New Roman" w:hAnsi="Times New Roman" w:cs="Times New Roman"/>
          <w:sz w:val="24"/>
          <w:szCs w:val="24"/>
        </w:rPr>
        <w:t xml:space="preserve"> by 0.1%,</w:t>
      </w:r>
      <w:r w:rsidRPr="00143888">
        <w:rPr>
          <w:rFonts w:ascii="Times New Roman" w:hAnsi="Times New Roman" w:cs="Times New Roman"/>
          <w:sz w:val="24"/>
          <w:szCs w:val="24"/>
        </w:rPr>
        <w:t xml:space="preserve"> from 10.86 sq km (1.9%) in 2014-2023 to 11.67 sq km (2.0%) in 2024-2033, a net gain of 0.81 sq km. </w:t>
      </w:r>
    </w:p>
    <w:p w14:paraId="78E982A4" w14:textId="690387ED" w:rsidR="00BB7326"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Vegetative Cover:</w:t>
      </w:r>
      <w:r w:rsidRPr="00143888">
        <w:rPr>
          <w:rFonts w:ascii="Times New Roman" w:hAnsi="Times New Roman" w:cs="Times New Roman"/>
          <w:sz w:val="24"/>
          <w:szCs w:val="24"/>
        </w:rPr>
        <w:t xml:space="preserve"> Vegetative cover, the dominant land cover type, is predicted to decrease from 450.73 sq km (77.7%) in 2014-2023 to 419.85 sq km (72.4%) in 2024-2033, a net loss of 30.88 sq km. Th</w:t>
      </w:r>
      <w:r w:rsidR="000F05DC" w:rsidRPr="00143888">
        <w:rPr>
          <w:rFonts w:ascii="Times New Roman" w:hAnsi="Times New Roman" w:cs="Times New Roman"/>
          <w:sz w:val="24"/>
          <w:szCs w:val="24"/>
        </w:rPr>
        <w:t>e</w:t>
      </w:r>
      <w:r w:rsidRPr="00143888">
        <w:rPr>
          <w:rFonts w:ascii="Times New Roman" w:hAnsi="Times New Roman" w:cs="Times New Roman"/>
          <w:sz w:val="24"/>
          <w:szCs w:val="24"/>
        </w:rPr>
        <w:t xml:space="preserve"> decline represent</w:t>
      </w:r>
      <w:r w:rsidR="000F05DC" w:rsidRPr="00143888">
        <w:rPr>
          <w:rFonts w:ascii="Times New Roman" w:hAnsi="Times New Roman" w:cs="Times New Roman"/>
          <w:sz w:val="24"/>
          <w:szCs w:val="24"/>
        </w:rPr>
        <w:t>s</w:t>
      </w:r>
      <w:r w:rsidRPr="00143888">
        <w:rPr>
          <w:rFonts w:ascii="Times New Roman" w:hAnsi="Times New Roman" w:cs="Times New Roman"/>
          <w:sz w:val="24"/>
          <w:szCs w:val="24"/>
        </w:rPr>
        <w:t xml:space="preserve"> 5.3% of the study area, largely driven by the expansion of built-up </w:t>
      </w:r>
      <w:proofErr w:type="gramStart"/>
      <w:r w:rsidRPr="00143888">
        <w:rPr>
          <w:rFonts w:ascii="Times New Roman" w:hAnsi="Times New Roman" w:cs="Times New Roman"/>
          <w:sz w:val="24"/>
          <w:szCs w:val="24"/>
        </w:rPr>
        <w:t>area</w:t>
      </w:r>
      <w:proofErr w:type="gramEnd"/>
      <w:r w:rsidRPr="00143888">
        <w:rPr>
          <w:rFonts w:ascii="Times New Roman" w:hAnsi="Times New Roman" w:cs="Times New Roman"/>
          <w:sz w:val="24"/>
          <w:szCs w:val="24"/>
        </w:rPr>
        <w:t>, with some vegetative cover likely converting to bare ground as well.</w:t>
      </w:r>
    </w:p>
    <w:p w14:paraId="2BAC7988" w14:textId="0763C7DE" w:rsidR="008B54A8" w:rsidRPr="00143888" w:rsidRDefault="008B54A8" w:rsidP="00143888">
      <w:pPr>
        <w:spacing w:line="36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83840" behindDoc="0" locked="0" layoutInCell="1" allowOverlap="1" wp14:anchorId="19F7393C" wp14:editId="5844EF1D">
                <wp:simplePos x="0" y="0"/>
                <wp:positionH relativeFrom="column">
                  <wp:posOffset>48260</wp:posOffset>
                </wp:positionH>
                <wp:positionV relativeFrom="paragraph">
                  <wp:posOffset>4112895</wp:posOffset>
                </wp:positionV>
                <wp:extent cx="5878830" cy="635"/>
                <wp:effectExtent l="0" t="0" r="0" b="0"/>
                <wp:wrapTopAndBottom/>
                <wp:docPr id="1938203388" name="Text Box 1"/>
                <wp:cNvGraphicFramePr/>
                <a:graphic xmlns:a="http://schemas.openxmlformats.org/drawingml/2006/main">
                  <a:graphicData uri="http://schemas.microsoft.com/office/word/2010/wordprocessingShape">
                    <wps:wsp>
                      <wps:cNvSpPr txBox="1"/>
                      <wps:spPr>
                        <a:xfrm>
                          <a:off x="0" y="0"/>
                          <a:ext cx="5878830" cy="635"/>
                        </a:xfrm>
                        <a:prstGeom prst="rect">
                          <a:avLst/>
                        </a:prstGeom>
                        <a:solidFill>
                          <a:prstClr val="white"/>
                        </a:solidFill>
                        <a:ln>
                          <a:noFill/>
                        </a:ln>
                      </wps:spPr>
                      <wps:txbx>
                        <w:txbxContent>
                          <w:p w14:paraId="50B7D334" w14:textId="14B75596" w:rsidR="008B54A8" w:rsidRPr="006845EC" w:rsidRDefault="008B54A8" w:rsidP="008B54A8">
                            <w:pPr>
                              <w:pStyle w:val="Caption"/>
                              <w:jc w:val="center"/>
                              <w:rPr>
                                <w:rFonts w:ascii="Times New Roman" w:hAnsi="Times New Roman" w:cs="Times New Roman"/>
                                <w:noProof/>
                              </w:rPr>
                            </w:pPr>
                            <w:r w:rsidRPr="008B54A8">
                              <w:rPr>
                                <w:b/>
                                <w:bCs/>
                              </w:rPr>
                              <w:t xml:space="preserve">Figure </w:t>
                            </w:r>
                            <w:r w:rsidRPr="008B54A8">
                              <w:rPr>
                                <w:b/>
                                <w:bCs/>
                              </w:rPr>
                              <w:fldChar w:fldCharType="begin"/>
                            </w:r>
                            <w:r w:rsidRPr="008B54A8">
                              <w:rPr>
                                <w:b/>
                                <w:bCs/>
                              </w:rPr>
                              <w:instrText xml:space="preserve"> STYLEREF 1 \s </w:instrText>
                            </w:r>
                            <w:r w:rsidRPr="008B54A8">
                              <w:rPr>
                                <w:b/>
                                <w:bCs/>
                              </w:rPr>
                              <w:fldChar w:fldCharType="separate"/>
                            </w:r>
                            <w:r w:rsidR="00B76846">
                              <w:rPr>
                                <w:b/>
                                <w:bCs/>
                                <w:noProof/>
                              </w:rPr>
                              <w:t>5</w:t>
                            </w:r>
                            <w:r w:rsidRPr="008B54A8">
                              <w:rPr>
                                <w:b/>
                                <w:bCs/>
                              </w:rPr>
                              <w:fldChar w:fldCharType="end"/>
                            </w:r>
                            <w:r w:rsidRPr="008B54A8">
                              <w:rPr>
                                <w:b/>
                                <w:bCs/>
                              </w:rPr>
                              <w:noBreakHyphen/>
                            </w:r>
                            <w:r w:rsidRPr="008B54A8">
                              <w:rPr>
                                <w:b/>
                                <w:bCs/>
                              </w:rPr>
                              <w:fldChar w:fldCharType="begin"/>
                            </w:r>
                            <w:r w:rsidRPr="008B54A8">
                              <w:rPr>
                                <w:b/>
                                <w:bCs/>
                              </w:rPr>
                              <w:instrText xml:space="preserve"> SEQ Figure \* ARABIC \s 1 </w:instrText>
                            </w:r>
                            <w:r w:rsidRPr="008B54A8">
                              <w:rPr>
                                <w:b/>
                                <w:bCs/>
                              </w:rPr>
                              <w:fldChar w:fldCharType="separate"/>
                            </w:r>
                            <w:r w:rsidR="00B76846">
                              <w:rPr>
                                <w:b/>
                                <w:bCs/>
                                <w:noProof/>
                              </w:rPr>
                              <w:t>1</w:t>
                            </w:r>
                            <w:r w:rsidRPr="008B54A8">
                              <w:rPr>
                                <w:b/>
                                <w:bCs/>
                              </w:rPr>
                              <w:fldChar w:fldCharType="end"/>
                            </w:r>
                            <w:r w:rsidRPr="008B54A8">
                              <w:rPr>
                                <w:b/>
                                <w:bCs/>
                              </w:rPr>
                              <w:t>:</w:t>
                            </w:r>
                            <w:r>
                              <w:t xml:space="preserve"> Summary of changes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F7393C" id="_x0000_s1033" type="#_x0000_t202" style="position:absolute;left:0;text-align:left;margin-left:3.8pt;margin-top:323.85pt;width:462.9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" stroked="f">
                <v:textbox style="mso-fit-shape-to-text:t" inset="0,0,0,0">
                  <w:txbxContent>
                    <w:p w14:paraId="50B7D334" w14:textId="14B75596" w:rsidR="008B54A8" w:rsidRPr="006845EC" w:rsidRDefault="008B54A8" w:rsidP="008B54A8">
                      <w:pPr>
                        <w:pStyle w:val="Caption"/>
                        <w:jc w:val="center"/>
                        <w:rPr>
                          <w:rFonts w:ascii="Times New Roman" w:hAnsi="Times New Roman" w:cs="Times New Roman"/>
                          <w:noProof/>
                        </w:rPr>
                      </w:pPr>
                      <w:r w:rsidRPr="008B54A8">
                        <w:rPr>
                          <w:b/>
                          <w:bCs/>
                        </w:rPr>
                        <w:t xml:space="preserve">Figure </w:t>
                      </w:r>
                      <w:r w:rsidRPr="008B54A8">
                        <w:rPr>
                          <w:b/>
                          <w:bCs/>
                        </w:rPr>
                        <w:fldChar w:fldCharType="begin"/>
                      </w:r>
                      <w:r w:rsidRPr="008B54A8">
                        <w:rPr>
                          <w:b/>
                          <w:bCs/>
                        </w:rPr>
                        <w:instrText xml:space="preserve"> STYLEREF 1 \s </w:instrText>
                      </w:r>
                      <w:r w:rsidRPr="008B54A8">
                        <w:rPr>
                          <w:b/>
                          <w:bCs/>
                        </w:rPr>
                        <w:fldChar w:fldCharType="separate"/>
                      </w:r>
                      <w:r w:rsidR="00B76846">
                        <w:rPr>
                          <w:b/>
                          <w:bCs/>
                          <w:noProof/>
                        </w:rPr>
                        <w:t>5</w:t>
                      </w:r>
                      <w:r w:rsidRPr="008B54A8">
                        <w:rPr>
                          <w:b/>
                          <w:bCs/>
                        </w:rPr>
                        <w:fldChar w:fldCharType="end"/>
                      </w:r>
                      <w:r w:rsidRPr="008B54A8">
                        <w:rPr>
                          <w:b/>
                          <w:bCs/>
                        </w:rPr>
                        <w:noBreakHyphen/>
                      </w:r>
                      <w:r w:rsidRPr="008B54A8">
                        <w:rPr>
                          <w:b/>
                          <w:bCs/>
                        </w:rPr>
                        <w:fldChar w:fldCharType="begin"/>
                      </w:r>
                      <w:r w:rsidRPr="008B54A8">
                        <w:rPr>
                          <w:b/>
                          <w:bCs/>
                        </w:rPr>
                        <w:instrText xml:space="preserve"> SEQ Figure \* ARABIC \s 1 </w:instrText>
                      </w:r>
                      <w:r w:rsidRPr="008B54A8">
                        <w:rPr>
                          <w:b/>
                          <w:bCs/>
                        </w:rPr>
                        <w:fldChar w:fldCharType="separate"/>
                      </w:r>
                      <w:r w:rsidR="00B76846">
                        <w:rPr>
                          <w:b/>
                          <w:bCs/>
                          <w:noProof/>
                        </w:rPr>
                        <w:t>1</w:t>
                      </w:r>
                      <w:r w:rsidRPr="008B54A8">
                        <w:rPr>
                          <w:b/>
                          <w:bCs/>
                        </w:rPr>
                        <w:fldChar w:fldCharType="end"/>
                      </w:r>
                      <w:r w:rsidRPr="008B54A8">
                        <w:rPr>
                          <w:b/>
                          <w:bCs/>
                        </w:rPr>
                        <w:t>:</w:t>
                      </w:r>
                      <w:r>
                        <w:t xml:space="preserve"> Summary of changes</w:t>
                      </w:r>
                    </w:p>
                  </w:txbxContent>
                </v:textbox>
                <w10:wrap type="topAndBottom"/>
              </v:shape>
            </w:pict>
          </mc:Fallback>
        </mc:AlternateContent>
      </w:r>
      <w:r w:rsidRPr="00143888">
        <w:rPr>
          <w:rFonts w:ascii="Times New Roman" w:hAnsi="Times New Roman" w:cs="Times New Roman"/>
          <w:noProof/>
          <w:sz w:val="24"/>
          <w:szCs w:val="24"/>
        </w:rPr>
        <w:drawing>
          <wp:anchor distT="0" distB="0" distL="114300" distR="114300" simplePos="0" relativeHeight="251681792" behindDoc="0" locked="0" layoutInCell="1" allowOverlap="1" wp14:anchorId="4018A7DD" wp14:editId="736D74EC">
            <wp:simplePos x="0" y="0"/>
            <wp:positionH relativeFrom="margin">
              <wp:align>center</wp:align>
            </wp:positionH>
            <wp:positionV relativeFrom="paragraph">
              <wp:posOffset>287020</wp:posOffset>
            </wp:positionV>
            <wp:extent cx="5879313" cy="3768725"/>
            <wp:effectExtent l="0" t="0" r="7620" b="3175"/>
            <wp:wrapTopAndBottom/>
            <wp:docPr id="19401653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65380" name="Picture 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79313" cy="3768725"/>
                    </a:xfrm>
                    <a:prstGeom prst="rect">
                      <a:avLst/>
                    </a:prstGeom>
                  </pic:spPr>
                </pic:pic>
              </a:graphicData>
            </a:graphic>
            <wp14:sizeRelH relativeFrom="page">
              <wp14:pctWidth>0</wp14:pctWidth>
            </wp14:sizeRelH>
            <wp14:sizeRelV relativeFrom="page">
              <wp14:pctHeight>0</wp14:pctHeight>
            </wp14:sizeRelV>
          </wp:anchor>
        </w:drawing>
      </w:r>
    </w:p>
    <w:p w14:paraId="3145BCB3" w14:textId="2FFBDBEA"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cr/>
      </w:r>
      <w:r w:rsidRPr="00143888">
        <w:rPr>
          <w:rFonts w:ascii="Times New Roman" w:hAnsi="Times New Roman" w:cs="Times New Roman"/>
          <w:bCs/>
          <w:sz w:val="24"/>
          <w:szCs w:val="24"/>
        </w:rPr>
        <w:t>Transition Dynamics:</w:t>
      </w:r>
      <w:r w:rsidRPr="00143888">
        <w:rPr>
          <w:rFonts w:ascii="Times New Roman" w:hAnsi="Times New Roman" w:cs="Times New Roman"/>
          <w:sz w:val="24"/>
          <w:szCs w:val="24"/>
        </w:rPr>
        <w:t xml:space="preserve"> The primary transition in the 2024-2033 period is the conversion of vegetative cover to built-up area, with 27.21 sq km of the 30.88 sq km lost from vegetative cover likely being absorbed by urban expansion. The remaining 3.67 sq km of vegetative cover loss can </w:t>
      </w:r>
      <w:r w:rsidRPr="00143888">
        <w:rPr>
          <w:rFonts w:ascii="Times New Roman" w:hAnsi="Times New Roman" w:cs="Times New Roman"/>
          <w:sz w:val="24"/>
          <w:szCs w:val="24"/>
        </w:rPr>
        <w:lastRenderedPageBreak/>
        <w:t xml:space="preserve">be attributed to the combined gains in bare ground (2.85 sq km) and surface water (0.81 sq km). Bare ground and surface water show minor increases, suggesting that some areas may transition between these classes (e.g., bare ground near the White Nile </w:t>
      </w:r>
      <w:r w:rsidR="005D6B8B" w:rsidRPr="00143888">
        <w:rPr>
          <w:rFonts w:ascii="Times New Roman" w:hAnsi="Times New Roman" w:cs="Times New Roman"/>
          <w:sz w:val="24"/>
          <w:szCs w:val="24"/>
        </w:rPr>
        <w:t xml:space="preserve">or in the low-lying areas, </w:t>
      </w:r>
      <w:r w:rsidRPr="00143888">
        <w:rPr>
          <w:rFonts w:ascii="Times New Roman" w:hAnsi="Times New Roman" w:cs="Times New Roman"/>
          <w:sz w:val="24"/>
          <w:szCs w:val="24"/>
        </w:rPr>
        <w:t>becoming surface water during floods), but the dominant shift is from vegetative cover to built-up area, reflecting Juba’s ongoing urbanization trend.</w:t>
      </w:r>
    </w:p>
    <w:p w14:paraId="5B64E0E3" w14:textId="77777777" w:rsidR="00BB7326" w:rsidRPr="00143888" w:rsidRDefault="00BB7326" w:rsidP="00143888">
      <w:pPr>
        <w:spacing w:line="360" w:lineRule="auto"/>
        <w:jc w:val="both"/>
        <w:rPr>
          <w:rFonts w:ascii="Times New Roman" w:hAnsi="Times New Roman" w:cs="Times New Roman"/>
          <w:bCs/>
          <w:sz w:val="24"/>
          <w:szCs w:val="24"/>
        </w:rPr>
      </w:pPr>
      <w:r w:rsidRPr="00143888">
        <w:rPr>
          <w:rFonts w:ascii="Times New Roman" w:hAnsi="Times New Roman" w:cs="Times New Roman"/>
          <w:bCs/>
          <w:sz w:val="24"/>
          <w:szCs w:val="24"/>
        </w:rPr>
        <w:t>Predicted Growth Rates (2024-2033)</w:t>
      </w:r>
    </w:p>
    <w:p w14:paraId="4F757C2A" w14:textId="6FB6CDF0"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t>Built-up Area Growth Rate: The built-up area is expected to grow at an annual rate of 2.72 sq km/year, reflecting a significant increase from 54.72 sq km to 81.93 sq km</w:t>
      </w:r>
      <w:r w:rsidR="005D6B8B" w:rsidRPr="00143888">
        <w:rPr>
          <w:rFonts w:ascii="Times New Roman" w:hAnsi="Times New Roman" w:cs="Times New Roman"/>
          <w:sz w:val="24"/>
          <w:szCs w:val="24"/>
        </w:rPr>
        <w:t>,</w:t>
      </w:r>
      <w:r w:rsidRPr="00143888">
        <w:rPr>
          <w:rFonts w:ascii="Times New Roman" w:hAnsi="Times New Roman" w:cs="Times New Roman"/>
          <w:sz w:val="24"/>
          <w:szCs w:val="24"/>
        </w:rPr>
        <w:t xml:space="preserve"> compared to the 1.16 sq km/year observed from 2004-2013 to 2014-2023.</w:t>
      </w:r>
    </w:p>
    <w:p w14:paraId="6929470C" w14:textId="77777777" w:rsidR="00BB7326" w:rsidRPr="00143888" w:rsidRDefault="00BB7326" w:rsidP="00143888">
      <w:pPr>
        <w:spacing w:line="360" w:lineRule="auto"/>
        <w:jc w:val="both"/>
        <w:rPr>
          <w:rFonts w:ascii="Times New Roman" w:hAnsi="Times New Roman" w:cs="Times New Roman"/>
          <w:sz w:val="24"/>
          <w:szCs w:val="24"/>
        </w:rPr>
      </w:pPr>
    </w:p>
    <w:p w14:paraId="25A9C078" w14:textId="1AE58657"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Bare Ground Growth Rate:</w:t>
      </w:r>
      <w:r w:rsidRPr="00143888">
        <w:rPr>
          <w:rFonts w:ascii="Times New Roman" w:hAnsi="Times New Roman" w:cs="Times New Roman"/>
          <w:sz w:val="24"/>
          <w:szCs w:val="24"/>
        </w:rPr>
        <w:t xml:space="preserve"> Bare ground is predicted to increase at an annual rate of 0.29 sq km/year, with a total gain of 2.85 sq km over the decade, though the rate is relatively low compared to historical fluctuations.</w:t>
      </w:r>
    </w:p>
    <w:p w14:paraId="2B72B1F7" w14:textId="32AF0535"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Surface Water Growth Rate:</w:t>
      </w:r>
      <w:r w:rsidRPr="00143888">
        <w:rPr>
          <w:rFonts w:ascii="Times New Roman" w:hAnsi="Times New Roman" w:cs="Times New Roman"/>
          <w:sz w:val="24"/>
          <w:szCs w:val="24"/>
        </w:rPr>
        <w:t xml:space="preserve"> Surface water is expected to grow at an annual rate of 0.08 sq km/year, with a total increase of 0.81 sq km</w:t>
      </w:r>
      <w:r w:rsidR="005D6B8B" w:rsidRPr="00143888">
        <w:rPr>
          <w:rFonts w:ascii="Times New Roman" w:hAnsi="Times New Roman" w:cs="Times New Roman"/>
          <w:sz w:val="24"/>
          <w:szCs w:val="24"/>
        </w:rPr>
        <w:t xml:space="preserve">, with the </w:t>
      </w:r>
      <w:r w:rsidRPr="00143888">
        <w:rPr>
          <w:rFonts w:ascii="Times New Roman" w:hAnsi="Times New Roman" w:cs="Times New Roman"/>
          <w:sz w:val="24"/>
          <w:szCs w:val="24"/>
        </w:rPr>
        <w:t>White Nile maintaining its relatively stable presence in the landscape.</w:t>
      </w:r>
    </w:p>
    <w:p w14:paraId="7D72E54D" w14:textId="037832E3" w:rsidR="00766C6C"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bCs/>
          <w:sz w:val="24"/>
          <w:szCs w:val="24"/>
        </w:rPr>
        <w:t>Vegetative Cover Growth Rate:</w:t>
      </w:r>
      <w:r w:rsidRPr="00143888">
        <w:rPr>
          <w:rFonts w:ascii="Times New Roman" w:hAnsi="Times New Roman" w:cs="Times New Roman"/>
          <w:sz w:val="24"/>
          <w:szCs w:val="24"/>
        </w:rPr>
        <w:t xml:space="preserve"> Vegetative cover is predicted to decline at an annual rate of -3.09 sq km/year, with a total loss of 30.88 sq km over the decade</w:t>
      </w:r>
      <w:r w:rsidR="005D6B8B" w:rsidRPr="00143888">
        <w:rPr>
          <w:rFonts w:ascii="Times New Roman" w:hAnsi="Times New Roman" w:cs="Times New Roman"/>
          <w:sz w:val="24"/>
          <w:szCs w:val="24"/>
        </w:rPr>
        <w:t xml:space="preserve"> potentially due to</w:t>
      </w:r>
      <w:r w:rsidRPr="00143888">
        <w:rPr>
          <w:rFonts w:ascii="Times New Roman" w:hAnsi="Times New Roman" w:cs="Times New Roman"/>
          <w:sz w:val="24"/>
          <w:szCs w:val="24"/>
        </w:rPr>
        <w:t xml:space="preserve"> pressure from urbanization, as vegetative cover is converted into built-up area and, to a lesser extent, bare ground, posing risks to habitat and environmental stability.</w:t>
      </w:r>
    </w:p>
    <w:p w14:paraId="64CFF05E" w14:textId="5576C948" w:rsidR="00EF4C20" w:rsidRDefault="00EF4C20" w:rsidP="00EF4C20">
      <w:pPr>
        <w:pStyle w:val="Heading2"/>
      </w:pPr>
      <w:r>
        <w:t>Model Accuracy</w:t>
      </w:r>
    </w:p>
    <w:p w14:paraId="69CD0634" w14:textId="457C1FF8" w:rsidR="007D5664" w:rsidRPr="007D5664" w:rsidRDefault="007D5664" w:rsidP="007D5664">
      <w:pPr>
        <w:spacing w:line="360" w:lineRule="auto"/>
        <w:jc w:val="both"/>
        <w:rPr>
          <w:rFonts w:ascii="Times New Roman" w:hAnsi="Times New Roman" w:cs="Times New Roman"/>
          <w:bCs/>
          <w:sz w:val="24"/>
          <w:szCs w:val="24"/>
        </w:rPr>
      </w:pPr>
      <w:r w:rsidRPr="007D5664">
        <w:rPr>
          <w:rFonts w:ascii="Times New Roman" w:hAnsi="Times New Roman" w:cs="Times New Roman"/>
          <w:bCs/>
          <w:sz w:val="24"/>
          <w:szCs w:val="24"/>
        </w:rPr>
        <w:t xml:space="preserve">The accuracy assessment results for the land cover classification across the three periods—1994-2003, 2004-2013, and 2014-2023—reveal a consistently high level of performance with minor variations, which can be effectively visualized using a line chart to highlight trends over time. For the 1994-2003 period, the classifier achieved a perfect overall accuracy of 100%, with both Producer's Accuracy (PA) and User's Accuracy (UA) at 100% for all classes: Urban, Bare, Water, and Vegetation. This flawless performance, based on a total of 82 validation pixels, indicates that the classifier, training data, and validation data were perfectly aligned during this period, resulting in no misclassifications across all land cover classes. In the 2004-2013 period, the overall accuracy slightly decreased to 97.56%, reflecting a small number of misclassifications among the 82 </w:t>
      </w:r>
      <w:r w:rsidRPr="007D5664">
        <w:rPr>
          <w:rFonts w:ascii="Times New Roman" w:hAnsi="Times New Roman" w:cs="Times New Roman"/>
          <w:bCs/>
          <w:sz w:val="24"/>
          <w:szCs w:val="24"/>
        </w:rPr>
        <w:lastRenderedPageBreak/>
        <w:t>validation pixels used. The PA values remained at 100% for Urban, Water, and Vegetation, but dropped to 92.31% for Bare, indicating that some Bare pixels were not correctly classified, while the UA for Bare was also 92.31%, with the other classes maintaining 100%, as shown in a line chart where the Bare class’s PA and UA dip noticeably compared to the flat 100% lines for the other classes.</w:t>
      </w:r>
    </w:p>
    <w:p w14:paraId="1DA71EF3" w14:textId="45E344FC" w:rsidR="00BD6F65" w:rsidRPr="00143888" w:rsidRDefault="00EF4C20" w:rsidP="007D5664">
      <w:pPr>
        <w:spacing w:line="360" w:lineRule="auto"/>
        <w:jc w:val="both"/>
        <w:rPr>
          <w:rFonts w:ascii="Times New Roman" w:hAnsi="Times New Roman" w:cs="Times New Roman"/>
          <w:bCs/>
          <w:sz w:val="24"/>
          <w:szCs w:val="24"/>
        </w:rPr>
      </w:pPr>
      <w:r>
        <w:rPr>
          <w:noProof/>
        </w:rPr>
        <w:drawing>
          <wp:anchor distT="0" distB="0" distL="114300" distR="114300" simplePos="0" relativeHeight="251680768" behindDoc="0" locked="0" layoutInCell="1" allowOverlap="1" wp14:anchorId="3F31E9FD" wp14:editId="221648DF">
            <wp:simplePos x="0" y="0"/>
            <wp:positionH relativeFrom="margin">
              <wp:posOffset>57150</wp:posOffset>
            </wp:positionH>
            <wp:positionV relativeFrom="paragraph">
              <wp:posOffset>756285</wp:posOffset>
            </wp:positionV>
            <wp:extent cx="5943600" cy="3695700"/>
            <wp:effectExtent l="0" t="0" r="0" b="0"/>
            <wp:wrapTopAndBottom/>
            <wp:docPr id="13552572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57280" name="Picture 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695700"/>
                    </a:xfrm>
                    <a:prstGeom prst="rect">
                      <a:avLst/>
                    </a:prstGeom>
                  </pic:spPr>
                </pic:pic>
              </a:graphicData>
            </a:graphic>
            <wp14:sizeRelH relativeFrom="page">
              <wp14:pctWidth>0</wp14:pctWidth>
            </wp14:sizeRelH>
            <wp14:sizeRelV relativeFrom="page">
              <wp14:pctHeight>0</wp14:pctHeight>
            </wp14:sizeRelV>
          </wp:anchor>
        </w:drawing>
      </w:r>
      <w:r w:rsidR="007D5664" w:rsidRPr="007D5664">
        <w:rPr>
          <w:rFonts w:ascii="Times New Roman" w:hAnsi="Times New Roman" w:cs="Times New Roman"/>
          <w:bCs/>
          <w:sz w:val="24"/>
          <w:szCs w:val="24"/>
        </w:rPr>
        <w:t xml:space="preserve">For the 2014-2023 period, </w:t>
      </w:r>
      <w:proofErr w:type="gramStart"/>
      <w:r w:rsidR="007D5664" w:rsidRPr="007D5664">
        <w:rPr>
          <w:rFonts w:ascii="Times New Roman" w:hAnsi="Times New Roman" w:cs="Times New Roman"/>
          <w:bCs/>
          <w:sz w:val="24"/>
          <w:szCs w:val="24"/>
        </w:rPr>
        <w:t>the overall</w:t>
      </w:r>
      <w:proofErr w:type="gramEnd"/>
      <w:r w:rsidR="007D5664" w:rsidRPr="007D5664">
        <w:rPr>
          <w:rFonts w:ascii="Times New Roman" w:hAnsi="Times New Roman" w:cs="Times New Roman"/>
          <w:bCs/>
          <w:sz w:val="24"/>
          <w:szCs w:val="24"/>
        </w:rPr>
        <w:t xml:space="preserve"> accuracy improved to 98.78%, showing a slight enhancement over the previous period with the same 82 validation pixels. The PA values were 100% for Urban, Water, and Vegetation, and improved to 96.15% for Bare, indicating fewer misclassifications compared to 2004-2013, while the UA values followed a similar pattern, with Bare at 96.15% and the other classes at 100%, a trend that a line chart would illustrate with Bare’s PA and UA rising from 92.31% to 96.15%, alongside the overall accuracy’s recovery from 97.56% to 98.78%. Overall, the classifier demonstrates robust performance across all periods, with overall accuracies ranging from 97.56% to 100% based on 82 validation pixels per period. The Urban, Water, and Vegetation classes were consistently classified with perfect accuracy (PA and UA of 100%), as would be evident in a line chart where their lines remain flat at 100%, while the Bare class presented the only challenge, with misclassifications as Urban in the 2004-2013 and 2014-2023 periods, reducing its PA and UA to 92.31% and 96.15%, respectively. The line chart would clearly show </w:t>
      </w:r>
      <w:r w:rsidR="007D5664" w:rsidRPr="007D5664">
        <w:rPr>
          <w:rFonts w:ascii="Times New Roman" w:hAnsi="Times New Roman" w:cs="Times New Roman"/>
          <w:bCs/>
          <w:sz w:val="24"/>
          <w:szCs w:val="24"/>
        </w:rPr>
        <w:lastRenderedPageBreak/>
        <w:t>this trend, with Bare’s PA and UA dipping in 2004-2013 and then improving in 2014-2023, suggesting potential enhancements in the training data, classifier, or image quality over time, and to further improve performance, investigating the spectral overlap between Bare and Urban, adding more training samples for Bare, incorporating features like NDVI, using period-specific validation data, and balancing the training data could help mitigate misclassifications in future analyses.</w:t>
      </w:r>
    </w:p>
    <w:p w14:paraId="7FDE3C1A" w14:textId="7609C725" w:rsidR="00BB7326" w:rsidRPr="00143888" w:rsidRDefault="00BB7326"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cr/>
      </w:r>
    </w:p>
    <w:p w14:paraId="124D5941" w14:textId="77777777" w:rsidR="003C7668" w:rsidRPr="00143888" w:rsidRDefault="003C7668" w:rsidP="00143888">
      <w:pPr>
        <w:spacing w:line="360" w:lineRule="auto"/>
        <w:jc w:val="both"/>
        <w:rPr>
          <w:rFonts w:ascii="Times New Roman" w:hAnsi="Times New Roman" w:cs="Times New Roman"/>
          <w:sz w:val="24"/>
          <w:szCs w:val="24"/>
        </w:rPr>
      </w:pPr>
    </w:p>
    <w:p w14:paraId="1AEAC32B" w14:textId="4C5BBA60" w:rsidR="003C7668" w:rsidRPr="00143888" w:rsidRDefault="003C7668"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br w:type="page"/>
      </w:r>
    </w:p>
    <w:p w14:paraId="081E4720" w14:textId="32CDC426" w:rsidR="00BE3DCB" w:rsidRPr="00143888" w:rsidRDefault="00844997" w:rsidP="00143888">
      <w:pPr>
        <w:spacing w:line="360" w:lineRule="auto"/>
        <w:jc w:val="both"/>
        <w:rPr>
          <w:rFonts w:ascii="Times New Roman" w:hAnsi="Times New Roman" w:cs="Times New Roman"/>
          <w:sz w:val="24"/>
          <w:szCs w:val="24"/>
        </w:rPr>
      </w:pPr>
      <w:r w:rsidRPr="00143888">
        <w:rPr>
          <w:rFonts w:ascii="Times New Roman" w:hAnsi="Times New Roman" w:cs="Times New Roman"/>
          <w:sz w:val="24"/>
          <w:szCs w:val="24"/>
        </w:rPr>
        <w:lastRenderedPageBreak/>
        <w:t xml:space="preserve">REFERENCES </w:t>
      </w:r>
    </w:p>
    <w:p w14:paraId="4B78D999" w14:textId="77777777" w:rsidR="00503423" w:rsidRPr="00503423" w:rsidRDefault="00F42C5B" w:rsidP="00503423">
      <w:pPr>
        <w:spacing w:line="240" w:lineRule="auto"/>
        <w:jc w:val="both"/>
        <w:rPr>
          <w:rFonts w:ascii="Times New Roman" w:hAnsi="Times New Roman" w:cs="Times New Roman"/>
          <w:sz w:val="18"/>
        </w:rPr>
      </w:pPr>
      <w:r w:rsidRPr="00143888">
        <w:rPr>
          <w:bCs/>
          <w:color w:val="000000"/>
          <w:sz w:val="24"/>
          <w:szCs w:val="24"/>
        </w:rPr>
        <w:fldChar w:fldCharType="begin"/>
      </w:r>
      <w:r w:rsidR="003C2E34" w:rsidRPr="00143888">
        <w:rPr>
          <w:bCs/>
          <w:color w:val="000000"/>
          <w:sz w:val="24"/>
          <w:szCs w:val="24"/>
        </w:rPr>
        <w:instrText xml:space="preserve"> ADDIN ZOTERO_BIBL {"uncited":[],"omitted":[],"custom":[]} CSL_BIBLIOGRAPHY </w:instrText>
      </w:r>
      <w:r w:rsidRPr="00143888">
        <w:rPr>
          <w:bCs/>
          <w:color w:val="000000"/>
          <w:sz w:val="24"/>
          <w:szCs w:val="24"/>
        </w:rPr>
        <w:fldChar w:fldCharType="separate"/>
      </w:r>
      <w:r w:rsidR="00503423" w:rsidRPr="00503423">
        <w:rPr>
          <w:rFonts w:ascii="Times New Roman" w:hAnsi="Times New Roman" w:cs="Times New Roman"/>
          <w:sz w:val="18"/>
        </w:rPr>
        <w:t>1. Al-Hameedi, W.M.M. et al. (2021) ‘Remote Sensing-Based Urban Sprawl Modeling Using Multilayer Perceptron Neural Network Markov Chain in Baghdad, Iraq’, Remote Sensing, 13(20), p. 4034. Available at: https://doi.org/10.3390/rs13204034.</w:t>
      </w:r>
    </w:p>
    <w:p w14:paraId="2747D236" w14:textId="77777777" w:rsidR="00503423" w:rsidRPr="00503423" w:rsidRDefault="00503423" w:rsidP="00503423">
      <w:pPr>
        <w:spacing w:line="240" w:lineRule="auto"/>
        <w:jc w:val="both"/>
        <w:rPr>
          <w:rFonts w:ascii="Times New Roman" w:hAnsi="Times New Roman" w:cs="Times New Roman"/>
          <w:sz w:val="18"/>
        </w:rPr>
      </w:pPr>
    </w:p>
    <w:p w14:paraId="6C0762A1"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2. Balzter, H. et al. (2015) ‘Mapping CORINE Land Cover from Sentinel-1A SAR and SRTM Digital Elevation Model Data using Random Forests’, Remote Sensing, 7(11), pp. 14876–14898. Available at: https://doi.org/10.3390/rs71114876.</w:t>
      </w:r>
    </w:p>
    <w:p w14:paraId="5BA41FFA" w14:textId="77777777" w:rsidR="00503423" w:rsidRPr="00503423" w:rsidRDefault="00503423" w:rsidP="00503423">
      <w:pPr>
        <w:spacing w:line="240" w:lineRule="auto"/>
        <w:jc w:val="both"/>
        <w:rPr>
          <w:rFonts w:ascii="Times New Roman" w:hAnsi="Times New Roman" w:cs="Times New Roman"/>
          <w:sz w:val="18"/>
        </w:rPr>
      </w:pPr>
    </w:p>
    <w:p w14:paraId="276F9A9F"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3. Bouaziz, M., Eisold, S. and Guermazi, E. (2017) ‘Semiautomatic approach for land cover classification: a remote sensing study for arid climate in southeastern Tunisia’, Euro-Mediterranean Journal for Environmental Integration, 2(1), p. 24. Available at: https://doi.org/10.1007/s41207-017-0036-7.</w:t>
      </w:r>
    </w:p>
    <w:p w14:paraId="291DB823" w14:textId="77777777" w:rsidR="00503423" w:rsidRPr="00503423" w:rsidRDefault="00503423" w:rsidP="00503423">
      <w:pPr>
        <w:spacing w:line="240" w:lineRule="auto"/>
        <w:jc w:val="both"/>
        <w:rPr>
          <w:rFonts w:ascii="Times New Roman" w:hAnsi="Times New Roman" w:cs="Times New Roman"/>
          <w:sz w:val="18"/>
        </w:rPr>
      </w:pPr>
    </w:p>
    <w:p w14:paraId="20C5D105"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4. Breiman, L. (2001) ‘Random Forests’, Machine Learning, 45(1), pp. 5–32. Available at: https://doi.org/10.1023/A:1010933404324.</w:t>
      </w:r>
    </w:p>
    <w:p w14:paraId="262ED1F3" w14:textId="77777777" w:rsidR="00503423" w:rsidRPr="00503423" w:rsidRDefault="00503423" w:rsidP="00503423">
      <w:pPr>
        <w:spacing w:line="240" w:lineRule="auto"/>
        <w:jc w:val="both"/>
        <w:rPr>
          <w:rFonts w:ascii="Times New Roman" w:hAnsi="Times New Roman" w:cs="Times New Roman"/>
          <w:sz w:val="18"/>
        </w:rPr>
      </w:pPr>
    </w:p>
    <w:p w14:paraId="2DED8B96"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hint="eastAsia"/>
          <w:sz w:val="18"/>
        </w:rPr>
        <w:t xml:space="preserve">5. Bruno Soares, M., Daly, M. and Dessai, S. (2018) </w:t>
      </w:r>
      <w:r w:rsidRPr="00503423">
        <w:rPr>
          <w:rFonts w:ascii="Times New Roman" w:hAnsi="Times New Roman" w:cs="Times New Roman" w:hint="eastAsia"/>
          <w:sz w:val="18"/>
        </w:rPr>
        <w:t>‘</w:t>
      </w:r>
      <w:r w:rsidRPr="00503423">
        <w:rPr>
          <w:rFonts w:ascii="Times New Roman" w:hAnsi="Times New Roman" w:cs="Times New Roman" w:hint="eastAsia"/>
          <w:sz w:val="18"/>
        </w:rPr>
        <w:t>Assessing the value of seasonal climate forecasts for decision</w:t>
      </w:r>
      <w:r w:rsidRPr="00503423">
        <w:rPr>
          <w:rFonts w:ascii="Times New Roman" w:hAnsi="Times New Roman" w:cs="Times New Roman" w:hint="eastAsia"/>
          <w:sz w:val="18"/>
        </w:rPr>
        <w:t>‐</w:t>
      </w:r>
      <w:r w:rsidRPr="00503423">
        <w:rPr>
          <w:rFonts w:ascii="Times New Roman" w:hAnsi="Times New Roman" w:cs="Times New Roman" w:hint="eastAsia"/>
          <w:sz w:val="18"/>
        </w:rPr>
        <w:t>maki</w:t>
      </w:r>
      <w:r w:rsidRPr="00503423">
        <w:rPr>
          <w:rFonts w:ascii="Times New Roman" w:hAnsi="Times New Roman" w:cs="Times New Roman"/>
          <w:sz w:val="18"/>
        </w:rPr>
        <w:t>ng’, WIREs Climate Change, 9(4), p. e523. Available at: https://doi.org/10.1002/wcc.523.</w:t>
      </w:r>
    </w:p>
    <w:p w14:paraId="55A8822B" w14:textId="77777777" w:rsidR="00503423" w:rsidRPr="00503423" w:rsidRDefault="00503423" w:rsidP="00503423">
      <w:pPr>
        <w:spacing w:line="240" w:lineRule="auto"/>
        <w:jc w:val="both"/>
        <w:rPr>
          <w:rFonts w:ascii="Times New Roman" w:hAnsi="Times New Roman" w:cs="Times New Roman"/>
          <w:sz w:val="18"/>
        </w:rPr>
      </w:pPr>
    </w:p>
    <w:p w14:paraId="2E75CBCA"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6. Cifuentes, J. et al. (2020) ‘Air Temperature Forecasting Using Machine Learning Techniques: A Review’, Energies, 13(16), p. 4215. Available at: https://doi.org/10.3390/en13164215.</w:t>
      </w:r>
    </w:p>
    <w:p w14:paraId="46648600" w14:textId="77777777" w:rsidR="00503423" w:rsidRPr="00503423" w:rsidRDefault="00503423" w:rsidP="00503423">
      <w:pPr>
        <w:spacing w:line="240" w:lineRule="auto"/>
        <w:jc w:val="both"/>
        <w:rPr>
          <w:rFonts w:ascii="Times New Roman" w:hAnsi="Times New Roman" w:cs="Times New Roman"/>
          <w:sz w:val="18"/>
        </w:rPr>
      </w:pPr>
    </w:p>
    <w:p w14:paraId="4CE914C7"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7. Dai, E. et al. (2020) ‘Agent-based model of land system: Theory, application and modelling framework’, Journal of Geographical Sciences, 30(10), pp. 1555–1570. Available at: https://doi.org/10.1007/s11442-020-1799-3.</w:t>
      </w:r>
    </w:p>
    <w:p w14:paraId="31CDDACD" w14:textId="77777777" w:rsidR="00503423" w:rsidRPr="00503423" w:rsidRDefault="00503423" w:rsidP="00503423">
      <w:pPr>
        <w:spacing w:line="240" w:lineRule="auto"/>
        <w:jc w:val="both"/>
        <w:rPr>
          <w:rFonts w:ascii="Times New Roman" w:hAnsi="Times New Roman" w:cs="Times New Roman"/>
          <w:sz w:val="18"/>
        </w:rPr>
      </w:pPr>
    </w:p>
    <w:p w14:paraId="0D5EFC3F"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8. Das, S. and Angadi, D.P. (2022) ‘Land use land cover change detection and monitoring of urban growth using remote sensing and GIS techniques: a micro-level study’, GeoJournal, 87(3), pp. 2101–2123. Available at: https://doi.org/10.1007/s10708-020-10359-1.</w:t>
      </w:r>
    </w:p>
    <w:p w14:paraId="5E519AA3" w14:textId="77777777" w:rsidR="00503423" w:rsidRPr="00503423" w:rsidRDefault="00503423" w:rsidP="00503423">
      <w:pPr>
        <w:spacing w:line="240" w:lineRule="auto"/>
        <w:jc w:val="both"/>
        <w:rPr>
          <w:rFonts w:ascii="Times New Roman" w:hAnsi="Times New Roman" w:cs="Times New Roman"/>
          <w:sz w:val="18"/>
        </w:rPr>
      </w:pPr>
    </w:p>
    <w:p w14:paraId="5A72D89D"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9. Faisal Koko, A. et al. (2021) ‘Analyzing urban growth and land cover change scenario in Lagos, Nigeria using multi-temporal remote sensing data and GIS to mitigate flooding’, Geomatics, Natural Hazards and Risk, 12(1), pp. 631–652. Available at: https://doi.org/10.1080/19475705.2021.1887940.</w:t>
      </w:r>
    </w:p>
    <w:p w14:paraId="56C9B2B2" w14:textId="77777777" w:rsidR="00503423" w:rsidRPr="00503423" w:rsidRDefault="00503423" w:rsidP="00503423">
      <w:pPr>
        <w:spacing w:line="240" w:lineRule="auto"/>
        <w:jc w:val="both"/>
        <w:rPr>
          <w:rFonts w:ascii="Times New Roman" w:hAnsi="Times New Roman" w:cs="Times New Roman"/>
          <w:sz w:val="18"/>
        </w:rPr>
      </w:pPr>
    </w:p>
    <w:p w14:paraId="726C70FE"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10. Feng, Y. et al. (2011) ‘Modeling dynamic urban growth using cellular automata and particle swarm optimization rules’, Landscape and Urban Planning, 102(3), pp. 188–196. Available at: https://doi.org/10.1016/j.landurbplan.2011.04.004.</w:t>
      </w:r>
    </w:p>
    <w:p w14:paraId="075894A4" w14:textId="77777777" w:rsidR="00503423" w:rsidRPr="00503423" w:rsidRDefault="00503423" w:rsidP="00503423">
      <w:pPr>
        <w:spacing w:line="240" w:lineRule="auto"/>
        <w:jc w:val="both"/>
        <w:rPr>
          <w:rFonts w:ascii="Times New Roman" w:hAnsi="Times New Roman" w:cs="Times New Roman"/>
          <w:sz w:val="18"/>
        </w:rPr>
      </w:pPr>
    </w:p>
    <w:p w14:paraId="13FCE065"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11. Gobin, A. and Van Herzele, A. (2023) ‘A Data-Driven Farm Typology as a Basis for Agricultural Land Use Decisions’, Land, 12(11), p. 2032. Available at: https://doi.org/10.3390/land12112032.</w:t>
      </w:r>
    </w:p>
    <w:p w14:paraId="17A96F43" w14:textId="77777777" w:rsidR="00503423" w:rsidRPr="00503423" w:rsidRDefault="00503423" w:rsidP="00503423">
      <w:pPr>
        <w:spacing w:line="240" w:lineRule="auto"/>
        <w:jc w:val="both"/>
        <w:rPr>
          <w:rFonts w:ascii="Times New Roman" w:hAnsi="Times New Roman" w:cs="Times New Roman"/>
          <w:sz w:val="18"/>
        </w:rPr>
      </w:pPr>
    </w:p>
    <w:p w14:paraId="01D9F8F5"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12. Gudo, A.J.A., Deng, J. and Qureshi, A.S. (2022a) ‘Analysis of Spatiotemporal Dynamics of Land Use/Cover Changes in Jubek State, South Sudan’, Sustainability, 14(17), p. 10753. Available at: https://doi.org/10.3390/su141710753.</w:t>
      </w:r>
    </w:p>
    <w:p w14:paraId="380231C4" w14:textId="77777777" w:rsidR="00503423" w:rsidRPr="00503423" w:rsidRDefault="00503423" w:rsidP="00503423">
      <w:pPr>
        <w:spacing w:line="240" w:lineRule="auto"/>
        <w:jc w:val="both"/>
        <w:rPr>
          <w:rFonts w:ascii="Times New Roman" w:hAnsi="Times New Roman" w:cs="Times New Roman"/>
          <w:sz w:val="18"/>
        </w:rPr>
      </w:pPr>
    </w:p>
    <w:p w14:paraId="320708C3"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13. Gudo, A.J.A., Deng, J. and Qureshi, A.S. (2022b) ‘Analysis of Spatiotemporal Dynamics of Land Use/Cover Changes in Jubek State, South Sudan’, Sustainability, 14(17), p. 10753. Available at: https://doi.org/10.3390/su141710753.</w:t>
      </w:r>
    </w:p>
    <w:p w14:paraId="27B12096" w14:textId="77777777" w:rsidR="00503423" w:rsidRPr="00503423" w:rsidRDefault="00503423" w:rsidP="00503423">
      <w:pPr>
        <w:spacing w:line="240" w:lineRule="auto"/>
        <w:jc w:val="both"/>
        <w:rPr>
          <w:rFonts w:ascii="Times New Roman" w:hAnsi="Times New Roman" w:cs="Times New Roman"/>
          <w:sz w:val="18"/>
        </w:rPr>
      </w:pPr>
    </w:p>
    <w:p w14:paraId="3134E014"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14. Ishtiaque, A., Shrestha, M. and Chhetri, N. (2017) ‘Rapid Urban Growth in the Kathmandu Valley, Nepal: Monitoring Land Use Land Cover Dynamics of a Himalayan City with Landsat Imageries’, Environments, 4(4), p. 72. Available at: https://doi.org/10.3390/environments4040072.</w:t>
      </w:r>
    </w:p>
    <w:p w14:paraId="157997A8" w14:textId="77777777" w:rsidR="00503423" w:rsidRPr="00503423" w:rsidRDefault="00503423" w:rsidP="00503423">
      <w:pPr>
        <w:spacing w:line="240" w:lineRule="auto"/>
        <w:jc w:val="both"/>
        <w:rPr>
          <w:rFonts w:ascii="Times New Roman" w:hAnsi="Times New Roman" w:cs="Times New Roman"/>
          <w:sz w:val="18"/>
        </w:rPr>
      </w:pPr>
    </w:p>
    <w:p w14:paraId="6AD023FB"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15. Jiang, F. and Lv, Y. (2022) ‘Changes in the spatial distribution of population in urban agglomerations: A spatial-temporal perspective’. In Review. Available at: https://doi.org/10.21203/rs.3.rs-1244609/v1.</w:t>
      </w:r>
    </w:p>
    <w:p w14:paraId="1F0485DB" w14:textId="77777777" w:rsidR="00503423" w:rsidRPr="00503423" w:rsidRDefault="00503423" w:rsidP="00503423">
      <w:pPr>
        <w:spacing w:line="240" w:lineRule="auto"/>
        <w:jc w:val="both"/>
        <w:rPr>
          <w:rFonts w:ascii="Times New Roman" w:hAnsi="Times New Roman" w:cs="Times New Roman"/>
          <w:sz w:val="18"/>
        </w:rPr>
      </w:pPr>
    </w:p>
    <w:p w14:paraId="44BCEC40"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16. Justin, L. (2017) South Sudan Governance: A Call for Federalism to Address : Marginalization and Prevent Armed Conflict Recurrence - 21_Justin Laku.pdf. Available at: https://sonar.ch/documents/324250/preview/21_Justin%20Laku.pdf (Accessed: 30 March 2025).</w:t>
      </w:r>
    </w:p>
    <w:p w14:paraId="4B5B3660" w14:textId="77777777" w:rsidR="00503423" w:rsidRPr="00503423" w:rsidRDefault="00503423" w:rsidP="00503423">
      <w:pPr>
        <w:spacing w:line="240" w:lineRule="auto"/>
        <w:jc w:val="both"/>
        <w:rPr>
          <w:rFonts w:ascii="Times New Roman" w:hAnsi="Times New Roman" w:cs="Times New Roman"/>
          <w:sz w:val="18"/>
        </w:rPr>
      </w:pPr>
    </w:p>
    <w:p w14:paraId="50987B27"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17. Justin, P.H. and and De Vries, L. (2019) ‘Governing Unclear Lines: Local Boundaries as a (Re)source of Conflict in South Sudan’, Journal of Borderlands Studies, 34(1), pp. 31–46. Available at: https://doi.org/10.1080/08865655.2017.1294497.</w:t>
      </w:r>
    </w:p>
    <w:p w14:paraId="564A0138" w14:textId="77777777" w:rsidR="00503423" w:rsidRPr="00503423" w:rsidRDefault="00503423" w:rsidP="00503423">
      <w:pPr>
        <w:spacing w:line="240" w:lineRule="auto"/>
        <w:jc w:val="both"/>
        <w:rPr>
          <w:rFonts w:ascii="Times New Roman" w:hAnsi="Times New Roman" w:cs="Times New Roman"/>
          <w:sz w:val="18"/>
        </w:rPr>
      </w:pPr>
    </w:p>
    <w:p w14:paraId="38AE73CD"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18. Khawaldah, H., Farhan, I. and Alzboun, N. (2020) ‘Simulation and prediction of land use and land cover change using GIS, remote sensing and CA-Markov model’, Global Journal of Environmental Science and Management, 6, pp. 215–232. Available at: https://doi.org/10.22034/gjesm.2020.02.07.</w:t>
      </w:r>
    </w:p>
    <w:p w14:paraId="0A69C462" w14:textId="77777777" w:rsidR="00503423" w:rsidRPr="00503423" w:rsidRDefault="00503423" w:rsidP="00503423">
      <w:pPr>
        <w:spacing w:line="240" w:lineRule="auto"/>
        <w:jc w:val="both"/>
        <w:rPr>
          <w:rFonts w:ascii="Times New Roman" w:hAnsi="Times New Roman" w:cs="Times New Roman"/>
          <w:sz w:val="18"/>
        </w:rPr>
      </w:pPr>
    </w:p>
    <w:p w14:paraId="6795342A"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lastRenderedPageBreak/>
        <w:t>19. Maqbool, A. et al. (2020) ‘Disaster Mitigation in Urban Pakistan Using Agent Based Modeling with GIS’, ISPRS International Journal of Geo-Information, 9(4), p. 203. Available at: https://doi.org/10.3390/ijgi9040203.</w:t>
      </w:r>
    </w:p>
    <w:p w14:paraId="11EA004A" w14:textId="77777777" w:rsidR="00503423" w:rsidRPr="00503423" w:rsidRDefault="00503423" w:rsidP="00503423">
      <w:pPr>
        <w:spacing w:line="240" w:lineRule="auto"/>
        <w:jc w:val="both"/>
        <w:rPr>
          <w:rFonts w:ascii="Times New Roman" w:hAnsi="Times New Roman" w:cs="Times New Roman"/>
          <w:sz w:val="18"/>
        </w:rPr>
      </w:pPr>
    </w:p>
    <w:p w14:paraId="121F725D"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20. Micheal, D. (2025) Schools closed after 12 students fainted daily over heat exhaustion: Official - Eye Radio, Eye Radio. Available at: https://www.eyeradio.org/schools-closed-after-12-students-fainted-daily-over-heat-exhaustion-official/ (Accessed: 29 March 2025).</w:t>
      </w:r>
    </w:p>
    <w:p w14:paraId="6A90D553" w14:textId="77777777" w:rsidR="00503423" w:rsidRPr="00503423" w:rsidRDefault="00503423" w:rsidP="00503423">
      <w:pPr>
        <w:spacing w:line="240" w:lineRule="auto"/>
        <w:jc w:val="both"/>
        <w:rPr>
          <w:rFonts w:ascii="Times New Roman" w:hAnsi="Times New Roman" w:cs="Times New Roman"/>
          <w:sz w:val="18"/>
        </w:rPr>
      </w:pPr>
    </w:p>
    <w:p w14:paraId="7D6634CC"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21. Munthali, K.G. and Murayama, Y. (2011) ‘Land use/cover change detection and analysis for Dzalanyama forest reserve, Lilongwe, Malawi’, Procedia - Social and Behavioral Sciences, 21, pp. 203–211. Available at: https://doi.org/10.1016/j.sbspro.2011.07.035.</w:t>
      </w:r>
    </w:p>
    <w:p w14:paraId="2780A9B5" w14:textId="77777777" w:rsidR="00503423" w:rsidRPr="00503423" w:rsidRDefault="00503423" w:rsidP="00503423">
      <w:pPr>
        <w:spacing w:line="240" w:lineRule="auto"/>
        <w:jc w:val="both"/>
        <w:rPr>
          <w:rFonts w:ascii="Times New Roman" w:hAnsi="Times New Roman" w:cs="Times New Roman"/>
          <w:sz w:val="18"/>
        </w:rPr>
      </w:pPr>
    </w:p>
    <w:p w14:paraId="68F39711"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22. Munthali, M.G. et al. (2019) ‘Local Perception of Drivers of Land-Use and Land-Cover Change Dynamics across Dedza District, Central Malawi Region’, Sustainability, 11(3), p. 832. Available at: https://doi.org/10.3390/su11030832.</w:t>
      </w:r>
    </w:p>
    <w:p w14:paraId="234BDCAC" w14:textId="77777777" w:rsidR="00503423" w:rsidRPr="00503423" w:rsidRDefault="00503423" w:rsidP="00503423">
      <w:pPr>
        <w:spacing w:line="240" w:lineRule="auto"/>
        <w:jc w:val="both"/>
        <w:rPr>
          <w:rFonts w:ascii="Times New Roman" w:hAnsi="Times New Roman" w:cs="Times New Roman"/>
          <w:sz w:val="18"/>
        </w:rPr>
      </w:pPr>
    </w:p>
    <w:p w14:paraId="6DF3AAF2"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23. Nyasulu, C. et al. (2022) ‘Towards Resilient Agriculture to Hostile Climate Change in the Sahel Region: A Case Study of Machine Learning-Based Weather Prediction in Senegal’, Agriculture, 12(9), p. 1473. Available at: https://doi.org/10.3390/agriculture12091473.</w:t>
      </w:r>
    </w:p>
    <w:p w14:paraId="561BD5AF" w14:textId="77777777" w:rsidR="00503423" w:rsidRPr="00503423" w:rsidRDefault="00503423" w:rsidP="00503423">
      <w:pPr>
        <w:spacing w:line="240" w:lineRule="auto"/>
        <w:jc w:val="both"/>
        <w:rPr>
          <w:rFonts w:ascii="Times New Roman" w:hAnsi="Times New Roman" w:cs="Times New Roman"/>
          <w:sz w:val="18"/>
        </w:rPr>
      </w:pPr>
    </w:p>
    <w:p w14:paraId="55B473C5"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24. Ouma, Y.O. et al. (2024) ‘Land-Use Change Prediction in Dam Catchment Using Logistic Regression-CA, ANN-CA and Random Forest Regression and Implications for Sustainable Land–Water Nexus’, Sustainability, 16(4), p. 1699. Available at: https://doi.org/10.3390/su16041699.</w:t>
      </w:r>
    </w:p>
    <w:p w14:paraId="185D8559" w14:textId="77777777" w:rsidR="00503423" w:rsidRPr="00503423" w:rsidRDefault="00503423" w:rsidP="00503423">
      <w:pPr>
        <w:spacing w:line="240" w:lineRule="auto"/>
        <w:jc w:val="both"/>
        <w:rPr>
          <w:rFonts w:ascii="Times New Roman" w:hAnsi="Times New Roman" w:cs="Times New Roman"/>
          <w:sz w:val="18"/>
        </w:rPr>
      </w:pPr>
    </w:p>
    <w:p w14:paraId="51FF1C7B"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25. Rodríguez-Cuenca, B., Alonso, M.C. and Tamés-Noriega, A. (2015) ‘LULC database updating from VHR images and LIDAR data using evidence theory’, in. 2015 Conference of the International Fuzzy Systems Association and the European Society for Fuzzy Logic and Technology (IFSA-EUSFLAT-15), Atlantis Press, pp. 987–993. Available at: https://doi.org/10.2991/ifsa-eusflat-15.2015.139.</w:t>
      </w:r>
    </w:p>
    <w:p w14:paraId="3926B355" w14:textId="77777777" w:rsidR="00503423" w:rsidRPr="00503423" w:rsidRDefault="00503423" w:rsidP="00503423">
      <w:pPr>
        <w:spacing w:line="240" w:lineRule="auto"/>
        <w:jc w:val="both"/>
        <w:rPr>
          <w:rFonts w:ascii="Times New Roman" w:hAnsi="Times New Roman" w:cs="Times New Roman"/>
          <w:sz w:val="18"/>
        </w:rPr>
      </w:pPr>
    </w:p>
    <w:p w14:paraId="245F19C8"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26. Sexton, J.O. et al. (2013) ‘Urban growth of the Washington, D.C.–Baltimore, MD metropolitan region from 1984 to 2010 by annual, Landsat-based estimates of impervious cover’, Remote Sensing of Environment, 129, pp. 42–53. Available at: https://doi.org/10.1016/j.rse.2012.10.025.</w:t>
      </w:r>
    </w:p>
    <w:p w14:paraId="3A6AE4D3" w14:textId="77777777" w:rsidR="00503423" w:rsidRPr="00503423" w:rsidRDefault="00503423" w:rsidP="00503423">
      <w:pPr>
        <w:spacing w:line="240" w:lineRule="auto"/>
        <w:jc w:val="both"/>
        <w:rPr>
          <w:rFonts w:ascii="Times New Roman" w:hAnsi="Times New Roman" w:cs="Times New Roman"/>
          <w:sz w:val="18"/>
        </w:rPr>
      </w:pPr>
    </w:p>
    <w:p w14:paraId="1E07609F"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27. Somvanshi, S.S. et al. (2020) ‘Monitoring spatial LULC changes and its growth prediction based on statistical models and earth observation datasets of Gautam Budh Nagar, Uttar Pradesh, India’, Environment, Development and Sustainability, 22(2), pp. 1073–1091. Available at: https://doi.org/10.1007/s10668-018-0234-8.</w:t>
      </w:r>
    </w:p>
    <w:p w14:paraId="0C0BFE6F" w14:textId="77777777" w:rsidR="00503423" w:rsidRPr="00503423" w:rsidRDefault="00503423" w:rsidP="00503423">
      <w:pPr>
        <w:spacing w:line="240" w:lineRule="auto"/>
        <w:jc w:val="both"/>
        <w:rPr>
          <w:rFonts w:ascii="Times New Roman" w:hAnsi="Times New Roman" w:cs="Times New Roman"/>
          <w:sz w:val="18"/>
        </w:rPr>
      </w:pPr>
    </w:p>
    <w:p w14:paraId="1423EAA8"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28. Sulistiyono, N. et al. (2024) ‘Identification of mangrove forests using Sentinel-1 Synthetic Aperture Radar (SAR) satellite imagery in Medan Belawan District, Medan City’, IOP Conference Series: Earth and Environmental Science, 1352(1), p. 012051. Available at: https://doi.org/10.1088/1755-1315/1352/1/012051.</w:t>
      </w:r>
    </w:p>
    <w:p w14:paraId="7FC15649" w14:textId="77777777" w:rsidR="00503423" w:rsidRPr="00503423" w:rsidRDefault="00503423" w:rsidP="00503423">
      <w:pPr>
        <w:spacing w:line="240" w:lineRule="auto"/>
        <w:jc w:val="both"/>
        <w:rPr>
          <w:rFonts w:ascii="Times New Roman" w:hAnsi="Times New Roman" w:cs="Times New Roman"/>
          <w:sz w:val="18"/>
        </w:rPr>
      </w:pPr>
    </w:p>
    <w:p w14:paraId="574DD945"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29. Trabelsi, N. et al. (2023) ‘Classification and Spatio-Temporal Change Detection of Land Use/Land Cover Using Remote Sensing and Geographic Information System in the Manouba Region, NE Tunisia’, Journal of Geographic Information System, 15(06), pp. 652–668. Available at: https://doi.org/10.4236/jgis.2023.156033.</w:t>
      </w:r>
    </w:p>
    <w:p w14:paraId="52522CF5" w14:textId="77777777" w:rsidR="00503423" w:rsidRPr="00503423" w:rsidRDefault="00503423" w:rsidP="00503423">
      <w:pPr>
        <w:spacing w:line="240" w:lineRule="auto"/>
        <w:jc w:val="both"/>
        <w:rPr>
          <w:rFonts w:ascii="Times New Roman" w:hAnsi="Times New Roman" w:cs="Times New Roman"/>
          <w:sz w:val="18"/>
        </w:rPr>
      </w:pPr>
    </w:p>
    <w:p w14:paraId="7AD691E2"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30. Turner, M.G. and Ruscher, C.L. (1988) ‘Changes in landscape patterns in Georgia, USA’, Landscape Ecology, 1(4), pp. 241–251. Available at: https://doi.org/10.1007/BF00157696.</w:t>
      </w:r>
    </w:p>
    <w:p w14:paraId="7BA354FA" w14:textId="77777777" w:rsidR="00503423" w:rsidRPr="00503423" w:rsidRDefault="00503423" w:rsidP="00503423">
      <w:pPr>
        <w:spacing w:line="240" w:lineRule="auto"/>
        <w:jc w:val="both"/>
        <w:rPr>
          <w:rFonts w:ascii="Times New Roman" w:hAnsi="Times New Roman" w:cs="Times New Roman"/>
          <w:sz w:val="18"/>
        </w:rPr>
      </w:pPr>
    </w:p>
    <w:p w14:paraId="2F5D6870"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31. UN-HABITAT (2006) Meeting Development Goals in Small Urban Centres - Water and Sanitation in the World’s Cities 2006 | UN-Habitat. Available at: https://unhabitat.org/meeting-development-goals-in-small-urban-centres-water-and-sanitation-in-the-worlds-cities-2006 (Accessed: 30 March 2025).</w:t>
      </w:r>
    </w:p>
    <w:p w14:paraId="160771A3" w14:textId="77777777" w:rsidR="00503423" w:rsidRPr="00503423" w:rsidRDefault="00503423" w:rsidP="00503423">
      <w:pPr>
        <w:spacing w:line="240" w:lineRule="auto"/>
        <w:jc w:val="both"/>
        <w:rPr>
          <w:rFonts w:ascii="Times New Roman" w:hAnsi="Times New Roman" w:cs="Times New Roman"/>
          <w:sz w:val="18"/>
        </w:rPr>
      </w:pPr>
    </w:p>
    <w:p w14:paraId="10807249"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32. UN-HABITAT (2021) ‘Juba Settlement and Facilities Distribution Profile: A COVID-19 Vulnerability Assessment’, Policy Commons, p. 64.</w:t>
      </w:r>
    </w:p>
    <w:p w14:paraId="4FC775BA" w14:textId="77777777" w:rsidR="00503423" w:rsidRPr="00503423" w:rsidRDefault="00503423" w:rsidP="00503423">
      <w:pPr>
        <w:spacing w:line="240" w:lineRule="auto"/>
        <w:jc w:val="both"/>
        <w:rPr>
          <w:rFonts w:ascii="Times New Roman" w:hAnsi="Times New Roman" w:cs="Times New Roman"/>
          <w:sz w:val="18"/>
        </w:rPr>
      </w:pPr>
    </w:p>
    <w:p w14:paraId="7959D83B"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33. UN-HABITAT et al. (2023) Juba Strategic Plan | UN-Habitat. Available at: https://unhabitat.org/juba-strategic-plan (Accessed: 30 March 2025).</w:t>
      </w:r>
    </w:p>
    <w:p w14:paraId="71E48A46" w14:textId="77777777" w:rsidR="00503423" w:rsidRPr="00503423" w:rsidRDefault="00503423" w:rsidP="00503423">
      <w:pPr>
        <w:spacing w:line="240" w:lineRule="auto"/>
        <w:jc w:val="both"/>
        <w:rPr>
          <w:rFonts w:ascii="Times New Roman" w:hAnsi="Times New Roman" w:cs="Times New Roman"/>
          <w:sz w:val="18"/>
        </w:rPr>
      </w:pPr>
    </w:p>
    <w:p w14:paraId="5CCCCE58"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34. Wild, H., Jok, J.M. and Patel, R. (2018) ‘The Militarization of Cattle Raiding in South Sudan: How a Traditional Practice Became a Tool for Political Violence’, Journal of International Humanitarian Action, 3(1). Available at: https://doi.org/10.1186/s41018-018-0030-y.</w:t>
      </w:r>
    </w:p>
    <w:p w14:paraId="15A10571" w14:textId="77777777" w:rsidR="00503423" w:rsidRPr="00503423" w:rsidRDefault="00503423" w:rsidP="00503423">
      <w:pPr>
        <w:spacing w:line="240" w:lineRule="auto"/>
        <w:jc w:val="both"/>
        <w:rPr>
          <w:rFonts w:ascii="Times New Roman" w:hAnsi="Times New Roman" w:cs="Times New Roman"/>
          <w:sz w:val="18"/>
        </w:rPr>
      </w:pPr>
    </w:p>
    <w:p w14:paraId="30103BFF"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lastRenderedPageBreak/>
        <w:t>35. Zeng, Y. et al. (2016) ‘MULTI-AGENT BASED SIMULATION OF OPTIMAL URBAN LAND USE ALLOCATION IN THE MIDDLE REACHES OF THE YANGTZE RIVER, CHINA’, The International Archives of the Photogrammetry, Remote Sensing and Spatial Information Sciences, XLI-B8, pp. 1089–1092. Available at: https://doi.org/10.5194/isprs-archives-XLI-B8-1089-2016.</w:t>
      </w:r>
    </w:p>
    <w:p w14:paraId="4D118BBC" w14:textId="77777777" w:rsidR="00503423" w:rsidRPr="00503423" w:rsidRDefault="00503423" w:rsidP="00503423">
      <w:pPr>
        <w:spacing w:line="240" w:lineRule="auto"/>
        <w:jc w:val="both"/>
        <w:rPr>
          <w:rFonts w:ascii="Times New Roman" w:hAnsi="Times New Roman" w:cs="Times New Roman"/>
          <w:sz w:val="18"/>
        </w:rPr>
      </w:pPr>
    </w:p>
    <w:p w14:paraId="2DA08F3C" w14:textId="77777777" w:rsidR="00503423" w:rsidRPr="00503423" w:rsidRDefault="00503423" w:rsidP="00503423">
      <w:pPr>
        <w:spacing w:line="240" w:lineRule="auto"/>
        <w:jc w:val="both"/>
        <w:rPr>
          <w:rFonts w:ascii="Times New Roman" w:hAnsi="Times New Roman" w:cs="Times New Roman"/>
          <w:sz w:val="18"/>
        </w:rPr>
      </w:pPr>
      <w:r w:rsidRPr="00503423">
        <w:rPr>
          <w:rFonts w:ascii="Times New Roman" w:hAnsi="Times New Roman" w:cs="Times New Roman"/>
          <w:sz w:val="18"/>
        </w:rPr>
        <w:t>36. Zhao, S. et al. (2009) ‘A spatial resolution threshold of land cover in estimating regional terrestrial carbon sequestration’. Biogeochemistry: Modelling, Terrestrial. Available at: https://doi.org/10.5194/bgd-6-7983-2009.</w:t>
      </w:r>
    </w:p>
    <w:p w14:paraId="3CE1098D" w14:textId="77777777" w:rsidR="00503423" w:rsidRPr="00503423" w:rsidRDefault="00503423" w:rsidP="00503423">
      <w:pPr>
        <w:spacing w:line="240" w:lineRule="auto"/>
        <w:jc w:val="both"/>
        <w:rPr>
          <w:rFonts w:ascii="Times New Roman" w:hAnsi="Times New Roman" w:cs="Times New Roman"/>
          <w:sz w:val="18"/>
        </w:rPr>
      </w:pPr>
    </w:p>
    <w:p w14:paraId="35773764" w14:textId="03A3C59F" w:rsidR="00F42C5B" w:rsidRPr="00143888" w:rsidRDefault="00F42C5B" w:rsidP="00143888">
      <w:pPr>
        <w:spacing w:line="360" w:lineRule="auto"/>
        <w:jc w:val="both"/>
        <w:rPr>
          <w:rFonts w:ascii="Times New Roman" w:hAnsi="Times New Roman" w:cs="Times New Roman"/>
          <w:bCs/>
          <w:color w:val="000000"/>
          <w:sz w:val="24"/>
          <w:szCs w:val="24"/>
        </w:rPr>
      </w:pPr>
      <w:r w:rsidRPr="00143888">
        <w:rPr>
          <w:rFonts w:ascii="Times New Roman" w:hAnsi="Times New Roman" w:cs="Times New Roman"/>
          <w:bCs/>
          <w:color w:val="000000"/>
          <w:sz w:val="24"/>
          <w:szCs w:val="24"/>
        </w:rPr>
        <w:fldChar w:fldCharType="end"/>
      </w:r>
    </w:p>
    <w:sectPr w:rsidR="00F42C5B" w:rsidRPr="00143888" w:rsidSect="00E42129">
      <w:footerReference w:type="default" r:id="rId19"/>
      <w:pgSz w:w="12240" w:h="15840"/>
      <w:pgMar w:top="1414" w:right="1377" w:bottom="1508"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900B8" w14:textId="77777777" w:rsidR="00A87297" w:rsidRDefault="00A87297">
      <w:pPr>
        <w:spacing w:line="240" w:lineRule="auto"/>
      </w:pPr>
      <w:r>
        <w:separator/>
      </w:r>
    </w:p>
  </w:endnote>
  <w:endnote w:type="continuationSeparator" w:id="0">
    <w:p w14:paraId="40BB93FA" w14:textId="77777777" w:rsidR="00A87297" w:rsidRDefault="00A872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font>
  <w:font w:name="NimbusRomNo9L-Regu">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2082274"/>
      <w:docPartObj>
        <w:docPartGallery w:val="Page Numbers (Bottom of Page)"/>
        <w:docPartUnique/>
      </w:docPartObj>
    </w:sdtPr>
    <w:sdtEndPr>
      <w:rPr>
        <w:color w:val="7F7F7F" w:themeColor="background1" w:themeShade="7F"/>
        <w:spacing w:val="60"/>
      </w:rPr>
    </w:sdtEndPr>
    <w:sdtContent>
      <w:p w14:paraId="7A2B9B67" w14:textId="7F72AD79" w:rsidR="006C18F3" w:rsidRDefault="006C18F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5E28E21" w14:textId="200C5BAD" w:rsidR="000F669C" w:rsidRDefault="006C18F3" w:rsidP="006C18F3">
    <w:pPr>
      <w:pStyle w:val="Footer"/>
      <w:tabs>
        <w:tab w:val="clear" w:pos="4680"/>
        <w:tab w:val="clear" w:pos="9360"/>
        <w:tab w:val="left" w:pos="8315"/>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145565"/>
      <w:docPartObj>
        <w:docPartGallery w:val="Page Numbers (Bottom of Page)"/>
        <w:docPartUnique/>
      </w:docPartObj>
    </w:sdtPr>
    <w:sdtContent>
      <w:sdt>
        <w:sdtPr>
          <w:id w:val="-1769616900"/>
          <w:docPartObj>
            <w:docPartGallery w:val="Page Numbers (Top of Page)"/>
            <w:docPartUnique/>
          </w:docPartObj>
        </w:sdtPr>
        <w:sdtContent>
          <w:p w14:paraId="1EDBB93F" w14:textId="6E6BE7C2" w:rsidR="00E42129" w:rsidRDefault="00E42129">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230F6155" w14:textId="2FB3C6BB" w:rsidR="006C18F3" w:rsidRDefault="006C18F3" w:rsidP="006C18F3">
    <w:pPr>
      <w:pStyle w:val="Footer"/>
      <w:tabs>
        <w:tab w:val="clear" w:pos="4680"/>
        <w:tab w:val="clear" w:pos="9360"/>
        <w:tab w:val="left" w:pos="831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0626B" w14:textId="77777777" w:rsidR="00A87297" w:rsidRDefault="00A87297">
      <w:pPr>
        <w:spacing w:line="240" w:lineRule="auto"/>
      </w:pPr>
      <w:r>
        <w:separator/>
      </w:r>
    </w:p>
  </w:footnote>
  <w:footnote w:type="continuationSeparator" w:id="0">
    <w:p w14:paraId="6491EEE9" w14:textId="77777777" w:rsidR="00A87297" w:rsidRDefault="00A8729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FAE"/>
    <w:multiLevelType w:val="multilevel"/>
    <w:tmpl w:val="E8743A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7CC4241"/>
    <w:multiLevelType w:val="hybridMultilevel"/>
    <w:tmpl w:val="F27C3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094862"/>
    <w:multiLevelType w:val="hybridMultilevel"/>
    <w:tmpl w:val="5844BCF0"/>
    <w:lvl w:ilvl="0" w:tplc="315023D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F35B4E"/>
    <w:multiLevelType w:val="hybridMultilevel"/>
    <w:tmpl w:val="092AE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1B41AB"/>
    <w:multiLevelType w:val="hybridMultilevel"/>
    <w:tmpl w:val="12EEB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625FE5"/>
    <w:multiLevelType w:val="hybridMultilevel"/>
    <w:tmpl w:val="228E2076"/>
    <w:lvl w:ilvl="0" w:tplc="4F3C2A8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916D32"/>
    <w:multiLevelType w:val="hybridMultilevel"/>
    <w:tmpl w:val="C682D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9548BA"/>
    <w:multiLevelType w:val="hybridMultilevel"/>
    <w:tmpl w:val="AFA87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23261B"/>
    <w:multiLevelType w:val="multilevel"/>
    <w:tmpl w:val="25D00E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67C1BAA"/>
    <w:multiLevelType w:val="hybridMultilevel"/>
    <w:tmpl w:val="FBDC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DF015D"/>
    <w:multiLevelType w:val="multilevel"/>
    <w:tmpl w:val="1108E2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A4F4384"/>
    <w:multiLevelType w:val="multilevel"/>
    <w:tmpl w:val="FEDA82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362E529A"/>
    <w:multiLevelType w:val="hybridMultilevel"/>
    <w:tmpl w:val="471E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3B6212"/>
    <w:multiLevelType w:val="multilevel"/>
    <w:tmpl w:val="5296BB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B2C520C"/>
    <w:multiLevelType w:val="hybridMultilevel"/>
    <w:tmpl w:val="DA466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D81BEE"/>
    <w:multiLevelType w:val="hybridMultilevel"/>
    <w:tmpl w:val="3C585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F7953E4"/>
    <w:multiLevelType w:val="hybridMultilevel"/>
    <w:tmpl w:val="0CFA1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9C1E14"/>
    <w:multiLevelType w:val="multilevel"/>
    <w:tmpl w:val="51D82A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432B7FCD"/>
    <w:multiLevelType w:val="hybridMultilevel"/>
    <w:tmpl w:val="5DAC2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A110F7"/>
    <w:multiLevelType w:val="multilevel"/>
    <w:tmpl w:val="DB7E24B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46916842"/>
    <w:multiLevelType w:val="multilevel"/>
    <w:tmpl w:val="FEDA82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74A6CA1"/>
    <w:multiLevelType w:val="hybridMultilevel"/>
    <w:tmpl w:val="557CF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450722"/>
    <w:multiLevelType w:val="hybridMultilevel"/>
    <w:tmpl w:val="62748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03174B"/>
    <w:multiLevelType w:val="multilevel"/>
    <w:tmpl w:val="35880BCA"/>
    <w:lvl w:ilvl="0">
      <w:start w:val="1"/>
      <w:numFmt w:val="decimal"/>
      <w:pStyle w:val="Heading1"/>
      <w:suff w:val="space"/>
      <w:lvlText w:val="Chapter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4" w15:restartNumberingAfterBreak="0">
    <w:nsid w:val="5F7263B7"/>
    <w:multiLevelType w:val="hybridMultilevel"/>
    <w:tmpl w:val="4D9EF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A841DD"/>
    <w:multiLevelType w:val="hybridMultilevel"/>
    <w:tmpl w:val="1108D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F74C4D"/>
    <w:multiLevelType w:val="hybridMultilevel"/>
    <w:tmpl w:val="F168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8F113C"/>
    <w:multiLevelType w:val="multilevel"/>
    <w:tmpl w:val="C8CCE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71A1743D"/>
    <w:multiLevelType w:val="multilevel"/>
    <w:tmpl w:val="0F3605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3486FEC"/>
    <w:multiLevelType w:val="hybridMultilevel"/>
    <w:tmpl w:val="08A64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7F0E5C"/>
    <w:multiLevelType w:val="hybridMultilevel"/>
    <w:tmpl w:val="3CF85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FA33C9"/>
    <w:multiLevelType w:val="multilevel"/>
    <w:tmpl w:val="62DE3B24"/>
    <w:lvl w:ilvl="0">
      <w:start w:val="1"/>
      <w:numFmt w:val="decimal"/>
      <w:suff w:val="space"/>
      <w:lvlText w:val="%1."/>
      <w:lvlJc w:val="left"/>
      <w:pPr>
        <w:ind w:left="0" w:firstLine="0"/>
      </w:pPr>
      <w:rPr>
        <w:rFonts w:hint="default"/>
      </w:rPr>
    </w:lvl>
    <w:lvl w:ilvl="1">
      <w:start w:val="1"/>
      <w:numFmt w:val="decimal"/>
      <w:suff w:val="space"/>
      <w:lvlText w:val="%2.2"/>
      <w:lvlJc w:val="left"/>
      <w:pPr>
        <w:ind w:left="0" w:firstLine="0"/>
      </w:pPr>
      <w:rPr>
        <w:rFonts w:hint="default"/>
      </w:rPr>
    </w:lvl>
    <w:lvl w:ilvl="2">
      <w:start w:val="1"/>
      <w:numFmt w:val="decimal"/>
      <w:lvlText w:val="%3.3"/>
      <w:lvlJc w:val="right"/>
      <w:pPr>
        <w:ind w:left="0" w:firstLine="0"/>
      </w:pPr>
      <w:rPr>
        <w:rFonts w:hint="default"/>
      </w:rPr>
    </w:lvl>
    <w:lvl w:ilvl="3">
      <w:start w:val="1"/>
      <w:numFmt w:val="decimal"/>
      <w:lvlText w:val="%4.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32" w15:restartNumberingAfterBreak="0">
    <w:nsid w:val="78616262"/>
    <w:multiLevelType w:val="hybridMultilevel"/>
    <w:tmpl w:val="16F04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AD4D5C"/>
    <w:multiLevelType w:val="hybridMultilevel"/>
    <w:tmpl w:val="FAD8C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845A73"/>
    <w:multiLevelType w:val="hybridMultilevel"/>
    <w:tmpl w:val="809441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C89576E"/>
    <w:multiLevelType w:val="multilevel"/>
    <w:tmpl w:val="996ADCE2"/>
    <w:lvl w:ilvl="0">
      <w:start w:val="1"/>
      <w:numFmt w:val="decimal"/>
      <w:suff w:val="space"/>
      <w:lvlText w:val="Chapter %1:"/>
      <w:lvlJc w:val="left"/>
      <w:pPr>
        <w:ind w:left="0" w:firstLine="0"/>
      </w:pPr>
      <w:rPr>
        <w:rFonts w:hint="default"/>
      </w:rPr>
    </w:lvl>
    <w:lvl w:ilvl="1">
      <w:start w:val="1"/>
      <w:numFmt w:val="decimal"/>
      <w:suff w:val="space"/>
      <w:lvlText w:val="%2.%1"/>
      <w:lvlJc w:val="left"/>
      <w:pPr>
        <w:ind w:left="0" w:firstLine="0"/>
      </w:pPr>
      <w:rPr>
        <w:rFonts w:hint="default"/>
      </w:rPr>
    </w:lvl>
    <w:lvl w:ilvl="2">
      <w:start w:val="1"/>
      <w:numFmt w:val="decimal"/>
      <w:suff w:val="space"/>
      <w:lvlText w:val="1.1.%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6" w15:restartNumberingAfterBreak="0">
    <w:nsid w:val="7EAB4748"/>
    <w:multiLevelType w:val="hybridMultilevel"/>
    <w:tmpl w:val="9D7AB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634581"/>
    <w:multiLevelType w:val="hybridMultilevel"/>
    <w:tmpl w:val="7DCA4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2314768">
    <w:abstractNumId w:val="28"/>
  </w:num>
  <w:num w:numId="2" w16cid:durableId="1296984395">
    <w:abstractNumId w:val="10"/>
  </w:num>
  <w:num w:numId="3" w16cid:durableId="830677769">
    <w:abstractNumId w:val="13"/>
  </w:num>
  <w:num w:numId="4" w16cid:durableId="607589426">
    <w:abstractNumId w:val="17"/>
  </w:num>
  <w:num w:numId="5" w16cid:durableId="930774279">
    <w:abstractNumId w:val="27"/>
  </w:num>
  <w:num w:numId="6" w16cid:durableId="926697700">
    <w:abstractNumId w:val="0"/>
  </w:num>
  <w:num w:numId="7" w16cid:durableId="134686812">
    <w:abstractNumId w:val="8"/>
  </w:num>
  <w:num w:numId="8" w16cid:durableId="488060669">
    <w:abstractNumId w:val="20"/>
  </w:num>
  <w:num w:numId="9" w16cid:durableId="1347950173">
    <w:abstractNumId w:val="11"/>
  </w:num>
  <w:num w:numId="10" w16cid:durableId="1291937865">
    <w:abstractNumId w:val="3"/>
  </w:num>
  <w:num w:numId="11" w16cid:durableId="914779803">
    <w:abstractNumId w:val="36"/>
  </w:num>
  <w:num w:numId="12" w16cid:durableId="854344797">
    <w:abstractNumId w:val="32"/>
  </w:num>
  <w:num w:numId="13" w16cid:durableId="148062115">
    <w:abstractNumId w:val="4"/>
  </w:num>
  <w:num w:numId="14" w16cid:durableId="2095393659">
    <w:abstractNumId w:val="12"/>
  </w:num>
  <w:num w:numId="15" w16cid:durableId="909076025">
    <w:abstractNumId w:val="25"/>
  </w:num>
  <w:num w:numId="16" w16cid:durableId="820006823">
    <w:abstractNumId w:val="30"/>
  </w:num>
  <w:num w:numId="17" w16cid:durableId="1017927440">
    <w:abstractNumId w:val="22"/>
  </w:num>
  <w:num w:numId="18" w16cid:durableId="1677684309">
    <w:abstractNumId w:val="29"/>
  </w:num>
  <w:num w:numId="19" w16cid:durableId="229274112">
    <w:abstractNumId w:val="16"/>
  </w:num>
  <w:num w:numId="20" w16cid:durableId="866873130">
    <w:abstractNumId w:val="24"/>
  </w:num>
  <w:num w:numId="21" w16cid:durableId="1043947114">
    <w:abstractNumId w:val="18"/>
  </w:num>
  <w:num w:numId="22" w16cid:durableId="1125931979">
    <w:abstractNumId w:val="19"/>
  </w:num>
  <w:num w:numId="23" w16cid:durableId="1251045929">
    <w:abstractNumId w:val="19"/>
    <w:lvlOverride w:ilvl="0">
      <w:startOverride w:val="3"/>
    </w:lvlOverride>
    <w:lvlOverride w:ilvl="1">
      <w:startOverride w:val="8"/>
    </w:lvlOverride>
  </w:num>
  <w:num w:numId="24" w16cid:durableId="230625153">
    <w:abstractNumId w:val="35"/>
  </w:num>
  <w:num w:numId="25" w16cid:durableId="2005626030">
    <w:abstractNumId w:val="35"/>
    <w:lvlOverride w:ilvl="0">
      <w:lvl w:ilvl="0">
        <w:start w:val="1"/>
        <w:numFmt w:val="none"/>
        <w:suff w:val="space"/>
        <w:lvlText w:val="Chapter 1 "/>
        <w:lvlJc w:val="left"/>
        <w:pPr>
          <w:ind w:left="0" w:firstLine="0"/>
        </w:pPr>
        <w:rPr>
          <w:rFonts w:hint="default"/>
        </w:rPr>
      </w:lvl>
    </w:lvlOverride>
    <w:lvlOverride w:ilvl="1">
      <w:lvl w:ilvl="1">
        <w:start w:val="1"/>
        <w:numFmt w:val="decimal"/>
        <w:suff w:val="space"/>
        <w:lvlText w:val="%2%1.Chapter 2 - "/>
        <w:lvlJc w:val="left"/>
        <w:pPr>
          <w:ind w:left="0" w:firstLine="0"/>
        </w:pPr>
        <w:rPr>
          <w:rFonts w:hint="default"/>
        </w:rPr>
      </w:lvl>
    </w:lvlOverride>
    <w:lvlOverride w:ilvl="2">
      <w:lvl w:ilvl="2">
        <w:start w:val="1"/>
        <w:numFmt w:val="decimal"/>
        <w:lvlText w:val="%1Chapter 3 - "/>
        <w:lvlJc w:val="left"/>
        <w:pPr>
          <w:ind w:left="0" w:firstLine="0"/>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26" w16cid:durableId="1521552367">
    <w:abstractNumId w:val="5"/>
  </w:num>
  <w:num w:numId="27" w16cid:durableId="584649974">
    <w:abstractNumId w:val="23"/>
  </w:num>
  <w:num w:numId="28" w16cid:durableId="1271820946">
    <w:abstractNumId w:val="2"/>
  </w:num>
  <w:num w:numId="29" w16cid:durableId="1079984064">
    <w:abstractNumId w:val="31"/>
  </w:num>
  <w:num w:numId="30" w16cid:durableId="1477797934">
    <w:abstractNumId w:val="34"/>
  </w:num>
  <w:num w:numId="31" w16cid:durableId="1240821444">
    <w:abstractNumId w:val="7"/>
  </w:num>
  <w:num w:numId="32" w16cid:durableId="771895699">
    <w:abstractNumId w:val="1"/>
  </w:num>
  <w:num w:numId="33" w16cid:durableId="430049490">
    <w:abstractNumId w:val="37"/>
  </w:num>
  <w:num w:numId="34" w16cid:durableId="1793134629">
    <w:abstractNumId w:val="6"/>
  </w:num>
  <w:num w:numId="35" w16cid:durableId="619460981">
    <w:abstractNumId w:val="33"/>
  </w:num>
  <w:num w:numId="36" w16cid:durableId="1870144449">
    <w:abstractNumId w:val="21"/>
  </w:num>
  <w:num w:numId="37" w16cid:durableId="1118835269">
    <w:abstractNumId w:val="9"/>
  </w:num>
  <w:num w:numId="38" w16cid:durableId="1366129983">
    <w:abstractNumId w:val="14"/>
  </w:num>
  <w:num w:numId="39" w16cid:durableId="944314984">
    <w:abstractNumId w:val="15"/>
  </w:num>
  <w:num w:numId="40" w16cid:durableId="31078796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3DCB"/>
    <w:rsid w:val="000123E5"/>
    <w:rsid w:val="00050F6E"/>
    <w:rsid w:val="00061766"/>
    <w:rsid w:val="00071F80"/>
    <w:rsid w:val="000860C3"/>
    <w:rsid w:val="000A07E5"/>
    <w:rsid w:val="000A53FE"/>
    <w:rsid w:val="000F05DC"/>
    <w:rsid w:val="000F0885"/>
    <w:rsid w:val="000F669C"/>
    <w:rsid w:val="00130071"/>
    <w:rsid w:val="00143888"/>
    <w:rsid w:val="00152235"/>
    <w:rsid w:val="00155865"/>
    <w:rsid w:val="001752CC"/>
    <w:rsid w:val="0019640C"/>
    <w:rsid w:val="001C2D6D"/>
    <w:rsid w:val="001D61B2"/>
    <w:rsid w:val="001E17EE"/>
    <w:rsid w:val="001E2E32"/>
    <w:rsid w:val="0022087A"/>
    <w:rsid w:val="00277B50"/>
    <w:rsid w:val="002A26AD"/>
    <w:rsid w:val="002A3605"/>
    <w:rsid w:val="002A70F7"/>
    <w:rsid w:val="002C1399"/>
    <w:rsid w:val="002D5656"/>
    <w:rsid w:val="002D6539"/>
    <w:rsid w:val="002E306E"/>
    <w:rsid w:val="002E757A"/>
    <w:rsid w:val="002F758B"/>
    <w:rsid w:val="00343284"/>
    <w:rsid w:val="0035345A"/>
    <w:rsid w:val="00390E98"/>
    <w:rsid w:val="003A07C7"/>
    <w:rsid w:val="003A6020"/>
    <w:rsid w:val="003B550A"/>
    <w:rsid w:val="003B56D5"/>
    <w:rsid w:val="003B74BC"/>
    <w:rsid w:val="003C2E34"/>
    <w:rsid w:val="003C39B6"/>
    <w:rsid w:val="003C7668"/>
    <w:rsid w:val="003D2C93"/>
    <w:rsid w:val="003D3E96"/>
    <w:rsid w:val="003E011B"/>
    <w:rsid w:val="003F749E"/>
    <w:rsid w:val="00400667"/>
    <w:rsid w:val="004114A0"/>
    <w:rsid w:val="0043763D"/>
    <w:rsid w:val="004670C2"/>
    <w:rsid w:val="00485D6C"/>
    <w:rsid w:val="004877BE"/>
    <w:rsid w:val="004B7B60"/>
    <w:rsid w:val="004D5327"/>
    <w:rsid w:val="004D61D9"/>
    <w:rsid w:val="00503423"/>
    <w:rsid w:val="00520029"/>
    <w:rsid w:val="0056154C"/>
    <w:rsid w:val="00571085"/>
    <w:rsid w:val="00583CFB"/>
    <w:rsid w:val="005C6D9C"/>
    <w:rsid w:val="005D1A8A"/>
    <w:rsid w:val="005D4E93"/>
    <w:rsid w:val="005D6B8B"/>
    <w:rsid w:val="005E75C9"/>
    <w:rsid w:val="005F1E9E"/>
    <w:rsid w:val="00610E56"/>
    <w:rsid w:val="006160C7"/>
    <w:rsid w:val="00622E32"/>
    <w:rsid w:val="00630675"/>
    <w:rsid w:val="00630D6C"/>
    <w:rsid w:val="0063357B"/>
    <w:rsid w:val="00667487"/>
    <w:rsid w:val="00673C74"/>
    <w:rsid w:val="00675E66"/>
    <w:rsid w:val="006849D4"/>
    <w:rsid w:val="006C18F3"/>
    <w:rsid w:val="006D1AF5"/>
    <w:rsid w:val="00700655"/>
    <w:rsid w:val="00725BB7"/>
    <w:rsid w:val="00766C6C"/>
    <w:rsid w:val="007D5664"/>
    <w:rsid w:val="007E7B32"/>
    <w:rsid w:val="008038E0"/>
    <w:rsid w:val="008068A0"/>
    <w:rsid w:val="00813A1B"/>
    <w:rsid w:val="00815F2A"/>
    <w:rsid w:val="00844997"/>
    <w:rsid w:val="00871F20"/>
    <w:rsid w:val="008A4DF7"/>
    <w:rsid w:val="008B54A8"/>
    <w:rsid w:val="008C4606"/>
    <w:rsid w:val="008C48F5"/>
    <w:rsid w:val="008E7FC7"/>
    <w:rsid w:val="008F197C"/>
    <w:rsid w:val="009103D9"/>
    <w:rsid w:val="009132D9"/>
    <w:rsid w:val="00915C95"/>
    <w:rsid w:val="00970291"/>
    <w:rsid w:val="00980748"/>
    <w:rsid w:val="00981667"/>
    <w:rsid w:val="009B66CA"/>
    <w:rsid w:val="009E4EF6"/>
    <w:rsid w:val="00A37103"/>
    <w:rsid w:val="00A45494"/>
    <w:rsid w:val="00A478FC"/>
    <w:rsid w:val="00A570E9"/>
    <w:rsid w:val="00A86A28"/>
    <w:rsid w:val="00A87297"/>
    <w:rsid w:val="00AB1157"/>
    <w:rsid w:val="00AB529A"/>
    <w:rsid w:val="00AD1DF7"/>
    <w:rsid w:val="00AD2C6B"/>
    <w:rsid w:val="00AE5E64"/>
    <w:rsid w:val="00AE649C"/>
    <w:rsid w:val="00B43490"/>
    <w:rsid w:val="00B54FAE"/>
    <w:rsid w:val="00B57603"/>
    <w:rsid w:val="00B739AC"/>
    <w:rsid w:val="00B76846"/>
    <w:rsid w:val="00B82501"/>
    <w:rsid w:val="00B90747"/>
    <w:rsid w:val="00B952E3"/>
    <w:rsid w:val="00BA122B"/>
    <w:rsid w:val="00BA45DF"/>
    <w:rsid w:val="00BB7326"/>
    <w:rsid w:val="00BC7328"/>
    <w:rsid w:val="00BD6756"/>
    <w:rsid w:val="00BD6F65"/>
    <w:rsid w:val="00BE3DCB"/>
    <w:rsid w:val="00BF6161"/>
    <w:rsid w:val="00C01A3C"/>
    <w:rsid w:val="00C0397A"/>
    <w:rsid w:val="00C75645"/>
    <w:rsid w:val="00C7772C"/>
    <w:rsid w:val="00C81EC5"/>
    <w:rsid w:val="00C95A56"/>
    <w:rsid w:val="00CD3A3C"/>
    <w:rsid w:val="00CE074E"/>
    <w:rsid w:val="00D11B8F"/>
    <w:rsid w:val="00D2348A"/>
    <w:rsid w:val="00D459CD"/>
    <w:rsid w:val="00D5250B"/>
    <w:rsid w:val="00D756A6"/>
    <w:rsid w:val="00DA4B87"/>
    <w:rsid w:val="00DC62E7"/>
    <w:rsid w:val="00DD3F17"/>
    <w:rsid w:val="00DE3AF6"/>
    <w:rsid w:val="00DE61E8"/>
    <w:rsid w:val="00DF7CB2"/>
    <w:rsid w:val="00E030DD"/>
    <w:rsid w:val="00E04863"/>
    <w:rsid w:val="00E27335"/>
    <w:rsid w:val="00E42129"/>
    <w:rsid w:val="00E62925"/>
    <w:rsid w:val="00E90CF0"/>
    <w:rsid w:val="00E90F40"/>
    <w:rsid w:val="00EE5313"/>
    <w:rsid w:val="00EF4C20"/>
    <w:rsid w:val="00F034DF"/>
    <w:rsid w:val="00F144C9"/>
    <w:rsid w:val="00F204A5"/>
    <w:rsid w:val="00F42C5B"/>
    <w:rsid w:val="00F44478"/>
    <w:rsid w:val="00F77269"/>
    <w:rsid w:val="00F800B9"/>
    <w:rsid w:val="00F87FB4"/>
    <w:rsid w:val="00F90EBD"/>
    <w:rsid w:val="00FB6E3F"/>
    <w:rsid w:val="00FD7D6C"/>
    <w:rsid w:val="00FE1E6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F3EF9"/>
  <w15:docId w15:val="{F438B018-FEC9-420F-8EC4-1E56990CB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MS Mincho" w:hAnsi="Arial" w:cs="Arial"/>
        <w:sz w:val="22"/>
        <w:szCs w:val="22"/>
        <w:lang w:val="en-US"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5D1A8A"/>
    <w:pPr>
      <w:keepNext/>
      <w:keepLines/>
      <w:numPr>
        <w:numId w:val="27"/>
      </w:numPr>
      <w:spacing w:before="480" w:after="120"/>
      <w:outlineLvl w:val="0"/>
    </w:pPr>
    <w:rPr>
      <w:b/>
      <w:sz w:val="48"/>
      <w:szCs w:val="48"/>
    </w:rPr>
  </w:style>
  <w:style w:type="paragraph" w:styleId="Heading2">
    <w:name w:val="heading 2"/>
    <w:basedOn w:val="Normal"/>
    <w:next w:val="Normal"/>
    <w:uiPriority w:val="9"/>
    <w:unhideWhenUsed/>
    <w:qFormat/>
    <w:rsid w:val="005D1A8A"/>
    <w:pPr>
      <w:keepNext/>
      <w:keepLines/>
      <w:numPr>
        <w:ilvl w:val="1"/>
        <w:numId w:val="27"/>
      </w:numPr>
      <w:spacing w:before="360" w:after="80"/>
      <w:outlineLvl w:val="1"/>
    </w:pPr>
    <w:rPr>
      <w:b/>
      <w:sz w:val="36"/>
      <w:szCs w:val="36"/>
    </w:rPr>
  </w:style>
  <w:style w:type="paragraph" w:styleId="Heading3">
    <w:name w:val="heading 3"/>
    <w:basedOn w:val="Normal"/>
    <w:next w:val="Normal"/>
    <w:uiPriority w:val="9"/>
    <w:unhideWhenUsed/>
    <w:qFormat/>
    <w:pPr>
      <w:keepNext/>
      <w:keepLines/>
      <w:numPr>
        <w:ilvl w:val="2"/>
        <w:numId w:val="27"/>
      </w:numPr>
      <w:spacing w:before="29" w:line="240" w:lineRule="auto"/>
      <w:outlineLvl w:val="2"/>
    </w:pPr>
    <w:rPr>
      <w:rFonts w:ascii="Times New Roman" w:eastAsia="Times New Roman" w:hAnsi="Times New Roman" w:cs="Times New Roman"/>
      <w:b/>
      <w:sz w:val="24"/>
      <w:szCs w:val="24"/>
    </w:rPr>
  </w:style>
  <w:style w:type="paragraph" w:styleId="Heading4">
    <w:name w:val="heading 4"/>
    <w:basedOn w:val="Normal"/>
    <w:next w:val="Normal"/>
    <w:uiPriority w:val="9"/>
    <w:unhideWhenUsed/>
    <w:qFormat/>
    <w:pPr>
      <w:keepNext/>
      <w:keepLines/>
      <w:numPr>
        <w:ilvl w:val="3"/>
        <w:numId w:val="27"/>
      </w:numPr>
      <w:spacing w:before="240" w:after="40"/>
      <w:outlineLvl w:val="3"/>
    </w:pPr>
    <w:rPr>
      <w:b/>
      <w:sz w:val="24"/>
      <w:szCs w:val="24"/>
    </w:rPr>
  </w:style>
  <w:style w:type="paragraph" w:styleId="Heading5">
    <w:name w:val="heading 5"/>
    <w:basedOn w:val="Normal"/>
    <w:next w:val="Normal"/>
    <w:uiPriority w:val="9"/>
    <w:semiHidden/>
    <w:unhideWhenUsed/>
    <w:qFormat/>
    <w:pPr>
      <w:keepNext/>
      <w:keepLines/>
      <w:numPr>
        <w:ilvl w:val="4"/>
        <w:numId w:val="27"/>
      </w:numPr>
      <w:spacing w:before="220" w:after="40"/>
      <w:outlineLvl w:val="4"/>
    </w:pPr>
    <w:rPr>
      <w:b/>
    </w:rPr>
  </w:style>
  <w:style w:type="paragraph" w:styleId="Heading6">
    <w:name w:val="heading 6"/>
    <w:basedOn w:val="Normal"/>
    <w:next w:val="Normal"/>
    <w:uiPriority w:val="9"/>
    <w:semiHidden/>
    <w:unhideWhenUsed/>
    <w:qFormat/>
    <w:pPr>
      <w:keepNext/>
      <w:keepLines/>
      <w:numPr>
        <w:ilvl w:val="5"/>
        <w:numId w:val="27"/>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143888"/>
    <w:pPr>
      <w:keepNext/>
      <w:keepLines/>
      <w:numPr>
        <w:ilvl w:val="6"/>
        <w:numId w:val="27"/>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43888"/>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43888"/>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fontstyle01">
    <w:name w:val="fontstyle01"/>
    <w:basedOn w:val="DefaultParagraphFont"/>
    <w:rsid w:val="00C75645"/>
    <w:rPr>
      <w:rFonts w:ascii="Times New Roman" w:hAnsi="Times New Roman" w:cs="Times New Roman" w:hint="default"/>
      <w:b/>
      <w:bCs/>
      <w:i w:val="0"/>
      <w:iCs w:val="0"/>
      <w:color w:val="000000"/>
      <w:sz w:val="28"/>
      <w:szCs w:val="28"/>
    </w:rPr>
  </w:style>
  <w:style w:type="character" w:customStyle="1" w:styleId="fontstyle21">
    <w:name w:val="fontstyle21"/>
    <w:basedOn w:val="DefaultParagraphFont"/>
    <w:rsid w:val="00C75645"/>
    <w:rPr>
      <w:rFonts w:ascii="NimbusRomNo9L-Regu" w:hAnsi="NimbusRomNo9L-Regu" w:hint="default"/>
      <w:b w:val="0"/>
      <w:bCs w:val="0"/>
      <w:i w:val="0"/>
      <w:iCs w:val="0"/>
      <w:color w:val="000000"/>
      <w:sz w:val="20"/>
      <w:szCs w:val="20"/>
    </w:rPr>
  </w:style>
  <w:style w:type="paragraph" w:styleId="Header">
    <w:name w:val="header"/>
    <w:basedOn w:val="Normal"/>
    <w:link w:val="HeaderChar"/>
    <w:uiPriority w:val="99"/>
    <w:unhideWhenUsed/>
    <w:rsid w:val="009E4EF6"/>
    <w:pPr>
      <w:tabs>
        <w:tab w:val="center" w:pos="4680"/>
        <w:tab w:val="right" w:pos="9360"/>
      </w:tabs>
      <w:spacing w:line="240" w:lineRule="auto"/>
    </w:pPr>
  </w:style>
  <w:style w:type="character" w:customStyle="1" w:styleId="HeaderChar">
    <w:name w:val="Header Char"/>
    <w:basedOn w:val="DefaultParagraphFont"/>
    <w:link w:val="Header"/>
    <w:uiPriority w:val="99"/>
    <w:rsid w:val="009E4EF6"/>
  </w:style>
  <w:style w:type="paragraph" w:styleId="Footer">
    <w:name w:val="footer"/>
    <w:basedOn w:val="Normal"/>
    <w:link w:val="FooterChar"/>
    <w:uiPriority w:val="99"/>
    <w:unhideWhenUsed/>
    <w:rsid w:val="009E4EF6"/>
    <w:pPr>
      <w:tabs>
        <w:tab w:val="center" w:pos="4680"/>
        <w:tab w:val="right" w:pos="9360"/>
      </w:tabs>
      <w:spacing w:line="240" w:lineRule="auto"/>
    </w:pPr>
  </w:style>
  <w:style w:type="character" w:customStyle="1" w:styleId="FooterChar">
    <w:name w:val="Footer Char"/>
    <w:basedOn w:val="DefaultParagraphFont"/>
    <w:link w:val="Footer"/>
    <w:uiPriority w:val="99"/>
    <w:rsid w:val="009E4EF6"/>
  </w:style>
  <w:style w:type="paragraph" w:styleId="Bibliography">
    <w:name w:val="Bibliography"/>
    <w:basedOn w:val="Normal"/>
    <w:next w:val="Normal"/>
    <w:uiPriority w:val="37"/>
    <w:unhideWhenUsed/>
    <w:rsid w:val="00F42C5B"/>
    <w:pPr>
      <w:spacing w:after="240" w:line="240" w:lineRule="auto"/>
    </w:pPr>
  </w:style>
  <w:style w:type="paragraph" w:styleId="ListParagraph">
    <w:name w:val="List Paragraph"/>
    <w:basedOn w:val="Normal"/>
    <w:uiPriority w:val="34"/>
    <w:qFormat/>
    <w:rsid w:val="00980748"/>
    <w:pPr>
      <w:ind w:left="720"/>
      <w:contextualSpacing/>
    </w:pPr>
  </w:style>
  <w:style w:type="character" w:styleId="PlaceholderText">
    <w:name w:val="Placeholder Text"/>
    <w:basedOn w:val="DefaultParagraphFont"/>
    <w:uiPriority w:val="99"/>
    <w:semiHidden/>
    <w:rsid w:val="00A37103"/>
    <w:rPr>
      <w:color w:val="666666"/>
    </w:rPr>
  </w:style>
  <w:style w:type="character" w:styleId="Hyperlink">
    <w:name w:val="Hyperlink"/>
    <w:basedOn w:val="DefaultParagraphFont"/>
    <w:uiPriority w:val="99"/>
    <w:unhideWhenUsed/>
    <w:rsid w:val="003B550A"/>
    <w:rPr>
      <w:color w:val="0000FF" w:themeColor="hyperlink"/>
      <w:u w:val="single"/>
    </w:rPr>
  </w:style>
  <w:style w:type="character" w:styleId="UnresolvedMention">
    <w:name w:val="Unresolved Mention"/>
    <w:basedOn w:val="DefaultParagraphFont"/>
    <w:uiPriority w:val="99"/>
    <w:semiHidden/>
    <w:unhideWhenUsed/>
    <w:rsid w:val="003B550A"/>
    <w:rPr>
      <w:color w:val="605E5C"/>
      <w:shd w:val="clear" w:color="auto" w:fill="E1DFDD"/>
    </w:rPr>
  </w:style>
  <w:style w:type="character" w:customStyle="1" w:styleId="Heading7Char">
    <w:name w:val="Heading 7 Char"/>
    <w:basedOn w:val="DefaultParagraphFont"/>
    <w:link w:val="Heading7"/>
    <w:uiPriority w:val="9"/>
    <w:semiHidden/>
    <w:rsid w:val="00143888"/>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14388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43888"/>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B952E3"/>
    <w:pPr>
      <w:spacing w:line="240" w:lineRule="auto"/>
    </w:pPr>
  </w:style>
  <w:style w:type="character" w:customStyle="1" w:styleId="NoSpacingChar">
    <w:name w:val="No Spacing Char"/>
    <w:basedOn w:val="DefaultParagraphFont"/>
    <w:link w:val="NoSpacing"/>
    <w:uiPriority w:val="1"/>
    <w:rsid w:val="000F0885"/>
  </w:style>
  <w:style w:type="paragraph" w:styleId="Caption">
    <w:name w:val="caption"/>
    <w:basedOn w:val="Normal"/>
    <w:next w:val="Normal"/>
    <w:uiPriority w:val="35"/>
    <w:unhideWhenUsed/>
    <w:qFormat/>
    <w:rsid w:val="005C6D9C"/>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824969">
      <w:bodyDiv w:val="1"/>
      <w:marLeft w:val="0"/>
      <w:marRight w:val="0"/>
      <w:marTop w:val="0"/>
      <w:marBottom w:val="0"/>
      <w:divBdr>
        <w:top w:val="none" w:sz="0" w:space="0" w:color="auto"/>
        <w:left w:val="none" w:sz="0" w:space="0" w:color="auto"/>
        <w:bottom w:val="none" w:sz="0" w:space="0" w:color="auto"/>
        <w:right w:val="none" w:sz="0" w:space="0" w:color="auto"/>
      </w:divBdr>
    </w:div>
    <w:div w:id="336152168">
      <w:bodyDiv w:val="1"/>
      <w:marLeft w:val="0"/>
      <w:marRight w:val="0"/>
      <w:marTop w:val="0"/>
      <w:marBottom w:val="0"/>
      <w:divBdr>
        <w:top w:val="none" w:sz="0" w:space="0" w:color="auto"/>
        <w:left w:val="none" w:sz="0" w:space="0" w:color="auto"/>
        <w:bottom w:val="none" w:sz="0" w:space="0" w:color="auto"/>
        <w:right w:val="none" w:sz="0" w:space="0" w:color="auto"/>
      </w:divBdr>
    </w:div>
    <w:div w:id="416945844">
      <w:bodyDiv w:val="1"/>
      <w:marLeft w:val="0"/>
      <w:marRight w:val="0"/>
      <w:marTop w:val="0"/>
      <w:marBottom w:val="0"/>
      <w:divBdr>
        <w:top w:val="none" w:sz="0" w:space="0" w:color="auto"/>
        <w:left w:val="none" w:sz="0" w:space="0" w:color="auto"/>
        <w:bottom w:val="none" w:sz="0" w:space="0" w:color="auto"/>
        <w:right w:val="none" w:sz="0" w:space="0" w:color="auto"/>
      </w:divBdr>
      <w:divsChild>
        <w:div w:id="1008482979">
          <w:marLeft w:val="0"/>
          <w:marRight w:val="0"/>
          <w:marTop w:val="0"/>
          <w:marBottom w:val="0"/>
          <w:divBdr>
            <w:top w:val="none" w:sz="0" w:space="0" w:color="auto"/>
            <w:left w:val="none" w:sz="0" w:space="0" w:color="auto"/>
            <w:bottom w:val="none" w:sz="0" w:space="0" w:color="auto"/>
            <w:right w:val="none" w:sz="0" w:space="0" w:color="auto"/>
          </w:divBdr>
        </w:div>
      </w:divsChild>
    </w:div>
    <w:div w:id="477503198">
      <w:bodyDiv w:val="1"/>
      <w:marLeft w:val="0"/>
      <w:marRight w:val="0"/>
      <w:marTop w:val="0"/>
      <w:marBottom w:val="0"/>
      <w:divBdr>
        <w:top w:val="none" w:sz="0" w:space="0" w:color="auto"/>
        <w:left w:val="none" w:sz="0" w:space="0" w:color="auto"/>
        <w:bottom w:val="none" w:sz="0" w:space="0" w:color="auto"/>
        <w:right w:val="none" w:sz="0" w:space="0" w:color="auto"/>
      </w:divBdr>
      <w:divsChild>
        <w:div w:id="245967352">
          <w:marLeft w:val="0"/>
          <w:marRight w:val="0"/>
          <w:marTop w:val="0"/>
          <w:marBottom w:val="0"/>
          <w:divBdr>
            <w:top w:val="none" w:sz="0" w:space="0" w:color="auto"/>
            <w:left w:val="none" w:sz="0" w:space="0" w:color="auto"/>
            <w:bottom w:val="none" w:sz="0" w:space="0" w:color="auto"/>
            <w:right w:val="none" w:sz="0" w:space="0" w:color="auto"/>
          </w:divBdr>
        </w:div>
      </w:divsChild>
    </w:div>
    <w:div w:id="501748447">
      <w:bodyDiv w:val="1"/>
      <w:marLeft w:val="0"/>
      <w:marRight w:val="0"/>
      <w:marTop w:val="0"/>
      <w:marBottom w:val="0"/>
      <w:divBdr>
        <w:top w:val="none" w:sz="0" w:space="0" w:color="auto"/>
        <w:left w:val="none" w:sz="0" w:space="0" w:color="auto"/>
        <w:bottom w:val="none" w:sz="0" w:space="0" w:color="auto"/>
        <w:right w:val="none" w:sz="0" w:space="0" w:color="auto"/>
      </w:divBdr>
      <w:divsChild>
        <w:div w:id="1043824299">
          <w:marLeft w:val="0"/>
          <w:marRight w:val="0"/>
          <w:marTop w:val="0"/>
          <w:marBottom w:val="0"/>
          <w:divBdr>
            <w:top w:val="none" w:sz="0" w:space="0" w:color="auto"/>
            <w:left w:val="none" w:sz="0" w:space="0" w:color="auto"/>
            <w:bottom w:val="none" w:sz="0" w:space="0" w:color="auto"/>
            <w:right w:val="none" w:sz="0" w:space="0" w:color="auto"/>
          </w:divBdr>
        </w:div>
      </w:divsChild>
    </w:div>
    <w:div w:id="883639563">
      <w:bodyDiv w:val="1"/>
      <w:marLeft w:val="0"/>
      <w:marRight w:val="0"/>
      <w:marTop w:val="0"/>
      <w:marBottom w:val="0"/>
      <w:divBdr>
        <w:top w:val="none" w:sz="0" w:space="0" w:color="auto"/>
        <w:left w:val="none" w:sz="0" w:space="0" w:color="auto"/>
        <w:bottom w:val="none" w:sz="0" w:space="0" w:color="auto"/>
        <w:right w:val="none" w:sz="0" w:space="0" w:color="auto"/>
      </w:divBdr>
      <w:divsChild>
        <w:div w:id="1541166347">
          <w:marLeft w:val="0"/>
          <w:marRight w:val="0"/>
          <w:marTop w:val="0"/>
          <w:marBottom w:val="0"/>
          <w:divBdr>
            <w:top w:val="none" w:sz="0" w:space="0" w:color="auto"/>
            <w:left w:val="none" w:sz="0" w:space="0" w:color="auto"/>
            <w:bottom w:val="none" w:sz="0" w:space="0" w:color="auto"/>
            <w:right w:val="none" w:sz="0" w:space="0" w:color="auto"/>
          </w:divBdr>
        </w:div>
      </w:divsChild>
    </w:div>
    <w:div w:id="899168049">
      <w:bodyDiv w:val="1"/>
      <w:marLeft w:val="0"/>
      <w:marRight w:val="0"/>
      <w:marTop w:val="0"/>
      <w:marBottom w:val="0"/>
      <w:divBdr>
        <w:top w:val="none" w:sz="0" w:space="0" w:color="auto"/>
        <w:left w:val="none" w:sz="0" w:space="0" w:color="auto"/>
        <w:bottom w:val="none" w:sz="0" w:space="0" w:color="auto"/>
        <w:right w:val="none" w:sz="0" w:space="0" w:color="auto"/>
      </w:divBdr>
    </w:div>
    <w:div w:id="1070345269">
      <w:bodyDiv w:val="1"/>
      <w:marLeft w:val="0"/>
      <w:marRight w:val="0"/>
      <w:marTop w:val="0"/>
      <w:marBottom w:val="0"/>
      <w:divBdr>
        <w:top w:val="none" w:sz="0" w:space="0" w:color="auto"/>
        <w:left w:val="none" w:sz="0" w:space="0" w:color="auto"/>
        <w:bottom w:val="none" w:sz="0" w:space="0" w:color="auto"/>
        <w:right w:val="none" w:sz="0" w:space="0" w:color="auto"/>
      </w:divBdr>
      <w:divsChild>
        <w:div w:id="313221085">
          <w:marLeft w:val="0"/>
          <w:marRight w:val="0"/>
          <w:marTop w:val="0"/>
          <w:marBottom w:val="0"/>
          <w:divBdr>
            <w:top w:val="none" w:sz="0" w:space="0" w:color="auto"/>
            <w:left w:val="none" w:sz="0" w:space="0" w:color="auto"/>
            <w:bottom w:val="none" w:sz="0" w:space="0" w:color="auto"/>
            <w:right w:val="none" w:sz="0" w:space="0" w:color="auto"/>
          </w:divBdr>
          <w:divsChild>
            <w:div w:id="433868551">
              <w:marLeft w:val="0"/>
              <w:marRight w:val="0"/>
              <w:marTop w:val="0"/>
              <w:marBottom w:val="0"/>
              <w:divBdr>
                <w:top w:val="single" w:sz="2" w:space="0" w:color="000000"/>
                <w:left w:val="single" w:sz="2" w:space="0" w:color="000000"/>
                <w:bottom w:val="single" w:sz="2" w:space="0" w:color="000000"/>
                <w:right w:val="single" w:sz="2" w:space="0" w:color="000000"/>
              </w:divBdr>
            </w:div>
            <w:div w:id="1339429737">
              <w:marLeft w:val="0"/>
              <w:marRight w:val="0"/>
              <w:marTop w:val="0"/>
              <w:marBottom w:val="0"/>
              <w:divBdr>
                <w:top w:val="single" w:sz="2" w:space="0" w:color="000000"/>
                <w:left w:val="single" w:sz="2" w:space="0" w:color="000000"/>
                <w:bottom w:val="single" w:sz="2" w:space="0" w:color="000000"/>
                <w:right w:val="single" w:sz="2" w:space="0" w:color="000000"/>
              </w:divBdr>
            </w:div>
            <w:div w:id="1079905421">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098601578">
      <w:bodyDiv w:val="1"/>
      <w:marLeft w:val="0"/>
      <w:marRight w:val="0"/>
      <w:marTop w:val="0"/>
      <w:marBottom w:val="0"/>
      <w:divBdr>
        <w:top w:val="none" w:sz="0" w:space="0" w:color="auto"/>
        <w:left w:val="none" w:sz="0" w:space="0" w:color="auto"/>
        <w:bottom w:val="none" w:sz="0" w:space="0" w:color="auto"/>
        <w:right w:val="none" w:sz="0" w:space="0" w:color="auto"/>
      </w:divBdr>
      <w:divsChild>
        <w:div w:id="857545164">
          <w:marLeft w:val="0"/>
          <w:marRight w:val="0"/>
          <w:marTop w:val="0"/>
          <w:marBottom w:val="0"/>
          <w:divBdr>
            <w:top w:val="none" w:sz="0" w:space="0" w:color="auto"/>
            <w:left w:val="none" w:sz="0" w:space="0" w:color="auto"/>
            <w:bottom w:val="none" w:sz="0" w:space="0" w:color="auto"/>
            <w:right w:val="none" w:sz="0" w:space="0" w:color="auto"/>
          </w:divBdr>
          <w:divsChild>
            <w:div w:id="811681615">
              <w:marLeft w:val="0"/>
              <w:marRight w:val="0"/>
              <w:marTop w:val="0"/>
              <w:marBottom w:val="0"/>
              <w:divBdr>
                <w:top w:val="single" w:sz="2" w:space="0" w:color="000000"/>
                <w:left w:val="single" w:sz="2" w:space="0" w:color="000000"/>
                <w:bottom w:val="single" w:sz="2" w:space="0" w:color="000000"/>
                <w:right w:val="single" w:sz="2" w:space="0" w:color="000000"/>
              </w:divBdr>
            </w:div>
            <w:div w:id="1253079597">
              <w:marLeft w:val="0"/>
              <w:marRight w:val="0"/>
              <w:marTop w:val="0"/>
              <w:marBottom w:val="0"/>
              <w:divBdr>
                <w:top w:val="single" w:sz="2" w:space="0" w:color="000000"/>
                <w:left w:val="single" w:sz="2" w:space="0" w:color="000000"/>
                <w:bottom w:val="single" w:sz="2" w:space="0" w:color="000000"/>
                <w:right w:val="single" w:sz="2" w:space="0" w:color="000000"/>
              </w:divBdr>
            </w:div>
            <w:div w:id="1097093280">
              <w:marLeft w:val="0"/>
              <w:marRight w:val="0"/>
              <w:marTop w:val="0"/>
              <w:marBottom w:val="0"/>
              <w:divBdr>
                <w:top w:val="single" w:sz="2" w:space="0" w:color="000000"/>
                <w:left w:val="single" w:sz="2" w:space="0" w:color="000000"/>
                <w:bottom w:val="single" w:sz="2" w:space="0" w:color="000000"/>
                <w:right w:val="single" w:sz="2" w:space="0" w:color="000000"/>
              </w:divBdr>
            </w:div>
          </w:divsChild>
        </w:div>
      </w:divsChild>
    </w:div>
    <w:div w:id="1377512346">
      <w:bodyDiv w:val="1"/>
      <w:marLeft w:val="0"/>
      <w:marRight w:val="0"/>
      <w:marTop w:val="0"/>
      <w:marBottom w:val="0"/>
      <w:divBdr>
        <w:top w:val="none" w:sz="0" w:space="0" w:color="auto"/>
        <w:left w:val="none" w:sz="0" w:space="0" w:color="auto"/>
        <w:bottom w:val="none" w:sz="0" w:space="0" w:color="auto"/>
        <w:right w:val="none" w:sz="0" w:space="0" w:color="auto"/>
      </w:divBdr>
    </w:div>
    <w:div w:id="1520199096">
      <w:bodyDiv w:val="1"/>
      <w:marLeft w:val="0"/>
      <w:marRight w:val="0"/>
      <w:marTop w:val="0"/>
      <w:marBottom w:val="0"/>
      <w:divBdr>
        <w:top w:val="none" w:sz="0" w:space="0" w:color="auto"/>
        <w:left w:val="none" w:sz="0" w:space="0" w:color="auto"/>
        <w:bottom w:val="none" w:sz="0" w:space="0" w:color="auto"/>
        <w:right w:val="none" w:sz="0" w:space="0" w:color="auto"/>
      </w:divBdr>
      <w:divsChild>
        <w:div w:id="93013409">
          <w:marLeft w:val="0"/>
          <w:marRight w:val="0"/>
          <w:marTop w:val="0"/>
          <w:marBottom w:val="0"/>
          <w:divBdr>
            <w:top w:val="none" w:sz="0" w:space="0" w:color="auto"/>
            <w:left w:val="none" w:sz="0" w:space="0" w:color="auto"/>
            <w:bottom w:val="none" w:sz="0" w:space="0" w:color="auto"/>
            <w:right w:val="none" w:sz="0" w:space="0" w:color="auto"/>
          </w:divBdr>
        </w:div>
      </w:divsChild>
    </w:div>
    <w:div w:id="1562207071">
      <w:bodyDiv w:val="1"/>
      <w:marLeft w:val="0"/>
      <w:marRight w:val="0"/>
      <w:marTop w:val="0"/>
      <w:marBottom w:val="0"/>
      <w:divBdr>
        <w:top w:val="none" w:sz="0" w:space="0" w:color="auto"/>
        <w:left w:val="none" w:sz="0" w:space="0" w:color="auto"/>
        <w:bottom w:val="none" w:sz="0" w:space="0" w:color="auto"/>
        <w:right w:val="none" w:sz="0" w:space="0" w:color="auto"/>
      </w:divBdr>
    </w:div>
    <w:div w:id="1592931573">
      <w:bodyDiv w:val="1"/>
      <w:marLeft w:val="0"/>
      <w:marRight w:val="0"/>
      <w:marTop w:val="0"/>
      <w:marBottom w:val="0"/>
      <w:divBdr>
        <w:top w:val="none" w:sz="0" w:space="0" w:color="auto"/>
        <w:left w:val="none" w:sz="0" w:space="0" w:color="auto"/>
        <w:bottom w:val="none" w:sz="0" w:space="0" w:color="auto"/>
        <w:right w:val="none" w:sz="0" w:space="0" w:color="auto"/>
      </w:divBdr>
    </w:div>
    <w:div w:id="1651247276">
      <w:bodyDiv w:val="1"/>
      <w:marLeft w:val="0"/>
      <w:marRight w:val="0"/>
      <w:marTop w:val="0"/>
      <w:marBottom w:val="0"/>
      <w:divBdr>
        <w:top w:val="none" w:sz="0" w:space="0" w:color="auto"/>
        <w:left w:val="none" w:sz="0" w:space="0" w:color="auto"/>
        <w:bottom w:val="none" w:sz="0" w:space="0" w:color="auto"/>
        <w:right w:val="none" w:sz="0" w:space="0" w:color="auto"/>
      </w:divBdr>
    </w:div>
    <w:div w:id="1677725120">
      <w:bodyDiv w:val="1"/>
      <w:marLeft w:val="0"/>
      <w:marRight w:val="0"/>
      <w:marTop w:val="0"/>
      <w:marBottom w:val="0"/>
      <w:divBdr>
        <w:top w:val="none" w:sz="0" w:space="0" w:color="auto"/>
        <w:left w:val="none" w:sz="0" w:space="0" w:color="auto"/>
        <w:bottom w:val="none" w:sz="0" w:space="0" w:color="auto"/>
        <w:right w:val="none" w:sz="0" w:space="0" w:color="auto"/>
      </w:divBdr>
      <w:divsChild>
        <w:div w:id="247271528">
          <w:marLeft w:val="0"/>
          <w:marRight w:val="0"/>
          <w:marTop w:val="0"/>
          <w:marBottom w:val="0"/>
          <w:divBdr>
            <w:top w:val="none" w:sz="0" w:space="0" w:color="auto"/>
            <w:left w:val="none" w:sz="0" w:space="0" w:color="auto"/>
            <w:bottom w:val="none" w:sz="0" w:space="0" w:color="auto"/>
            <w:right w:val="none" w:sz="0" w:space="0" w:color="auto"/>
          </w:divBdr>
        </w:div>
      </w:divsChild>
    </w:div>
    <w:div w:id="19900140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ode.earthengine.google.com" TargetMode="External"/><Relationship Id="rId18" Type="http://schemas.openxmlformats.org/officeDocument/2006/relationships/image" Target="media/image9.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2A7C45D-9987-495F-8D2C-173D3C926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8821</TotalTime>
  <Pages>48</Pages>
  <Words>40936</Words>
  <Characters>233339</Characters>
  <Application>Microsoft Office Word</Application>
  <DocSecurity>0</DocSecurity>
  <Lines>1944</Lines>
  <Paragraphs>547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manzu</dc:creator>
  <cp:lastModifiedBy>MANZU GERALD</cp:lastModifiedBy>
  <cp:revision>22</cp:revision>
  <cp:lastPrinted>2025-04-06T13:20:00Z</cp:lastPrinted>
  <dcterms:created xsi:type="dcterms:W3CDTF">2025-03-30T14:58:00Z</dcterms:created>
  <dcterms:modified xsi:type="dcterms:W3CDTF">2025-04-07T05:57:00Z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id="z3TBblIN"/&gt;&lt;style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