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BD472" w14:textId="77777777" w:rsidR="00C75645" w:rsidRPr="00571085" w:rsidRDefault="00C75645" w:rsidP="00C75645">
      <w:pPr>
        <w:widowControl w:val="0"/>
        <w:spacing w:before="111"/>
        <w:jc w:val="center"/>
        <w:rPr>
          <w:rFonts w:ascii="Times New Roman" w:eastAsia="Times New Roman" w:hAnsi="Times New Roman" w:cs="Times New Roman"/>
          <w:b/>
          <w:color w:val="1F497D" w:themeColor="text2"/>
          <w:sz w:val="32"/>
          <w:szCs w:val="32"/>
        </w:rPr>
      </w:pPr>
      <w:r w:rsidRPr="00571085">
        <w:rPr>
          <w:rFonts w:ascii="Times New Roman" w:eastAsia="Times New Roman" w:hAnsi="Times New Roman" w:cs="Times New Roman"/>
          <w:b/>
          <w:color w:val="1F497D" w:themeColor="text2"/>
          <w:sz w:val="32"/>
          <w:szCs w:val="32"/>
        </w:rPr>
        <w:t>A Machine Learning Approach to Urban Growth Prediction of Juba, South Sudan (2024-2033)</w:t>
      </w:r>
    </w:p>
    <w:p w14:paraId="47980DA1" w14:textId="77777777" w:rsidR="00C75645" w:rsidRPr="00571085" w:rsidRDefault="00C75645" w:rsidP="00C75645">
      <w:pPr>
        <w:widowControl w:val="0"/>
        <w:spacing w:before="111"/>
        <w:jc w:val="center"/>
        <w:rPr>
          <w:rFonts w:ascii="Times New Roman" w:eastAsia="Times New Roman" w:hAnsi="Times New Roman" w:cs="Times New Roman"/>
          <w:b/>
          <w:color w:val="1F497D" w:themeColor="text2"/>
          <w:sz w:val="32"/>
          <w:szCs w:val="32"/>
        </w:rPr>
      </w:pPr>
    </w:p>
    <w:p w14:paraId="1583BD4B" w14:textId="2F3A925B" w:rsidR="00C75645" w:rsidRPr="00571085" w:rsidRDefault="00C75645" w:rsidP="00C75645">
      <w:pPr>
        <w:widowControl w:val="0"/>
        <w:spacing w:before="111"/>
        <w:jc w:val="center"/>
        <w:rPr>
          <w:rFonts w:ascii="Times New Roman" w:eastAsia="Times New Roman" w:hAnsi="Times New Roman" w:cs="Times New Roman"/>
          <w:b/>
          <w:sz w:val="24"/>
          <w:szCs w:val="24"/>
        </w:rPr>
      </w:pPr>
      <w:r w:rsidRPr="00571085">
        <w:rPr>
          <w:rFonts w:ascii="Times New Roman" w:eastAsia="Times New Roman" w:hAnsi="Times New Roman" w:cs="Times New Roman"/>
          <w:b/>
          <w:sz w:val="24"/>
          <w:szCs w:val="24"/>
        </w:rPr>
        <w:t>NYOMBE BENSON JALLE  17-CIT-104</w:t>
      </w:r>
    </w:p>
    <w:p w14:paraId="1D9FC636" w14:textId="77777777" w:rsidR="00C75645" w:rsidRPr="00571085" w:rsidRDefault="00C75645" w:rsidP="00C75645">
      <w:pPr>
        <w:widowControl w:val="0"/>
        <w:spacing w:before="111"/>
        <w:jc w:val="center"/>
        <w:rPr>
          <w:rFonts w:ascii="Times New Roman" w:eastAsia="Times New Roman" w:hAnsi="Times New Roman" w:cs="Times New Roman"/>
          <w:b/>
          <w:color w:val="1F497D" w:themeColor="text2"/>
          <w:sz w:val="32"/>
          <w:szCs w:val="32"/>
        </w:rPr>
      </w:pPr>
    </w:p>
    <w:p w14:paraId="5CF6219A" w14:textId="0C354A14" w:rsidR="00BE3DCB" w:rsidRPr="00571085" w:rsidRDefault="00C75645">
      <w:pPr>
        <w:widowControl w:val="0"/>
        <w:pBdr>
          <w:top w:val="nil"/>
          <w:left w:val="nil"/>
          <w:bottom w:val="nil"/>
          <w:right w:val="nil"/>
          <w:between w:val="nil"/>
        </w:pBdr>
        <w:spacing w:line="344" w:lineRule="auto"/>
        <w:ind w:left="3" w:right="69"/>
        <w:jc w:val="center"/>
        <w:rPr>
          <w:rFonts w:ascii="Times New Roman" w:eastAsia="Times New Roman" w:hAnsi="Times New Roman" w:cs="Times New Roman"/>
          <w:b/>
          <w:bCs/>
        </w:rPr>
      </w:pPr>
      <w:r w:rsidRPr="00571085">
        <w:rPr>
          <w:rFonts w:ascii="Times New Roman" w:hAnsi="Times New Roman" w:cs="Times New Roman"/>
          <w:b/>
          <w:bCs/>
          <w:sz w:val="24"/>
          <w:szCs w:val="24"/>
        </w:rPr>
        <w:t xml:space="preserve">Supervised By: Dr. </w:t>
      </w:r>
      <w:proofErr w:type="spellStart"/>
      <w:r w:rsidRPr="00571085">
        <w:rPr>
          <w:rFonts w:ascii="Times New Roman" w:hAnsi="Times New Roman" w:cs="Times New Roman"/>
          <w:b/>
          <w:bCs/>
          <w:sz w:val="24"/>
          <w:szCs w:val="24"/>
        </w:rPr>
        <w:t>Manzu</w:t>
      </w:r>
      <w:proofErr w:type="spellEnd"/>
      <w:r w:rsidRPr="00571085">
        <w:rPr>
          <w:rFonts w:ascii="Times New Roman" w:hAnsi="Times New Roman" w:cs="Times New Roman"/>
          <w:b/>
          <w:bCs/>
          <w:sz w:val="24"/>
          <w:szCs w:val="24"/>
        </w:rPr>
        <w:t xml:space="preserve"> Gerald Kenyi, </w:t>
      </w:r>
      <w:proofErr w:type="spellStart"/>
      <w:r w:rsidRPr="00571085">
        <w:rPr>
          <w:rFonts w:ascii="Times New Roman" w:hAnsi="Times New Roman" w:cs="Times New Roman"/>
          <w:b/>
          <w:bCs/>
          <w:sz w:val="24"/>
          <w:szCs w:val="24"/>
        </w:rPr>
        <w:t>Ph.D</w:t>
      </w:r>
      <w:proofErr w:type="spellEnd"/>
    </w:p>
    <w:p w14:paraId="69740408" w14:textId="77777777" w:rsidR="00BE3DCB" w:rsidRPr="00571085" w:rsidRDefault="00BE3DCB">
      <w:pPr>
        <w:widowControl w:val="0"/>
        <w:spacing w:line="240" w:lineRule="auto"/>
        <w:rPr>
          <w:rFonts w:ascii="Times New Roman" w:eastAsia="Times New Roman" w:hAnsi="Times New Roman" w:cs="Times New Roman"/>
        </w:rPr>
      </w:pPr>
    </w:p>
    <w:p w14:paraId="73C3FD2B" w14:textId="77777777" w:rsidR="00C75645" w:rsidRPr="00571085" w:rsidRDefault="00C75645">
      <w:pPr>
        <w:widowControl w:val="0"/>
        <w:spacing w:line="240" w:lineRule="auto"/>
        <w:rPr>
          <w:rFonts w:ascii="Times New Roman" w:eastAsia="Times New Roman" w:hAnsi="Times New Roman" w:cs="Times New Roman"/>
        </w:rPr>
      </w:pPr>
    </w:p>
    <w:p w14:paraId="1AED5DD5" w14:textId="77777777" w:rsidR="00C75645" w:rsidRPr="00571085" w:rsidRDefault="00C75645">
      <w:pPr>
        <w:widowControl w:val="0"/>
        <w:spacing w:line="240" w:lineRule="auto"/>
        <w:rPr>
          <w:rFonts w:ascii="Times New Roman" w:eastAsia="Times New Roman" w:hAnsi="Times New Roman" w:cs="Times New Roman"/>
        </w:rPr>
      </w:pPr>
    </w:p>
    <w:p w14:paraId="6092FA92" w14:textId="77777777" w:rsidR="00C75645" w:rsidRPr="00571085" w:rsidRDefault="00C75645">
      <w:pPr>
        <w:widowControl w:val="0"/>
        <w:spacing w:line="240" w:lineRule="auto"/>
        <w:rPr>
          <w:rFonts w:ascii="Times New Roman" w:eastAsia="Times New Roman" w:hAnsi="Times New Roman" w:cs="Times New Roman"/>
        </w:rPr>
      </w:pPr>
    </w:p>
    <w:p w14:paraId="7E2BF9B2" w14:textId="77777777" w:rsidR="00C75645" w:rsidRPr="00571085" w:rsidRDefault="00C75645">
      <w:pPr>
        <w:widowControl w:val="0"/>
        <w:spacing w:line="240" w:lineRule="auto"/>
        <w:rPr>
          <w:rFonts w:ascii="Times New Roman" w:eastAsia="Times New Roman" w:hAnsi="Times New Roman" w:cs="Times New Roman"/>
        </w:rPr>
      </w:pPr>
    </w:p>
    <w:p w14:paraId="28A3B425" w14:textId="77777777" w:rsidR="00C75645" w:rsidRPr="00571085" w:rsidRDefault="00C75645">
      <w:pPr>
        <w:widowControl w:val="0"/>
        <w:spacing w:line="240" w:lineRule="auto"/>
        <w:rPr>
          <w:rFonts w:ascii="Times New Roman" w:eastAsia="Times New Roman" w:hAnsi="Times New Roman" w:cs="Times New Roman"/>
        </w:rPr>
      </w:pPr>
    </w:p>
    <w:p w14:paraId="64841FC3" w14:textId="77777777" w:rsidR="00C75645" w:rsidRPr="00571085" w:rsidRDefault="00C75645" w:rsidP="00C75645">
      <w:pPr>
        <w:spacing w:line="360" w:lineRule="auto"/>
        <w:jc w:val="center"/>
        <w:rPr>
          <w:rFonts w:ascii="Times New Roman" w:hAnsi="Times New Roman" w:cs="Times New Roman"/>
          <w:b/>
          <w:bCs/>
          <w:color w:val="1F497D" w:themeColor="text2"/>
          <w:sz w:val="28"/>
          <w:szCs w:val="28"/>
        </w:rPr>
      </w:pPr>
      <w:r w:rsidRPr="00571085">
        <w:rPr>
          <w:rFonts w:ascii="Times New Roman" w:hAnsi="Times New Roman" w:cs="Times New Roman"/>
          <w:b/>
          <w:bCs/>
          <w:color w:val="1F497D" w:themeColor="text2"/>
          <w:sz w:val="28"/>
          <w:szCs w:val="28"/>
        </w:rPr>
        <w:t>Department of Information Technology</w:t>
      </w:r>
    </w:p>
    <w:p w14:paraId="3BC35AD9" w14:textId="77777777" w:rsidR="00C75645" w:rsidRPr="00571085" w:rsidRDefault="00C75645" w:rsidP="00C75645">
      <w:pPr>
        <w:spacing w:line="360" w:lineRule="auto"/>
        <w:jc w:val="center"/>
        <w:rPr>
          <w:rFonts w:ascii="Times New Roman" w:hAnsi="Times New Roman" w:cs="Times New Roman"/>
          <w:b/>
          <w:bCs/>
          <w:color w:val="1F497D" w:themeColor="text2"/>
          <w:sz w:val="28"/>
          <w:szCs w:val="28"/>
        </w:rPr>
      </w:pPr>
      <w:r w:rsidRPr="00571085">
        <w:rPr>
          <w:rFonts w:ascii="Times New Roman" w:hAnsi="Times New Roman" w:cs="Times New Roman"/>
          <w:b/>
          <w:bCs/>
          <w:color w:val="1F497D" w:themeColor="text2"/>
          <w:sz w:val="28"/>
          <w:szCs w:val="28"/>
        </w:rPr>
        <w:t>School of Computer Science and Information Technology,</w:t>
      </w:r>
    </w:p>
    <w:p w14:paraId="41ECA3D1" w14:textId="50811CF5" w:rsidR="00BE3DCB" w:rsidRPr="00571085" w:rsidRDefault="00C75645" w:rsidP="00C75645">
      <w:pPr>
        <w:widowControl w:val="0"/>
        <w:spacing w:before="111"/>
        <w:jc w:val="center"/>
        <w:rPr>
          <w:rFonts w:ascii="Times New Roman" w:eastAsia="Times New Roman" w:hAnsi="Times New Roman" w:cs="Times New Roman"/>
          <w:b/>
          <w:sz w:val="24"/>
          <w:szCs w:val="24"/>
        </w:rPr>
      </w:pPr>
      <w:r w:rsidRPr="00571085">
        <w:rPr>
          <w:rFonts w:ascii="Times New Roman" w:hAnsi="Times New Roman" w:cs="Times New Roman"/>
          <w:b/>
          <w:bCs/>
          <w:color w:val="1F497D" w:themeColor="text2"/>
          <w:sz w:val="28"/>
          <w:szCs w:val="28"/>
        </w:rPr>
        <w:t>University of Juba</w:t>
      </w:r>
    </w:p>
    <w:p w14:paraId="1DD75E13" w14:textId="7E3C7D5F" w:rsidR="00BE3DCB" w:rsidRPr="00571085" w:rsidRDefault="00BE3DCB">
      <w:pPr>
        <w:widowControl w:val="0"/>
        <w:spacing w:before="111"/>
        <w:jc w:val="center"/>
        <w:rPr>
          <w:rFonts w:ascii="Times New Roman" w:eastAsia="Times New Roman" w:hAnsi="Times New Roman" w:cs="Times New Roman"/>
          <w:b/>
          <w:sz w:val="24"/>
          <w:szCs w:val="24"/>
        </w:rPr>
      </w:pPr>
    </w:p>
    <w:p w14:paraId="344BB3D7" w14:textId="77777777" w:rsidR="00C75645" w:rsidRPr="00571085" w:rsidRDefault="00C75645">
      <w:pPr>
        <w:widowControl w:val="0"/>
        <w:spacing w:before="111"/>
        <w:jc w:val="center"/>
        <w:rPr>
          <w:rFonts w:ascii="Times New Roman" w:eastAsia="Times New Roman" w:hAnsi="Times New Roman" w:cs="Times New Roman"/>
          <w:b/>
          <w:sz w:val="24"/>
          <w:szCs w:val="24"/>
        </w:rPr>
      </w:pPr>
    </w:p>
    <w:p w14:paraId="299E99BF" w14:textId="77777777" w:rsidR="00C75645" w:rsidRPr="00571085" w:rsidRDefault="00C75645">
      <w:pPr>
        <w:widowControl w:val="0"/>
        <w:spacing w:before="111"/>
        <w:jc w:val="center"/>
        <w:rPr>
          <w:rFonts w:ascii="Times New Roman" w:eastAsia="Times New Roman" w:hAnsi="Times New Roman" w:cs="Times New Roman"/>
          <w:b/>
          <w:sz w:val="24"/>
          <w:szCs w:val="24"/>
        </w:rPr>
      </w:pPr>
    </w:p>
    <w:p w14:paraId="07565545" w14:textId="77777777" w:rsidR="00C75645" w:rsidRPr="00571085" w:rsidRDefault="00C75645">
      <w:pPr>
        <w:widowControl w:val="0"/>
        <w:spacing w:before="111"/>
        <w:jc w:val="center"/>
        <w:rPr>
          <w:rFonts w:ascii="Times New Roman" w:eastAsia="Times New Roman" w:hAnsi="Times New Roman" w:cs="Times New Roman"/>
          <w:b/>
          <w:sz w:val="24"/>
          <w:szCs w:val="24"/>
        </w:rPr>
      </w:pPr>
    </w:p>
    <w:p w14:paraId="4A0733D7" w14:textId="7D67F90F" w:rsidR="00C75645" w:rsidRPr="00571085" w:rsidRDefault="00C75645">
      <w:pPr>
        <w:widowControl w:val="0"/>
        <w:spacing w:before="111"/>
        <w:jc w:val="center"/>
        <w:rPr>
          <w:rFonts w:ascii="Times New Roman" w:eastAsia="Times New Roman" w:hAnsi="Times New Roman" w:cs="Times New Roman"/>
          <w:b/>
          <w:sz w:val="24"/>
          <w:szCs w:val="24"/>
        </w:rPr>
      </w:pPr>
    </w:p>
    <w:p w14:paraId="260E687D" w14:textId="2ACE634F" w:rsidR="00C75645" w:rsidRPr="00571085" w:rsidRDefault="00C75645">
      <w:pPr>
        <w:widowControl w:val="0"/>
        <w:spacing w:before="111"/>
        <w:jc w:val="center"/>
        <w:rPr>
          <w:rFonts w:ascii="Times New Roman" w:eastAsia="Times New Roman" w:hAnsi="Times New Roman" w:cs="Times New Roman"/>
          <w:b/>
          <w:sz w:val="24"/>
          <w:szCs w:val="24"/>
        </w:rPr>
      </w:pPr>
      <w:r w:rsidRPr="00571085">
        <w:rPr>
          <w:rFonts w:ascii="Times New Roman" w:eastAsia="Times New Roman" w:hAnsi="Times New Roman" w:cs="Times New Roman"/>
          <w:noProof/>
        </w:rPr>
        <w:drawing>
          <wp:anchor distT="0" distB="0" distL="114300" distR="114300" simplePos="0" relativeHeight="251658240" behindDoc="0" locked="0" layoutInCell="1" allowOverlap="1" wp14:anchorId="104F35EC" wp14:editId="0A70EAB6">
            <wp:simplePos x="0" y="0"/>
            <wp:positionH relativeFrom="column">
              <wp:posOffset>1898650</wp:posOffset>
            </wp:positionH>
            <wp:positionV relativeFrom="page">
              <wp:posOffset>5181600</wp:posOffset>
            </wp:positionV>
            <wp:extent cx="2000250" cy="1571625"/>
            <wp:effectExtent l="0" t="0" r="0" b="9525"/>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2000250" cy="1571625"/>
                    </a:xfrm>
                    <a:prstGeom prst="rect">
                      <a:avLst/>
                    </a:prstGeom>
                    <a:ln/>
                  </pic:spPr>
                </pic:pic>
              </a:graphicData>
            </a:graphic>
            <wp14:sizeRelH relativeFrom="page">
              <wp14:pctWidth>0</wp14:pctWidth>
            </wp14:sizeRelH>
            <wp14:sizeRelV relativeFrom="page">
              <wp14:pctHeight>0</wp14:pctHeight>
            </wp14:sizeRelV>
          </wp:anchor>
        </w:drawing>
      </w:r>
    </w:p>
    <w:p w14:paraId="3DEE1E27" w14:textId="77777777" w:rsidR="00C75645" w:rsidRPr="00571085" w:rsidRDefault="00C75645">
      <w:pPr>
        <w:widowControl w:val="0"/>
        <w:spacing w:before="111"/>
        <w:jc w:val="center"/>
        <w:rPr>
          <w:rFonts w:ascii="Times New Roman" w:eastAsia="Times New Roman" w:hAnsi="Times New Roman" w:cs="Times New Roman"/>
          <w:b/>
          <w:sz w:val="24"/>
          <w:szCs w:val="24"/>
        </w:rPr>
      </w:pPr>
    </w:p>
    <w:p w14:paraId="03CCE882" w14:textId="77777777" w:rsidR="00C75645" w:rsidRPr="00571085" w:rsidRDefault="00C75645">
      <w:pPr>
        <w:widowControl w:val="0"/>
        <w:spacing w:before="111"/>
        <w:jc w:val="center"/>
        <w:rPr>
          <w:rFonts w:ascii="Times New Roman" w:eastAsia="Times New Roman" w:hAnsi="Times New Roman" w:cs="Times New Roman"/>
          <w:b/>
          <w:sz w:val="24"/>
          <w:szCs w:val="24"/>
        </w:rPr>
      </w:pPr>
    </w:p>
    <w:p w14:paraId="1804A6FF" w14:textId="77777777" w:rsidR="00C75645" w:rsidRPr="00571085" w:rsidRDefault="00C75645">
      <w:pPr>
        <w:widowControl w:val="0"/>
        <w:spacing w:before="111"/>
        <w:jc w:val="center"/>
        <w:rPr>
          <w:rFonts w:ascii="Times New Roman" w:eastAsia="Times New Roman" w:hAnsi="Times New Roman" w:cs="Times New Roman"/>
          <w:b/>
          <w:sz w:val="24"/>
          <w:szCs w:val="24"/>
        </w:rPr>
      </w:pPr>
    </w:p>
    <w:p w14:paraId="20925C11" w14:textId="77777777" w:rsidR="00C75645" w:rsidRPr="00571085" w:rsidRDefault="00C75645" w:rsidP="00C75645">
      <w:pPr>
        <w:widowControl w:val="0"/>
        <w:spacing w:before="111"/>
        <w:rPr>
          <w:rFonts w:ascii="Times New Roman" w:eastAsia="Times New Roman" w:hAnsi="Times New Roman" w:cs="Times New Roman"/>
          <w:b/>
          <w:sz w:val="24"/>
          <w:szCs w:val="24"/>
        </w:rPr>
      </w:pPr>
    </w:p>
    <w:p w14:paraId="797A163E" w14:textId="59F51909" w:rsidR="00BE3DCB" w:rsidRPr="00571085" w:rsidRDefault="00BE3DCB">
      <w:pPr>
        <w:widowControl w:val="0"/>
        <w:spacing w:before="111"/>
        <w:jc w:val="center"/>
        <w:rPr>
          <w:rFonts w:ascii="Times New Roman" w:eastAsia="Times New Roman" w:hAnsi="Times New Roman" w:cs="Times New Roman"/>
          <w:b/>
          <w:sz w:val="24"/>
          <w:szCs w:val="24"/>
        </w:rPr>
      </w:pPr>
    </w:p>
    <w:p w14:paraId="50707720" w14:textId="77777777" w:rsidR="00C75645" w:rsidRPr="00571085" w:rsidRDefault="00C75645" w:rsidP="00C75645">
      <w:pPr>
        <w:spacing w:line="360" w:lineRule="auto"/>
        <w:jc w:val="center"/>
        <w:rPr>
          <w:rFonts w:ascii="Times New Roman" w:eastAsia="Times New Roman" w:hAnsi="Times New Roman" w:cs="Times New Roman"/>
          <w:b/>
          <w:bCs/>
          <w:color w:val="1F497D" w:themeColor="text2"/>
          <w:sz w:val="24"/>
          <w:szCs w:val="24"/>
        </w:rPr>
      </w:pPr>
      <w:r w:rsidRPr="00571085">
        <w:rPr>
          <w:rFonts w:ascii="Times New Roman" w:eastAsia="Times New Roman" w:hAnsi="Times New Roman" w:cs="Times New Roman"/>
          <w:b/>
          <w:bCs/>
          <w:color w:val="1F497D" w:themeColor="text2"/>
          <w:sz w:val="24"/>
          <w:szCs w:val="24"/>
        </w:rPr>
        <w:t>Graduation Thesis submitted in partial fulfillment of the requirements leading to the award of Bachelor of Science (Hons) in Information Technology</w:t>
      </w:r>
    </w:p>
    <w:p w14:paraId="0596E50A" w14:textId="77777777" w:rsidR="00C75645" w:rsidRPr="00571085" w:rsidRDefault="00C75645" w:rsidP="00C75645">
      <w:pPr>
        <w:spacing w:line="360" w:lineRule="auto"/>
        <w:jc w:val="center"/>
        <w:rPr>
          <w:rStyle w:val="fontstyle01"/>
          <w:b w:val="0"/>
          <w:bCs w:val="0"/>
          <w:sz w:val="24"/>
          <w:szCs w:val="24"/>
        </w:rPr>
      </w:pPr>
    </w:p>
    <w:p w14:paraId="08DD5F04" w14:textId="77777777" w:rsidR="00C75645" w:rsidRPr="00571085" w:rsidRDefault="00C75645" w:rsidP="00C75645">
      <w:pPr>
        <w:spacing w:line="360" w:lineRule="auto"/>
        <w:jc w:val="center"/>
        <w:rPr>
          <w:rStyle w:val="fontstyle01"/>
          <w:b w:val="0"/>
          <w:bCs w:val="0"/>
          <w:sz w:val="24"/>
          <w:szCs w:val="24"/>
        </w:rPr>
      </w:pPr>
    </w:p>
    <w:p w14:paraId="2F92E0A4" w14:textId="77777777" w:rsidR="00C75645" w:rsidRPr="00571085" w:rsidRDefault="00C75645" w:rsidP="00C75645">
      <w:pPr>
        <w:spacing w:line="360" w:lineRule="auto"/>
        <w:jc w:val="center"/>
        <w:rPr>
          <w:rStyle w:val="fontstyle01"/>
          <w:b w:val="0"/>
          <w:bCs w:val="0"/>
          <w:sz w:val="24"/>
          <w:szCs w:val="24"/>
        </w:rPr>
      </w:pPr>
    </w:p>
    <w:p w14:paraId="4D7E82BE" w14:textId="1172C16F" w:rsidR="00BE3DCB" w:rsidRPr="00571085" w:rsidRDefault="00C75645" w:rsidP="00F42C5B">
      <w:pPr>
        <w:spacing w:line="360" w:lineRule="auto"/>
        <w:jc w:val="center"/>
        <w:rPr>
          <w:rFonts w:ascii="Times New Roman" w:hAnsi="Times New Roman" w:cs="Times New Roman"/>
          <w:b/>
          <w:bCs/>
          <w:color w:val="1F497D" w:themeColor="text2"/>
          <w:sz w:val="24"/>
          <w:szCs w:val="24"/>
        </w:rPr>
      </w:pPr>
      <w:r w:rsidRPr="00571085">
        <w:rPr>
          <w:rFonts w:ascii="Times New Roman" w:eastAsia="Times New Roman" w:hAnsi="Times New Roman" w:cs="Times New Roman"/>
          <w:b/>
          <w:bCs/>
          <w:color w:val="1F497D" w:themeColor="text2"/>
          <w:sz w:val="24"/>
          <w:szCs w:val="24"/>
        </w:rPr>
        <w:t>March 2025</w:t>
      </w:r>
      <w:bookmarkStart w:id="0" w:name="_rj42xd2msksw" w:colFirst="0" w:colLast="0"/>
      <w:bookmarkEnd w:id="0"/>
      <w:r w:rsidR="00000000" w:rsidRPr="00571085">
        <w:rPr>
          <w:rFonts w:ascii="Times New Roman" w:hAnsi="Times New Roman" w:cs="Times New Roman"/>
        </w:rPr>
        <w:br w:type="page"/>
      </w:r>
    </w:p>
    <w:p w14:paraId="4CC5544F" w14:textId="77777777" w:rsidR="00BE3DCB" w:rsidRPr="00571085" w:rsidRDefault="00000000">
      <w:pPr>
        <w:widowControl w:val="0"/>
        <w:pBdr>
          <w:top w:val="nil"/>
          <w:left w:val="nil"/>
          <w:bottom w:val="nil"/>
          <w:right w:val="nil"/>
          <w:between w:val="nil"/>
        </w:pBdr>
        <w:spacing w:line="264" w:lineRule="auto"/>
        <w:ind w:right="2" w:firstLine="1"/>
        <w:rPr>
          <w:rFonts w:ascii="Times New Roman" w:eastAsia="Times New Roman" w:hAnsi="Times New Roman" w:cs="Times New Roman"/>
          <w:color w:val="000000"/>
          <w:sz w:val="32"/>
          <w:szCs w:val="32"/>
        </w:rPr>
      </w:pPr>
      <w:r w:rsidRPr="00571085">
        <w:rPr>
          <w:rFonts w:ascii="Times New Roman" w:eastAsia="Times New Roman" w:hAnsi="Times New Roman" w:cs="Times New Roman"/>
          <w:b/>
          <w:color w:val="000000"/>
          <w:sz w:val="26"/>
          <w:szCs w:val="26"/>
        </w:rPr>
        <w:lastRenderedPageBreak/>
        <w:t>Abstract</w:t>
      </w:r>
      <w:r w:rsidRPr="00571085">
        <w:rPr>
          <w:rFonts w:ascii="Times New Roman" w:eastAsia="Times New Roman" w:hAnsi="Times New Roman" w:cs="Times New Roman"/>
          <w:sz w:val="32"/>
          <w:szCs w:val="32"/>
        </w:rPr>
        <w:t>.</w:t>
      </w:r>
    </w:p>
    <w:p w14:paraId="49402FBE" w14:textId="77777777" w:rsidR="00BE3DCB" w:rsidRPr="00571085" w:rsidRDefault="00000000">
      <w:pPr>
        <w:widowControl w:val="0"/>
        <w:pBdr>
          <w:top w:val="nil"/>
          <w:left w:val="nil"/>
          <w:bottom w:val="nil"/>
          <w:right w:val="nil"/>
          <w:between w:val="nil"/>
        </w:pBdr>
        <w:spacing w:line="264" w:lineRule="auto"/>
        <w:ind w:right="2" w:firstLine="1"/>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Urban growth in rapidly developing cities, such as Juba in South Sudan, poses </w:t>
      </w:r>
      <w:r w:rsidRPr="00571085">
        <w:rPr>
          <w:rFonts w:ascii="Times New Roman" w:eastAsia="Times New Roman" w:hAnsi="Times New Roman" w:cs="Times New Roman"/>
          <w:sz w:val="24"/>
          <w:szCs w:val="24"/>
        </w:rPr>
        <w:t>significant</w:t>
      </w:r>
      <w:r w:rsidRPr="00571085">
        <w:rPr>
          <w:rFonts w:ascii="Times New Roman" w:eastAsia="Times New Roman" w:hAnsi="Times New Roman" w:cs="Times New Roman"/>
          <w:color w:val="000000"/>
          <w:sz w:val="24"/>
          <w:szCs w:val="24"/>
        </w:rPr>
        <w:t xml:space="preserve"> challenges for sustainable development and effective urban planning. This study aims to </w:t>
      </w:r>
      <w:r w:rsidRPr="00571085">
        <w:rPr>
          <w:rFonts w:ascii="Times New Roman" w:eastAsia="Times New Roman" w:hAnsi="Times New Roman" w:cs="Times New Roman"/>
          <w:sz w:val="24"/>
          <w:szCs w:val="24"/>
        </w:rPr>
        <w:t>predict</w:t>
      </w:r>
      <w:r w:rsidRPr="00571085">
        <w:rPr>
          <w:rFonts w:ascii="Times New Roman" w:eastAsia="Times New Roman" w:hAnsi="Times New Roman" w:cs="Times New Roman"/>
          <w:color w:val="000000"/>
          <w:sz w:val="24"/>
          <w:szCs w:val="24"/>
        </w:rPr>
        <w:t xml:space="preserve"> the future patterns of urban growth in Juba up to the year 2040 by analyzing historical land</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use and land cover (LULC) changes from 1990 to 2023 using advanced machine learning and</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 xml:space="preserve">geospatial techniques. The methodology integrates satellite imagery, Geographic Information </w:t>
      </w:r>
      <w:r w:rsidRPr="00571085">
        <w:rPr>
          <w:rFonts w:ascii="Times New Roman" w:eastAsia="Times New Roman" w:hAnsi="Times New Roman" w:cs="Times New Roman"/>
          <w:sz w:val="24"/>
          <w:szCs w:val="24"/>
        </w:rPr>
        <w:t>systems</w:t>
      </w:r>
      <w:r w:rsidRPr="00571085">
        <w:rPr>
          <w:rFonts w:ascii="Times New Roman" w:eastAsia="Times New Roman" w:hAnsi="Times New Roman" w:cs="Times New Roman"/>
          <w:color w:val="000000"/>
          <w:sz w:val="24"/>
          <w:szCs w:val="24"/>
        </w:rPr>
        <w:t xml:space="preserve"> (GIS), and predictive modeling approaches, including</w:t>
      </w:r>
      <w:r w:rsidRPr="00571085">
        <w:rPr>
          <w:rFonts w:ascii="Times New Roman" w:eastAsia="Times New Roman" w:hAnsi="Times New Roman" w:cs="Times New Roman"/>
          <w:sz w:val="24"/>
          <w:szCs w:val="24"/>
        </w:rPr>
        <w:t xml:space="preserve"> the random forest </w:t>
      </w:r>
      <w:r w:rsidRPr="00571085">
        <w:rPr>
          <w:rFonts w:ascii="Times New Roman" w:eastAsia="Times New Roman" w:hAnsi="Times New Roman" w:cs="Times New Roman"/>
          <w:color w:val="000000"/>
          <w:sz w:val="24"/>
          <w:szCs w:val="24"/>
        </w:rPr>
        <w:t>model, to forecast urban expansion. Th</w:t>
      </w:r>
      <w:r w:rsidRPr="00571085">
        <w:rPr>
          <w:rFonts w:ascii="Times New Roman" w:eastAsia="Times New Roman" w:hAnsi="Times New Roman" w:cs="Times New Roman"/>
          <w:sz w:val="24"/>
          <w:szCs w:val="24"/>
        </w:rPr>
        <w:t>is</w:t>
      </w:r>
      <w:r w:rsidRPr="00571085">
        <w:rPr>
          <w:rFonts w:ascii="Times New Roman" w:eastAsia="Times New Roman" w:hAnsi="Times New Roman" w:cs="Times New Roman"/>
          <w:color w:val="000000"/>
          <w:sz w:val="24"/>
          <w:szCs w:val="24"/>
        </w:rPr>
        <w:t xml:space="preserve"> model allows classific</w:t>
      </w:r>
      <w:r w:rsidRPr="00571085">
        <w:rPr>
          <w:rFonts w:ascii="Times New Roman" w:eastAsia="Times New Roman" w:hAnsi="Times New Roman" w:cs="Times New Roman"/>
          <w:sz w:val="24"/>
          <w:szCs w:val="24"/>
        </w:rPr>
        <w:t>ation and</w:t>
      </w:r>
      <w:r w:rsidRPr="00571085">
        <w:rPr>
          <w:rFonts w:ascii="Times New Roman" w:eastAsia="Times New Roman" w:hAnsi="Times New Roman" w:cs="Times New Roman"/>
          <w:color w:val="000000"/>
          <w:sz w:val="24"/>
          <w:szCs w:val="24"/>
        </w:rPr>
        <w:t xml:space="preserve"> the simulation of spatial </w:t>
      </w:r>
      <w:r w:rsidRPr="00571085">
        <w:rPr>
          <w:rFonts w:ascii="Times New Roman" w:eastAsia="Times New Roman" w:hAnsi="Times New Roman" w:cs="Times New Roman"/>
          <w:sz w:val="24"/>
          <w:szCs w:val="24"/>
        </w:rPr>
        <w:t>dynamics</w:t>
      </w:r>
      <w:r w:rsidRPr="00571085">
        <w:rPr>
          <w:rFonts w:ascii="Times New Roman" w:eastAsia="Times New Roman" w:hAnsi="Times New Roman" w:cs="Times New Roman"/>
          <w:color w:val="000000"/>
          <w:sz w:val="24"/>
          <w:szCs w:val="24"/>
        </w:rPr>
        <w:t xml:space="preserve"> and the estimation of transition probabilities between different land use types, providing a</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 xml:space="preserve">robust framework for understanding urban growth trajectories. </w:t>
      </w:r>
    </w:p>
    <w:p w14:paraId="3E746C15" w14:textId="77777777" w:rsidR="00BE3DCB" w:rsidRPr="00571085" w:rsidRDefault="00000000">
      <w:pPr>
        <w:widowControl w:val="0"/>
        <w:pBdr>
          <w:top w:val="nil"/>
          <w:left w:val="nil"/>
          <w:bottom w:val="nil"/>
          <w:right w:val="nil"/>
          <w:between w:val="nil"/>
        </w:pBdr>
        <w:spacing w:before="369" w:line="264" w:lineRule="auto"/>
        <w:ind w:right="4" w:firstLine="2"/>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The study will employ a Random Forest classifier to accurately classify LULC into distinct </w:t>
      </w:r>
      <w:r w:rsidRPr="00571085">
        <w:rPr>
          <w:rFonts w:ascii="Times New Roman" w:eastAsia="Times New Roman" w:hAnsi="Times New Roman" w:cs="Times New Roman"/>
          <w:sz w:val="24"/>
          <w:szCs w:val="24"/>
        </w:rPr>
        <w:t>categories</w:t>
      </w:r>
      <w:r w:rsidRPr="00571085">
        <w:rPr>
          <w:rFonts w:ascii="Times New Roman" w:eastAsia="Times New Roman" w:hAnsi="Times New Roman" w:cs="Times New Roman"/>
          <w:color w:val="000000"/>
          <w:sz w:val="24"/>
          <w:szCs w:val="24"/>
        </w:rPr>
        <w:t xml:space="preserve">, followed by rigorous validation using metrics such as overall accuracy, kappa coefficient,  and ROC-AUC. Scenario analysis further explores the impact of various factors, such as </w:t>
      </w:r>
      <w:r w:rsidRPr="00571085">
        <w:rPr>
          <w:rFonts w:ascii="Times New Roman" w:eastAsia="Times New Roman" w:hAnsi="Times New Roman" w:cs="Times New Roman"/>
          <w:sz w:val="24"/>
          <w:szCs w:val="24"/>
        </w:rPr>
        <w:t>population</w:t>
      </w:r>
      <w:r w:rsidRPr="00571085">
        <w:rPr>
          <w:rFonts w:ascii="Times New Roman" w:eastAsia="Times New Roman" w:hAnsi="Times New Roman" w:cs="Times New Roman"/>
          <w:color w:val="000000"/>
          <w:sz w:val="24"/>
          <w:szCs w:val="24"/>
        </w:rPr>
        <w:t xml:space="preserve"> growth and infrastructure development, on future urban expansion. The findings are expected</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 xml:space="preserve">to offer critical insights for urban planners and policymakers in Juba, enabling them to make </w:t>
      </w:r>
      <w:r w:rsidRPr="00571085">
        <w:rPr>
          <w:rFonts w:ascii="Times New Roman" w:eastAsia="Times New Roman" w:hAnsi="Times New Roman" w:cs="Times New Roman"/>
          <w:sz w:val="24"/>
          <w:szCs w:val="24"/>
        </w:rPr>
        <w:t>informed</w:t>
      </w:r>
      <w:r w:rsidRPr="00571085">
        <w:rPr>
          <w:rFonts w:ascii="Times New Roman" w:eastAsia="Times New Roman" w:hAnsi="Times New Roman" w:cs="Times New Roman"/>
          <w:color w:val="000000"/>
          <w:sz w:val="24"/>
          <w:szCs w:val="24"/>
        </w:rPr>
        <w:t xml:space="preserve"> decisions that balance developmental needs with environmental sustainability. This </w:t>
      </w:r>
      <w:r w:rsidRPr="00571085">
        <w:rPr>
          <w:rFonts w:ascii="Times New Roman" w:eastAsia="Times New Roman" w:hAnsi="Times New Roman" w:cs="Times New Roman"/>
          <w:sz w:val="24"/>
          <w:szCs w:val="24"/>
        </w:rPr>
        <w:t>research</w:t>
      </w:r>
      <w:r w:rsidRPr="00571085">
        <w:rPr>
          <w:rFonts w:ascii="Times New Roman" w:eastAsia="Times New Roman" w:hAnsi="Times New Roman" w:cs="Times New Roman"/>
          <w:color w:val="000000"/>
          <w:sz w:val="24"/>
          <w:szCs w:val="24"/>
        </w:rPr>
        <w:t xml:space="preserve"> contributes to the growing body of knowledge on urban growth prediction in rapidly </w:t>
      </w:r>
      <w:r w:rsidRPr="00571085">
        <w:rPr>
          <w:rFonts w:ascii="Times New Roman" w:eastAsia="Times New Roman" w:hAnsi="Times New Roman" w:cs="Times New Roman"/>
          <w:sz w:val="24"/>
          <w:szCs w:val="24"/>
        </w:rPr>
        <w:t>expanding</w:t>
      </w:r>
      <w:r w:rsidRPr="00571085">
        <w:rPr>
          <w:rFonts w:ascii="Times New Roman" w:eastAsia="Times New Roman" w:hAnsi="Times New Roman" w:cs="Times New Roman"/>
          <w:color w:val="000000"/>
          <w:sz w:val="24"/>
          <w:szCs w:val="24"/>
        </w:rPr>
        <w:t xml:space="preserve"> cities, with practical implications for managing urban sprawl and ensuring sustainable</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development in Juba and similar contexts.</w:t>
      </w:r>
    </w:p>
    <w:p w14:paraId="1363363A" w14:textId="77777777" w:rsidR="00BE3DCB" w:rsidRPr="00571085" w:rsidRDefault="00000000">
      <w:pPr>
        <w:widowControl w:val="0"/>
        <w:pBdr>
          <w:top w:val="nil"/>
          <w:left w:val="nil"/>
          <w:bottom w:val="nil"/>
          <w:right w:val="nil"/>
          <w:between w:val="nil"/>
        </w:pBdr>
        <w:spacing w:before="369" w:line="264" w:lineRule="auto"/>
        <w:ind w:right="4" w:firstLine="2"/>
        <w:jc w:val="center"/>
        <w:rPr>
          <w:rFonts w:ascii="Times New Roman" w:eastAsia="Times New Roman" w:hAnsi="Times New Roman" w:cs="Times New Roman"/>
          <w:color w:val="000000"/>
          <w:sz w:val="24"/>
          <w:szCs w:val="24"/>
        </w:rPr>
      </w:pPr>
      <w:r w:rsidRPr="00571085">
        <w:rPr>
          <w:rFonts w:ascii="Times New Roman" w:eastAsia="Times New Roman" w:hAnsi="Times New Roman" w:cs="Times New Roman"/>
          <w:b/>
          <w:sz w:val="26"/>
          <w:szCs w:val="26"/>
        </w:rPr>
        <w:t>Map showing the region of interest.</w:t>
      </w:r>
      <w:r w:rsidRPr="00571085">
        <w:rPr>
          <w:rFonts w:ascii="Times New Roman" w:eastAsia="Times New Roman" w:hAnsi="Times New Roman" w:cs="Times New Roman"/>
          <w:b/>
          <w:noProof/>
          <w:sz w:val="26"/>
          <w:szCs w:val="26"/>
        </w:rPr>
        <w:drawing>
          <wp:inline distT="114300" distB="114300" distL="114300" distR="114300" wp14:anchorId="749BAE2B" wp14:editId="1375ADE5">
            <wp:extent cx="4429125" cy="2967697"/>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429125" cy="2967697"/>
                    </a:xfrm>
                    <a:prstGeom prst="rect">
                      <a:avLst/>
                    </a:prstGeom>
                    <a:ln/>
                  </pic:spPr>
                </pic:pic>
              </a:graphicData>
            </a:graphic>
          </wp:inline>
        </w:drawing>
      </w:r>
      <w:r w:rsidRPr="00571085">
        <w:rPr>
          <w:rFonts w:ascii="Times New Roman" w:hAnsi="Times New Roman" w:cs="Times New Roman"/>
        </w:rPr>
        <w:br w:type="page"/>
      </w:r>
    </w:p>
    <w:p w14:paraId="60240551" w14:textId="77777777" w:rsidR="00BE3DCB" w:rsidRPr="00571085" w:rsidRDefault="00000000">
      <w:pPr>
        <w:pStyle w:val="Heading3"/>
        <w:widowControl w:val="0"/>
        <w:spacing w:before="369" w:line="264" w:lineRule="auto"/>
        <w:ind w:left="0" w:right="4" w:firstLine="2"/>
        <w:jc w:val="center"/>
        <w:rPr>
          <w:sz w:val="22"/>
          <w:szCs w:val="22"/>
        </w:rPr>
      </w:pPr>
      <w:bookmarkStart w:id="1" w:name="_md9vjqc91415" w:colFirst="0" w:colLast="0"/>
      <w:bookmarkEnd w:id="1"/>
      <w:r w:rsidRPr="00571085">
        <w:rPr>
          <w:sz w:val="22"/>
          <w:szCs w:val="22"/>
        </w:rPr>
        <w:lastRenderedPageBreak/>
        <w:t>Table of contents.</w:t>
      </w:r>
    </w:p>
    <w:p w14:paraId="60ECE1BF" w14:textId="77777777" w:rsidR="00BE3DCB" w:rsidRPr="00571085" w:rsidRDefault="00BE3DCB">
      <w:pPr>
        <w:widowControl w:val="0"/>
        <w:pBdr>
          <w:top w:val="nil"/>
          <w:left w:val="nil"/>
          <w:bottom w:val="nil"/>
          <w:right w:val="nil"/>
          <w:between w:val="nil"/>
        </w:pBdr>
        <w:spacing w:before="369" w:line="264" w:lineRule="auto"/>
        <w:ind w:right="4" w:firstLine="2"/>
        <w:rPr>
          <w:rFonts w:ascii="Times New Roman" w:eastAsia="Times New Roman" w:hAnsi="Times New Roman" w:cs="Times New Roman"/>
          <w:sz w:val="24"/>
          <w:szCs w:val="24"/>
        </w:rPr>
      </w:pPr>
    </w:p>
    <w:sdt>
      <w:sdtPr>
        <w:rPr>
          <w:rFonts w:ascii="Times New Roman" w:hAnsi="Times New Roman" w:cs="Times New Roman"/>
        </w:rPr>
        <w:id w:val="-1101486750"/>
        <w:docPartObj>
          <w:docPartGallery w:val="Table of Contents"/>
          <w:docPartUnique/>
        </w:docPartObj>
      </w:sdtPr>
      <w:sdtContent>
        <w:p w14:paraId="7A9D36BF" w14:textId="77777777" w:rsidR="00BE3DCB" w:rsidRPr="00571085" w:rsidRDefault="00000000">
          <w:pPr>
            <w:widowControl w:val="0"/>
            <w:tabs>
              <w:tab w:val="right" w:pos="9421"/>
            </w:tabs>
            <w:spacing w:before="60" w:line="240" w:lineRule="auto"/>
            <w:rPr>
              <w:rFonts w:ascii="Times New Roman" w:eastAsia="Times New Roman" w:hAnsi="Times New Roman" w:cs="Times New Roman"/>
              <w:b/>
              <w:color w:val="000000"/>
            </w:rPr>
          </w:pPr>
          <w:r w:rsidRPr="00571085">
            <w:rPr>
              <w:rFonts w:ascii="Times New Roman" w:hAnsi="Times New Roman" w:cs="Times New Roman"/>
            </w:rPr>
            <w:fldChar w:fldCharType="begin"/>
          </w:r>
          <w:r w:rsidRPr="00571085">
            <w:rPr>
              <w:rFonts w:ascii="Times New Roman" w:hAnsi="Times New Roman" w:cs="Times New Roman"/>
            </w:rPr>
            <w:instrText xml:space="preserve"> TOC \h \u \z \t "Heading 1,1,Heading 2,2,Heading 3,3,Heading 4,4,Heading 5,5,Heading 6,6,"</w:instrText>
          </w:r>
          <w:r w:rsidRPr="00571085">
            <w:rPr>
              <w:rFonts w:ascii="Times New Roman" w:hAnsi="Times New Roman" w:cs="Times New Roman"/>
            </w:rPr>
            <w:fldChar w:fldCharType="separate"/>
          </w:r>
          <w:hyperlink w:anchor="_mh8i5qmmfatk">
            <w:r w:rsidR="00BE3DCB" w:rsidRPr="00571085">
              <w:rPr>
                <w:rFonts w:ascii="Times New Roman" w:eastAsia="Times New Roman" w:hAnsi="Times New Roman" w:cs="Times New Roman"/>
                <w:b/>
                <w:color w:val="000000"/>
              </w:rPr>
              <w:t>1. Chapter one: Introduction.</w:t>
            </w:r>
            <w:r w:rsidR="00BE3DCB" w:rsidRPr="00571085">
              <w:rPr>
                <w:rFonts w:ascii="Times New Roman" w:eastAsia="Times New Roman" w:hAnsi="Times New Roman" w:cs="Times New Roman"/>
                <w:b/>
                <w:color w:val="000000"/>
              </w:rPr>
              <w:tab/>
            </w:r>
          </w:hyperlink>
          <w:r w:rsidRPr="00571085">
            <w:rPr>
              <w:rFonts w:ascii="Times New Roman" w:hAnsi="Times New Roman" w:cs="Times New Roman"/>
            </w:rPr>
            <w:fldChar w:fldCharType="begin"/>
          </w:r>
          <w:r w:rsidRPr="00571085">
            <w:rPr>
              <w:rFonts w:ascii="Times New Roman" w:hAnsi="Times New Roman" w:cs="Times New Roman"/>
            </w:rPr>
            <w:instrText xml:space="preserve"> PAGEREF _mh8i5qmmfatk \h </w:instrText>
          </w:r>
          <w:r w:rsidRPr="00571085">
            <w:rPr>
              <w:rFonts w:ascii="Times New Roman" w:hAnsi="Times New Roman" w:cs="Times New Roman"/>
            </w:rPr>
          </w:r>
          <w:r w:rsidRPr="00571085">
            <w:rPr>
              <w:rFonts w:ascii="Times New Roman" w:hAnsi="Times New Roman" w:cs="Times New Roman"/>
            </w:rPr>
            <w:fldChar w:fldCharType="separate"/>
          </w:r>
          <w:r w:rsidRPr="00571085">
            <w:rPr>
              <w:rFonts w:ascii="Times New Roman" w:eastAsia="Times New Roman" w:hAnsi="Times New Roman" w:cs="Times New Roman"/>
              <w:b/>
            </w:rPr>
            <w:t>4</w:t>
          </w:r>
          <w:r w:rsidRPr="00571085">
            <w:rPr>
              <w:rFonts w:ascii="Times New Roman" w:hAnsi="Times New Roman" w:cs="Times New Roman"/>
            </w:rPr>
            <w:fldChar w:fldCharType="end"/>
          </w:r>
        </w:p>
        <w:p w14:paraId="7C4A3FD5"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4sek6mfdwepp">
            <w:r w:rsidRPr="00571085">
              <w:rPr>
                <w:rFonts w:ascii="Times New Roman" w:eastAsia="Times New Roman" w:hAnsi="Times New Roman" w:cs="Times New Roman"/>
                <w:color w:val="000000"/>
              </w:rPr>
              <w:t>1.1 Background</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_4sek6mfdwepp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4</w:t>
          </w:r>
          <w:r w:rsidR="00000000" w:rsidRPr="00571085">
            <w:rPr>
              <w:rFonts w:ascii="Times New Roman" w:hAnsi="Times New Roman" w:cs="Times New Roman"/>
            </w:rPr>
            <w:fldChar w:fldCharType="end"/>
          </w:r>
        </w:p>
        <w:p w14:paraId="477FD7B9"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mqvap2tpnnb1">
            <w:r w:rsidRPr="00571085">
              <w:rPr>
                <w:rFonts w:ascii="Times New Roman" w:eastAsia="Times New Roman" w:hAnsi="Times New Roman" w:cs="Times New Roman"/>
                <w:color w:val="000000"/>
              </w:rPr>
              <w:t>1.2 Problem Statement</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_mqvap2tpnnb1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5</w:t>
          </w:r>
          <w:r w:rsidR="00000000" w:rsidRPr="00571085">
            <w:rPr>
              <w:rFonts w:ascii="Times New Roman" w:hAnsi="Times New Roman" w:cs="Times New Roman"/>
            </w:rPr>
            <w:fldChar w:fldCharType="end"/>
          </w:r>
        </w:p>
        <w:p w14:paraId="0E83AC1A"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eov16jo59x16">
            <w:r w:rsidRPr="00571085">
              <w:rPr>
                <w:rFonts w:ascii="Times New Roman" w:eastAsia="Times New Roman" w:hAnsi="Times New Roman" w:cs="Times New Roman"/>
                <w:color w:val="000000"/>
              </w:rPr>
              <w:t>1.3 Objectives of the Study</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_eov16jo59x16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6</w:t>
          </w:r>
          <w:r w:rsidR="00000000" w:rsidRPr="00571085">
            <w:rPr>
              <w:rFonts w:ascii="Times New Roman" w:hAnsi="Times New Roman" w:cs="Times New Roman"/>
            </w:rPr>
            <w:fldChar w:fldCharType="end"/>
          </w:r>
        </w:p>
        <w:p w14:paraId="6C6E1764" w14:textId="77777777" w:rsidR="00BE3DCB" w:rsidRPr="00571085" w:rsidRDefault="00BE3DCB">
          <w:pPr>
            <w:widowControl w:val="0"/>
            <w:tabs>
              <w:tab w:val="right" w:pos="9421"/>
            </w:tabs>
            <w:spacing w:before="60" w:line="240" w:lineRule="auto"/>
            <w:ind w:left="720"/>
            <w:rPr>
              <w:rFonts w:ascii="Times New Roman" w:eastAsia="Times New Roman" w:hAnsi="Times New Roman" w:cs="Times New Roman"/>
              <w:color w:val="000000"/>
            </w:rPr>
          </w:pPr>
          <w:hyperlink w:anchor="_22bc5lgjmmkd">
            <w:r w:rsidRPr="00571085">
              <w:rPr>
                <w:rFonts w:ascii="Times New Roman" w:eastAsia="Times New Roman" w:hAnsi="Times New Roman" w:cs="Times New Roman"/>
                <w:color w:val="000000"/>
              </w:rPr>
              <w:t xml:space="preserve">1.3.1 Primary </w:t>
            </w:r>
          </w:hyperlink>
          <w:hyperlink w:anchor="_22bc5lgjmmkd">
            <w:r w:rsidRPr="00571085">
              <w:rPr>
                <w:rFonts w:ascii="Times New Roman" w:eastAsia="Times New Roman" w:hAnsi="Times New Roman" w:cs="Times New Roman"/>
              </w:rPr>
              <w:t>Objective</w:t>
            </w:r>
          </w:hyperlink>
          <w:hyperlink w:anchor="_22bc5lgjmmkd">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_22bc5lgjmmkd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6</w:t>
          </w:r>
          <w:r w:rsidR="00000000" w:rsidRPr="00571085">
            <w:rPr>
              <w:rFonts w:ascii="Times New Roman" w:hAnsi="Times New Roman" w:cs="Times New Roman"/>
            </w:rPr>
            <w:fldChar w:fldCharType="end"/>
          </w:r>
        </w:p>
        <w:p w14:paraId="56844F23" w14:textId="77777777" w:rsidR="00BE3DCB" w:rsidRPr="00571085" w:rsidRDefault="00BE3DCB">
          <w:pPr>
            <w:widowControl w:val="0"/>
            <w:tabs>
              <w:tab w:val="right" w:pos="9421"/>
            </w:tabs>
            <w:spacing w:before="60" w:line="240" w:lineRule="auto"/>
            <w:ind w:left="720"/>
            <w:rPr>
              <w:rFonts w:ascii="Times New Roman" w:eastAsia="Times New Roman" w:hAnsi="Times New Roman" w:cs="Times New Roman"/>
              <w:color w:val="000000"/>
            </w:rPr>
          </w:pPr>
          <w:hyperlink w:anchor="_burtsbqjmgx6">
            <w:r w:rsidRPr="00571085">
              <w:rPr>
                <w:rFonts w:ascii="Times New Roman" w:eastAsia="Times New Roman" w:hAnsi="Times New Roman" w:cs="Times New Roman"/>
                <w:color w:val="000000"/>
              </w:rPr>
              <w:t xml:space="preserve">1.3.2 Specific </w:t>
            </w:r>
          </w:hyperlink>
          <w:hyperlink w:anchor="_burtsbqjmgx6">
            <w:r w:rsidRPr="00571085">
              <w:rPr>
                <w:rFonts w:ascii="Times New Roman" w:eastAsia="Times New Roman" w:hAnsi="Times New Roman" w:cs="Times New Roman"/>
              </w:rPr>
              <w:t>Objectives</w:t>
            </w:r>
          </w:hyperlink>
          <w:hyperlink w:anchor="_burtsbqjmgx6">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_burtsbqjmgx6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6</w:t>
          </w:r>
          <w:r w:rsidR="00000000" w:rsidRPr="00571085">
            <w:rPr>
              <w:rFonts w:ascii="Times New Roman" w:hAnsi="Times New Roman" w:cs="Times New Roman"/>
            </w:rPr>
            <w:fldChar w:fldCharType="end"/>
          </w:r>
        </w:p>
        <w:p w14:paraId="2CDCDCA4"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8l5fpj9f5boj">
            <w:r w:rsidRPr="00571085">
              <w:rPr>
                <w:rFonts w:ascii="Times New Roman" w:eastAsia="Times New Roman" w:hAnsi="Times New Roman" w:cs="Times New Roman"/>
                <w:color w:val="000000"/>
              </w:rPr>
              <w:t xml:space="preserve">1.4 Significance of </w:t>
            </w:r>
          </w:hyperlink>
          <w:hyperlink w:anchor="_8l5fpj9f5boj">
            <w:r w:rsidRPr="00571085">
              <w:rPr>
                <w:rFonts w:ascii="Times New Roman" w:eastAsia="Times New Roman" w:hAnsi="Times New Roman" w:cs="Times New Roman"/>
              </w:rPr>
              <w:t>Study</w:t>
            </w:r>
          </w:hyperlink>
          <w:hyperlink w:anchor="_8l5fpj9f5boj">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_8l5fpj9f5boj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6</w:t>
          </w:r>
          <w:r w:rsidR="00000000" w:rsidRPr="00571085">
            <w:rPr>
              <w:rFonts w:ascii="Times New Roman" w:hAnsi="Times New Roman" w:cs="Times New Roman"/>
            </w:rPr>
            <w:fldChar w:fldCharType="end"/>
          </w:r>
        </w:p>
        <w:p w14:paraId="30093AC6"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8peioa982rgo">
            <w:r w:rsidRPr="00571085">
              <w:rPr>
                <w:rFonts w:ascii="Times New Roman" w:eastAsia="Times New Roman" w:hAnsi="Times New Roman" w:cs="Times New Roman"/>
                <w:color w:val="000000"/>
              </w:rPr>
              <w:t>1.5 Research Questions</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_8peioa982rgo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7</w:t>
          </w:r>
          <w:r w:rsidR="00000000" w:rsidRPr="00571085">
            <w:rPr>
              <w:rFonts w:ascii="Times New Roman" w:hAnsi="Times New Roman" w:cs="Times New Roman"/>
            </w:rPr>
            <w:fldChar w:fldCharType="end"/>
          </w:r>
        </w:p>
        <w:p w14:paraId="6D20846F"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5jd24vw8b1d5">
            <w:r w:rsidRPr="00571085">
              <w:rPr>
                <w:rFonts w:ascii="Times New Roman" w:eastAsia="Times New Roman" w:hAnsi="Times New Roman" w:cs="Times New Roman"/>
                <w:color w:val="000000"/>
              </w:rPr>
              <w:t>1.6 Limitations and scope of the study.</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_5jd24vw8b1d5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7</w:t>
          </w:r>
          <w:r w:rsidR="00000000" w:rsidRPr="00571085">
            <w:rPr>
              <w:rFonts w:ascii="Times New Roman" w:hAnsi="Times New Roman" w:cs="Times New Roman"/>
            </w:rPr>
            <w:fldChar w:fldCharType="end"/>
          </w:r>
        </w:p>
        <w:p w14:paraId="1385939B" w14:textId="77777777" w:rsidR="00BE3DCB" w:rsidRPr="00571085" w:rsidRDefault="00BE3DCB">
          <w:pPr>
            <w:widowControl w:val="0"/>
            <w:tabs>
              <w:tab w:val="right" w:pos="9421"/>
            </w:tabs>
            <w:spacing w:before="60" w:line="240" w:lineRule="auto"/>
            <w:rPr>
              <w:rFonts w:ascii="Times New Roman" w:eastAsia="Times New Roman" w:hAnsi="Times New Roman" w:cs="Times New Roman"/>
              <w:b/>
              <w:color w:val="000000"/>
            </w:rPr>
          </w:pPr>
          <w:hyperlink w:anchor="_80nlpwq2fxla">
            <w:r w:rsidRPr="00571085">
              <w:rPr>
                <w:rFonts w:ascii="Times New Roman" w:eastAsia="Times New Roman" w:hAnsi="Times New Roman" w:cs="Times New Roman"/>
                <w:b/>
                <w:color w:val="000000"/>
              </w:rPr>
              <w:t>Chapter 2: Literature review.</w:t>
            </w:r>
            <w:r w:rsidRPr="00571085">
              <w:rPr>
                <w:rFonts w:ascii="Times New Roman" w:eastAsia="Times New Roman" w:hAnsi="Times New Roman" w:cs="Times New Roman"/>
                <w:b/>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_80nlpwq2fxla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b/>
            </w:rPr>
            <w:t>8</w:t>
          </w:r>
          <w:r w:rsidR="00000000" w:rsidRPr="00571085">
            <w:rPr>
              <w:rFonts w:ascii="Times New Roman" w:hAnsi="Times New Roman" w:cs="Times New Roman"/>
            </w:rPr>
            <w:fldChar w:fldCharType="end"/>
          </w:r>
        </w:p>
        <w:p w14:paraId="067C6FC3"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cvxj9jn5ximg">
            <w:r w:rsidRPr="00571085">
              <w:rPr>
                <w:rFonts w:ascii="Times New Roman" w:eastAsia="Times New Roman" w:hAnsi="Times New Roman" w:cs="Times New Roman"/>
                <w:color w:val="000000"/>
              </w:rPr>
              <w:t>2.1 Introduction</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_cvxj9jn5ximg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8</w:t>
          </w:r>
          <w:r w:rsidR="00000000" w:rsidRPr="00571085">
            <w:rPr>
              <w:rFonts w:ascii="Times New Roman" w:hAnsi="Times New Roman" w:cs="Times New Roman"/>
            </w:rPr>
            <w:fldChar w:fldCharType="end"/>
          </w:r>
        </w:p>
        <w:p w14:paraId="6ED84622"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hiulm9squgqg">
            <w:r w:rsidRPr="00571085">
              <w:rPr>
                <w:rFonts w:ascii="Times New Roman" w:eastAsia="Times New Roman" w:hAnsi="Times New Roman" w:cs="Times New Roman"/>
                <w:color w:val="000000"/>
              </w:rPr>
              <w:t>2.2 Land Use and Land Cover (LULC) Dynamics in Juba</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_hiulm9squgqg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8</w:t>
          </w:r>
          <w:r w:rsidR="00000000" w:rsidRPr="00571085">
            <w:rPr>
              <w:rFonts w:ascii="Times New Roman" w:hAnsi="Times New Roman" w:cs="Times New Roman"/>
            </w:rPr>
            <w:fldChar w:fldCharType="end"/>
          </w:r>
        </w:p>
        <w:p w14:paraId="7A076C53"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79wegpvqf4mw">
            <w:r w:rsidRPr="00571085">
              <w:rPr>
                <w:rFonts w:ascii="Times New Roman" w:eastAsia="Times New Roman" w:hAnsi="Times New Roman" w:cs="Times New Roman"/>
                <w:color w:val="000000"/>
              </w:rPr>
              <w:t>2.3 Methodologies for Urban Growth Prediction</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_79wegpvqf4mw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9</w:t>
          </w:r>
          <w:r w:rsidR="00000000" w:rsidRPr="00571085">
            <w:rPr>
              <w:rFonts w:ascii="Times New Roman" w:hAnsi="Times New Roman" w:cs="Times New Roman"/>
            </w:rPr>
            <w:fldChar w:fldCharType="end"/>
          </w:r>
        </w:p>
        <w:p w14:paraId="09D3B49A" w14:textId="77777777" w:rsidR="00BE3DCB" w:rsidRPr="00571085" w:rsidRDefault="00BE3DCB">
          <w:pPr>
            <w:widowControl w:val="0"/>
            <w:tabs>
              <w:tab w:val="right" w:pos="9421"/>
            </w:tabs>
            <w:spacing w:before="60" w:line="240" w:lineRule="auto"/>
            <w:ind w:left="720"/>
            <w:rPr>
              <w:rFonts w:ascii="Times New Roman" w:eastAsia="Times New Roman" w:hAnsi="Times New Roman" w:cs="Times New Roman"/>
              <w:color w:val="000000"/>
            </w:rPr>
          </w:pPr>
          <w:hyperlink w:anchor="_uy4qjl74jmih">
            <w:r w:rsidRPr="00571085">
              <w:rPr>
                <w:rFonts w:ascii="Times New Roman" w:eastAsia="Times New Roman" w:hAnsi="Times New Roman" w:cs="Times New Roman"/>
                <w:color w:val="000000"/>
              </w:rPr>
              <w:t>2.3.1 Remote Sensing and GIS</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_uy4qjl74jmih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9</w:t>
          </w:r>
          <w:r w:rsidR="00000000" w:rsidRPr="00571085">
            <w:rPr>
              <w:rFonts w:ascii="Times New Roman" w:hAnsi="Times New Roman" w:cs="Times New Roman"/>
            </w:rPr>
            <w:fldChar w:fldCharType="end"/>
          </w:r>
        </w:p>
        <w:p w14:paraId="19C42295" w14:textId="77777777" w:rsidR="00BE3DCB" w:rsidRPr="00571085" w:rsidRDefault="00BE3DCB">
          <w:pPr>
            <w:widowControl w:val="0"/>
            <w:tabs>
              <w:tab w:val="right" w:pos="9421"/>
            </w:tabs>
            <w:spacing w:before="60" w:line="240" w:lineRule="auto"/>
            <w:ind w:left="720"/>
            <w:rPr>
              <w:rFonts w:ascii="Times New Roman" w:eastAsia="Times New Roman" w:hAnsi="Times New Roman" w:cs="Times New Roman"/>
              <w:color w:val="000000"/>
            </w:rPr>
          </w:pPr>
          <w:hyperlink w:anchor="_r9g6cxd938bv">
            <w:r w:rsidRPr="00571085">
              <w:rPr>
                <w:rFonts w:ascii="Times New Roman" w:eastAsia="Times New Roman" w:hAnsi="Times New Roman" w:cs="Times New Roman"/>
                <w:color w:val="000000"/>
              </w:rPr>
              <w:t>2.3.2 Cellular Automata (CA) Models</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_r9g6cxd938bv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9</w:t>
          </w:r>
          <w:r w:rsidR="00000000" w:rsidRPr="00571085">
            <w:rPr>
              <w:rFonts w:ascii="Times New Roman" w:hAnsi="Times New Roman" w:cs="Times New Roman"/>
            </w:rPr>
            <w:fldChar w:fldCharType="end"/>
          </w:r>
        </w:p>
        <w:p w14:paraId="146F6F2B" w14:textId="77777777" w:rsidR="00BE3DCB" w:rsidRPr="00571085" w:rsidRDefault="00BE3DCB">
          <w:pPr>
            <w:widowControl w:val="0"/>
            <w:tabs>
              <w:tab w:val="right" w:pos="9421"/>
            </w:tabs>
            <w:spacing w:before="60" w:line="240" w:lineRule="auto"/>
            <w:ind w:left="720"/>
            <w:rPr>
              <w:rFonts w:ascii="Times New Roman" w:eastAsia="Times New Roman" w:hAnsi="Times New Roman" w:cs="Times New Roman"/>
              <w:color w:val="000000"/>
            </w:rPr>
          </w:pPr>
          <w:hyperlink w:anchor="_i1e5o2jiwvee">
            <w:r w:rsidRPr="00571085">
              <w:rPr>
                <w:rFonts w:ascii="Times New Roman" w:eastAsia="Times New Roman" w:hAnsi="Times New Roman" w:cs="Times New Roman"/>
                <w:color w:val="000000"/>
              </w:rPr>
              <w:t>2.3.3 Markov Chain Models</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_i1e5o2jiwvee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9</w:t>
          </w:r>
          <w:r w:rsidR="00000000" w:rsidRPr="00571085">
            <w:rPr>
              <w:rFonts w:ascii="Times New Roman" w:hAnsi="Times New Roman" w:cs="Times New Roman"/>
            </w:rPr>
            <w:fldChar w:fldCharType="end"/>
          </w:r>
        </w:p>
        <w:p w14:paraId="12089193" w14:textId="77777777" w:rsidR="00BE3DCB" w:rsidRPr="00571085" w:rsidRDefault="00BE3DCB">
          <w:pPr>
            <w:widowControl w:val="0"/>
            <w:tabs>
              <w:tab w:val="right" w:pos="9421"/>
            </w:tabs>
            <w:spacing w:before="60" w:line="240" w:lineRule="auto"/>
            <w:ind w:left="720"/>
            <w:rPr>
              <w:rFonts w:ascii="Times New Roman" w:eastAsia="Times New Roman" w:hAnsi="Times New Roman" w:cs="Times New Roman"/>
              <w:color w:val="000000"/>
            </w:rPr>
          </w:pPr>
          <w:hyperlink w:anchor="_v9afmz2b02be">
            <w:r w:rsidRPr="00571085">
              <w:rPr>
                <w:rFonts w:ascii="Times New Roman" w:eastAsia="Times New Roman" w:hAnsi="Times New Roman" w:cs="Times New Roman"/>
                <w:color w:val="000000"/>
              </w:rPr>
              <w:t>2.3.4 Artificial Neural Networks (ANN)</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_v9afmz2b02be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10</w:t>
          </w:r>
          <w:r w:rsidR="00000000" w:rsidRPr="00571085">
            <w:rPr>
              <w:rFonts w:ascii="Times New Roman" w:hAnsi="Times New Roman" w:cs="Times New Roman"/>
            </w:rPr>
            <w:fldChar w:fldCharType="end"/>
          </w:r>
        </w:p>
        <w:p w14:paraId="6DC57CC8" w14:textId="77777777" w:rsidR="00BE3DCB" w:rsidRPr="00571085" w:rsidRDefault="00BE3DCB">
          <w:pPr>
            <w:widowControl w:val="0"/>
            <w:tabs>
              <w:tab w:val="right" w:pos="9421"/>
            </w:tabs>
            <w:spacing w:before="60" w:line="240" w:lineRule="auto"/>
            <w:ind w:left="720"/>
            <w:rPr>
              <w:rFonts w:ascii="Times New Roman" w:eastAsia="Times New Roman" w:hAnsi="Times New Roman" w:cs="Times New Roman"/>
              <w:color w:val="000000"/>
            </w:rPr>
          </w:pPr>
          <w:hyperlink w:anchor="_ryzboh5d5dh5">
            <w:r w:rsidRPr="00571085">
              <w:rPr>
                <w:rFonts w:ascii="Times New Roman" w:eastAsia="Times New Roman" w:hAnsi="Times New Roman" w:cs="Times New Roman"/>
                <w:color w:val="000000"/>
              </w:rPr>
              <w:t>2.3.5 Logistic Regression</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_ryzboh5d5dh5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10</w:t>
          </w:r>
          <w:r w:rsidR="00000000" w:rsidRPr="00571085">
            <w:rPr>
              <w:rFonts w:ascii="Times New Roman" w:hAnsi="Times New Roman" w:cs="Times New Roman"/>
            </w:rPr>
            <w:fldChar w:fldCharType="end"/>
          </w:r>
        </w:p>
        <w:p w14:paraId="4C50F054"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cwltr3iojqaq">
            <w:r w:rsidRPr="00571085">
              <w:rPr>
                <w:rFonts w:ascii="Times New Roman" w:eastAsia="Times New Roman" w:hAnsi="Times New Roman" w:cs="Times New Roman"/>
                <w:color w:val="000000"/>
              </w:rPr>
              <w:t>2.4 Contribution of the Current Study</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_cwltr3iojqaq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10</w:t>
          </w:r>
          <w:r w:rsidR="00000000" w:rsidRPr="00571085">
            <w:rPr>
              <w:rFonts w:ascii="Times New Roman" w:hAnsi="Times New Roman" w:cs="Times New Roman"/>
            </w:rPr>
            <w:fldChar w:fldCharType="end"/>
          </w:r>
        </w:p>
        <w:p w14:paraId="5820A11A" w14:textId="77777777" w:rsidR="00BE3DCB" w:rsidRPr="00571085" w:rsidRDefault="00BE3DCB">
          <w:pPr>
            <w:widowControl w:val="0"/>
            <w:tabs>
              <w:tab w:val="right" w:pos="9421"/>
            </w:tabs>
            <w:spacing w:before="60" w:line="240" w:lineRule="auto"/>
            <w:rPr>
              <w:rFonts w:ascii="Times New Roman" w:eastAsia="Times New Roman" w:hAnsi="Times New Roman" w:cs="Times New Roman"/>
              <w:b/>
              <w:color w:val="000000"/>
            </w:rPr>
          </w:pPr>
          <w:hyperlink w:anchor="_gk5rp9a3x1kk">
            <w:r w:rsidRPr="00571085">
              <w:rPr>
                <w:rFonts w:ascii="Times New Roman" w:eastAsia="Times New Roman" w:hAnsi="Times New Roman" w:cs="Times New Roman"/>
                <w:b/>
                <w:color w:val="000000"/>
              </w:rPr>
              <w:t>Chapter 3: Materials and Methods</w:t>
            </w:r>
            <w:r w:rsidRPr="00571085">
              <w:rPr>
                <w:rFonts w:ascii="Times New Roman" w:eastAsia="Times New Roman" w:hAnsi="Times New Roman" w:cs="Times New Roman"/>
                <w:b/>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_gk5rp9a3x1kk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b/>
            </w:rPr>
            <w:t>12</w:t>
          </w:r>
          <w:r w:rsidR="00000000" w:rsidRPr="00571085">
            <w:rPr>
              <w:rFonts w:ascii="Times New Roman" w:hAnsi="Times New Roman" w:cs="Times New Roman"/>
            </w:rPr>
            <w:fldChar w:fldCharType="end"/>
          </w:r>
        </w:p>
        <w:p w14:paraId="76D1536F"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xntt7ef9y1wi">
            <w:r w:rsidRPr="00571085">
              <w:rPr>
                <w:rFonts w:ascii="Times New Roman" w:eastAsia="Times New Roman" w:hAnsi="Times New Roman" w:cs="Times New Roman"/>
                <w:color w:val="000000"/>
              </w:rPr>
              <w:t>3.1 Overview</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_xntt7ef9y1wi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12</w:t>
          </w:r>
          <w:r w:rsidR="00000000" w:rsidRPr="00571085">
            <w:rPr>
              <w:rFonts w:ascii="Times New Roman" w:hAnsi="Times New Roman" w:cs="Times New Roman"/>
            </w:rPr>
            <w:fldChar w:fldCharType="end"/>
          </w:r>
        </w:p>
        <w:p w14:paraId="577AC63B"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blefmyw9zicr">
            <w:r w:rsidRPr="00571085">
              <w:rPr>
                <w:rFonts w:ascii="Times New Roman" w:eastAsia="Times New Roman" w:hAnsi="Times New Roman" w:cs="Times New Roman"/>
                <w:color w:val="000000"/>
              </w:rPr>
              <w:t>3.2 Data Collection</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_blefmyw9zicr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12</w:t>
          </w:r>
          <w:r w:rsidR="00000000" w:rsidRPr="00571085">
            <w:rPr>
              <w:rFonts w:ascii="Times New Roman" w:hAnsi="Times New Roman" w:cs="Times New Roman"/>
            </w:rPr>
            <w:fldChar w:fldCharType="end"/>
          </w:r>
        </w:p>
        <w:p w14:paraId="1C13977C"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n2iqpjao192v">
            <w:r w:rsidRPr="00571085">
              <w:rPr>
                <w:rFonts w:ascii="Times New Roman" w:eastAsia="Times New Roman" w:hAnsi="Times New Roman" w:cs="Times New Roman"/>
                <w:color w:val="000000"/>
              </w:rPr>
              <w:t>3.3 Data Preprocessing</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_n2iqpjao192v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12</w:t>
          </w:r>
          <w:r w:rsidR="00000000" w:rsidRPr="00571085">
            <w:rPr>
              <w:rFonts w:ascii="Times New Roman" w:hAnsi="Times New Roman" w:cs="Times New Roman"/>
            </w:rPr>
            <w:fldChar w:fldCharType="end"/>
          </w:r>
        </w:p>
        <w:p w14:paraId="36A71F8D"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7whx6nfm5zrs">
            <w:r w:rsidRPr="00571085">
              <w:rPr>
                <w:rFonts w:ascii="Times New Roman" w:eastAsia="Times New Roman" w:hAnsi="Times New Roman" w:cs="Times New Roman"/>
                <w:color w:val="000000"/>
              </w:rPr>
              <w:t>3.4 Land Use and Land Cover Classification</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_7whx6nfm5zrs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13</w:t>
          </w:r>
          <w:r w:rsidR="00000000" w:rsidRPr="00571085">
            <w:rPr>
              <w:rFonts w:ascii="Times New Roman" w:hAnsi="Times New Roman" w:cs="Times New Roman"/>
            </w:rPr>
            <w:fldChar w:fldCharType="end"/>
          </w:r>
        </w:p>
        <w:p w14:paraId="44724435"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n0uqn11wdqdu">
            <w:r w:rsidRPr="00571085">
              <w:rPr>
                <w:rFonts w:ascii="Times New Roman" w:eastAsia="Times New Roman" w:hAnsi="Times New Roman" w:cs="Times New Roman"/>
                <w:color w:val="000000"/>
              </w:rPr>
              <w:t>3.5 Urban Growth Modeling</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_n0uqn11wdqdu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13</w:t>
          </w:r>
          <w:r w:rsidR="00000000" w:rsidRPr="00571085">
            <w:rPr>
              <w:rFonts w:ascii="Times New Roman" w:hAnsi="Times New Roman" w:cs="Times New Roman"/>
            </w:rPr>
            <w:fldChar w:fldCharType="end"/>
          </w:r>
        </w:p>
        <w:p w14:paraId="6EAF72E1"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v4s8x1uannkh">
            <w:r w:rsidRPr="00571085">
              <w:rPr>
                <w:rFonts w:ascii="Times New Roman" w:eastAsia="Times New Roman" w:hAnsi="Times New Roman" w:cs="Times New Roman"/>
                <w:color w:val="000000"/>
              </w:rPr>
              <w:t>3.6 Validation and Accuracy Assessment</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_v4s8x1uannkh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14</w:t>
          </w:r>
          <w:r w:rsidR="00000000" w:rsidRPr="00571085">
            <w:rPr>
              <w:rFonts w:ascii="Times New Roman" w:hAnsi="Times New Roman" w:cs="Times New Roman"/>
            </w:rPr>
            <w:fldChar w:fldCharType="end"/>
          </w:r>
        </w:p>
        <w:p w14:paraId="5BD70278"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i4npyjfkrpbf">
            <w:r w:rsidRPr="00571085">
              <w:rPr>
                <w:rFonts w:ascii="Times New Roman" w:eastAsia="Times New Roman" w:hAnsi="Times New Roman" w:cs="Times New Roman"/>
                <w:color w:val="000000"/>
              </w:rPr>
              <w:t>3.7 Scenario Analysis</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_i4npyjfkrpbf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14</w:t>
          </w:r>
          <w:r w:rsidR="00000000" w:rsidRPr="00571085">
            <w:rPr>
              <w:rFonts w:ascii="Times New Roman" w:hAnsi="Times New Roman" w:cs="Times New Roman"/>
            </w:rPr>
            <w:fldChar w:fldCharType="end"/>
          </w:r>
        </w:p>
        <w:p w14:paraId="6286A29D"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pctkdnqk3t1">
            <w:r w:rsidRPr="00571085">
              <w:rPr>
                <w:rFonts w:ascii="Times New Roman" w:eastAsia="Times New Roman" w:hAnsi="Times New Roman" w:cs="Times New Roman"/>
                <w:color w:val="000000"/>
              </w:rPr>
              <w:t>3.8 Software and Tools</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_pctkdnqk3t1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14</w:t>
          </w:r>
          <w:r w:rsidR="00000000" w:rsidRPr="00571085">
            <w:rPr>
              <w:rFonts w:ascii="Times New Roman" w:hAnsi="Times New Roman" w:cs="Times New Roman"/>
            </w:rPr>
            <w:fldChar w:fldCharType="end"/>
          </w:r>
          <w:r w:rsidR="00000000" w:rsidRPr="00571085">
            <w:rPr>
              <w:rFonts w:ascii="Times New Roman" w:hAnsi="Times New Roman" w:cs="Times New Roman"/>
            </w:rPr>
            <w:fldChar w:fldCharType="end"/>
          </w:r>
        </w:p>
      </w:sdtContent>
    </w:sdt>
    <w:p w14:paraId="621945E3" w14:textId="77777777" w:rsidR="00BE3DCB" w:rsidRPr="00571085" w:rsidRDefault="00BE3DCB">
      <w:pPr>
        <w:widowControl w:val="0"/>
        <w:pBdr>
          <w:top w:val="nil"/>
          <w:left w:val="nil"/>
          <w:bottom w:val="nil"/>
          <w:right w:val="nil"/>
          <w:between w:val="nil"/>
        </w:pBdr>
        <w:spacing w:before="369" w:line="264" w:lineRule="auto"/>
        <w:ind w:right="4" w:firstLine="2"/>
        <w:rPr>
          <w:rFonts w:ascii="Times New Roman" w:eastAsia="Times New Roman" w:hAnsi="Times New Roman" w:cs="Times New Roman"/>
          <w:sz w:val="24"/>
          <w:szCs w:val="24"/>
        </w:rPr>
      </w:pPr>
    </w:p>
    <w:p w14:paraId="7E9B0208" w14:textId="77777777" w:rsidR="00BE3DCB" w:rsidRPr="00571085" w:rsidRDefault="00000000">
      <w:pPr>
        <w:widowControl w:val="0"/>
        <w:pBdr>
          <w:top w:val="nil"/>
          <w:left w:val="nil"/>
          <w:bottom w:val="nil"/>
          <w:right w:val="nil"/>
          <w:between w:val="nil"/>
        </w:pBdr>
        <w:spacing w:line="240" w:lineRule="auto"/>
        <w:ind w:left="403"/>
        <w:rPr>
          <w:rFonts w:ascii="Times New Roman" w:eastAsia="Times New Roman" w:hAnsi="Times New Roman" w:cs="Times New Roman"/>
          <w:sz w:val="39"/>
          <w:szCs w:val="39"/>
        </w:rPr>
      </w:pPr>
      <w:r w:rsidRPr="00571085">
        <w:rPr>
          <w:rFonts w:ascii="Times New Roman" w:hAnsi="Times New Roman" w:cs="Times New Roman"/>
        </w:rPr>
        <w:br w:type="page"/>
      </w:r>
    </w:p>
    <w:p w14:paraId="1BA9F4AE" w14:textId="64133BD9" w:rsidR="00BE3DCB" w:rsidRPr="00571085" w:rsidRDefault="00000000" w:rsidP="00AE5E64">
      <w:pPr>
        <w:pStyle w:val="Heading1"/>
        <w:rPr>
          <w:rFonts w:ascii="Times New Roman" w:hAnsi="Times New Roman" w:cs="Times New Roman"/>
        </w:rPr>
      </w:pPr>
      <w:bookmarkStart w:id="2" w:name="_mh8i5qmmfatk" w:colFirst="0" w:colLast="0"/>
      <w:bookmarkEnd w:id="2"/>
      <w:r w:rsidRPr="00571085">
        <w:rPr>
          <w:rFonts w:ascii="Times New Roman" w:hAnsi="Times New Roman" w:cs="Times New Roman"/>
        </w:rPr>
        <w:lastRenderedPageBreak/>
        <w:t xml:space="preserve">Chapter one: Introduction. </w:t>
      </w:r>
    </w:p>
    <w:p w14:paraId="621C6FC8" w14:textId="3DA661F3" w:rsidR="00BE3DCB" w:rsidRPr="00571085" w:rsidRDefault="00000000" w:rsidP="00AE5E64">
      <w:pPr>
        <w:pStyle w:val="Heading2"/>
        <w:rPr>
          <w:rFonts w:ascii="Times New Roman" w:hAnsi="Times New Roman" w:cs="Times New Roman"/>
        </w:rPr>
      </w:pPr>
      <w:bookmarkStart w:id="3" w:name="_4sek6mfdwepp" w:colFirst="0" w:colLast="0"/>
      <w:bookmarkEnd w:id="3"/>
      <w:r w:rsidRPr="00571085">
        <w:rPr>
          <w:rFonts w:ascii="Times New Roman" w:hAnsi="Times New Roman" w:cs="Times New Roman"/>
        </w:rPr>
        <w:t xml:space="preserve">Background </w:t>
      </w:r>
    </w:p>
    <w:p w14:paraId="28EE1F38" w14:textId="77777777" w:rsidR="009B66CA" w:rsidRPr="00571085" w:rsidRDefault="009B66CA" w:rsidP="00AE5E64">
      <w:pPr>
        <w:widowControl w:val="0"/>
        <w:pBdr>
          <w:top w:val="nil"/>
          <w:left w:val="nil"/>
          <w:bottom w:val="nil"/>
          <w:right w:val="nil"/>
          <w:between w:val="nil"/>
        </w:pBdr>
        <w:spacing w:before="26" w:line="360" w:lineRule="auto"/>
        <w:ind w:left="2" w:firstLine="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Urbanization is a defining characteristic of modern development, particularly in rapidly expanding cities within developing nations</w:t>
      </w:r>
      <w:r w:rsidRPr="00571085">
        <w:rPr>
          <w:rFonts w:ascii="Times New Roman" w:eastAsia="Times New Roman" w:hAnsi="Times New Roman" w:cs="Times New Roman"/>
          <w:color w:val="000000"/>
          <w:sz w:val="24"/>
          <w:szCs w:val="24"/>
        </w:rPr>
        <w:t>, like Juba in South Sudan</w:t>
      </w:r>
      <w:r w:rsidRPr="00571085">
        <w:rPr>
          <w:rFonts w:ascii="Times New Roman" w:eastAsia="Times New Roman" w:hAnsi="Times New Roman" w:cs="Times New Roman"/>
          <w:color w:val="000000"/>
          <w:sz w:val="24"/>
          <w:szCs w:val="24"/>
        </w:rPr>
        <w:t>. The process of urban growth introduces both opportunities and challenges, shaping the trajectory of economic and social progress</w:t>
      </w:r>
      <w:r w:rsidRPr="00571085">
        <w:rPr>
          <w:rFonts w:ascii="Times New Roman" w:eastAsia="Times New Roman" w:hAnsi="Times New Roman" w:cs="Times New Roman"/>
          <w:color w:val="000000"/>
          <w:sz w:val="24"/>
          <w:szCs w:val="24"/>
        </w:rPr>
        <w:t xml:space="preserve"> </w:t>
      </w:r>
      <w:r w:rsidR="00C0397A" w:rsidRPr="00571085">
        <w:rPr>
          <w:rFonts w:ascii="Times New Roman" w:eastAsia="Times New Roman" w:hAnsi="Times New Roman" w:cs="Times New Roman"/>
          <w:color w:val="000000"/>
          <w:sz w:val="24"/>
          <w:szCs w:val="24"/>
        </w:rPr>
        <w:fldChar w:fldCharType="begin"/>
      </w:r>
      <w:r w:rsidR="00970291" w:rsidRPr="00571085">
        <w:rPr>
          <w:rFonts w:ascii="Times New Roman" w:eastAsia="Times New Roman" w:hAnsi="Times New Roman" w:cs="Times New Roman"/>
          <w:color w:val="000000"/>
          <w:sz w:val="24"/>
          <w:szCs w:val="24"/>
        </w:rPr>
        <w:instrText xml:space="preserve"> ADDIN ZOTERO_ITEM CSL_CITATION {"citationID":"mgichOYD","properties":{"formattedCitation":"(Justin, 2017; Justin and and De Vries, 2019)","plainCitation":"(Justin, 2017; Justin and and De Vries, 2019)","noteIndex":0},"citationItems":[{"id":33,"uris":["http://zotero.org/users/16803167/items/N3GTBMPP"],"itemData":{"id":33,"type":"webpage","title":"South Sudan Governance: A Call for Federalism to Address : Marginalization and Prevent Armed Conflict Recurrence - 21_Justin Laku.pdf","URL":"https://sonar.ch/documents/324250/preview/21_Justin%20Laku.pdf","author":[{"family":"Justin","given":"Lako"}],"accessed":{"date-parts":[["2025",3,30]]},"issued":{"date-parts":[["2017",3]]}}},{"id":"izuXWwAi/82BClxb5","uris":["http://zotero.org/users/16803167/items/6XK73FUQ"],"itemData":{"id":29,"type":"article-journal","abstract":"South Sudan’s administrative boundaries stem from the colonial period. Since it gained independence in 2011, subsequent rounds of reshuffling of the political system, internal borders, and power relations have been a source of confusion, elite manipulation, and conflict throughout the country. This paper explores the impact of this confusion by focusing on multiple shifting linkages between administrative boundaries and identities and shows how the mobilization of ethnic identities has become central to territorial claims and creating territorial borders. We use three local conflicts in Central Equatoria State to illustrate how claims of belonging and entitlement are being used by elites for economic, political, and socio-cultural gains. The three cases also show how such manipulation increases the likelihood of ethnic division and conflict. Following the decision by the government in 2015 to increase the number of states from 10 to 28 in October 2015, further manipulation of borders and identities is likely to occur and could result in more violence, ethnic-based conflict, and human suffering.","container-title":"Journal of Borderlands Studies","DOI":"10.1080/08865655.2017.1294497","ISSN":"0886-5655","issue":"1","note":"publisher: Routledge\n_eprint: https://doi.org/10.1080/08865655.2017.1294497","page":"31-46","source":"Taylor and Francis+NEJM","title":"Governing Unclear Lines: Local Boundaries as a (Re)source of Conflict in South Sudan","title-short":"Governing Unclear Lines","volume":"34","author":[{"family":"Justin","given":"Peter Hakim"},{"family":"De Vries","given":"Lotje","non-dropping-particle":"and"}],"issued":{"date-parts":[["2019",1,1]]}}}],"schema":"https://github.com/citation-style-language/schema/raw/master/csl-citation.json"} </w:instrText>
      </w:r>
      <w:r w:rsidR="00C0397A" w:rsidRPr="00571085">
        <w:rPr>
          <w:rFonts w:ascii="Times New Roman" w:eastAsia="Times New Roman" w:hAnsi="Times New Roman" w:cs="Times New Roman"/>
          <w:color w:val="000000"/>
          <w:sz w:val="24"/>
          <w:szCs w:val="24"/>
        </w:rPr>
        <w:fldChar w:fldCharType="separate"/>
      </w:r>
      <w:r w:rsidR="00C0397A" w:rsidRPr="00C95A56">
        <w:rPr>
          <w:rFonts w:ascii="Times New Roman" w:hAnsi="Times New Roman" w:cs="Times New Roman"/>
          <w:color w:val="87CEEB"/>
          <w:sz w:val="24"/>
          <w:szCs w:val="24"/>
          <w:u w:val="single"/>
        </w:rPr>
        <w:t xml:space="preserve">(Justin, 2017; Justin and </w:t>
      </w:r>
      <w:proofErr w:type="spellStart"/>
      <w:r w:rsidR="00C0397A" w:rsidRPr="00C95A56">
        <w:rPr>
          <w:rFonts w:ascii="Times New Roman" w:hAnsi="Times New Roman" w:cs="Times New Roman"/>
          <w:color w:val="87CEEB"/>
          <w:sz w:val="24"/>
          <w:szCs w:val="24"/>
          <w:u w:val="single"/>
        </w:rPr>
        <w:t>and</w:t>
      </w:r>
      <w:proofErr w:type="spellEnd"/>
      <w:r w:rsidR="00C0397A" w:rsidRPr="00C95A56">
        <w:rPr>
          <w:rFonts w:ascii="Times New Roman" w:hAnsi="Times New Roman" w:cs="Times New Roman"/>
          <w:color w:val="87CEEB"/>
          <w:sz w:val="24"/>
          <w:szCs w:val="24"/>
          <w:u w:val="single"/>
        </w:rPr>
        <w:t xml:space="preserve"> De Vries, 2019)</w:t>
      </w:r>
      <w:r w:rsidR="00C0397A" w:rsidRPr="00571085">
        <w:rPr>
          <w:rFonts w:ascii="Times New Roman" w:eastAsia="Times New Roman" w:hAnsi="Times New Roman" w:cs="Times New Roman"/>
          <w:color w:val="000000"/>
          <w:sz w:val="24"/>
          <w:szCs w:val="24"/>
        </w:rPr>
        <w:fldChar w:fldCharType="end"/>
      </w:r>
      <w:r w:rsidR="00E90CF0" w:rsidRPr="00571085">
        <w:rPr>
          <w:rFonts w:ascii="Times New Roman" w:eastAsia="Times New Roman" w:hAnsi="Times New Roman" w:cs="Times New Roman"/>
          <w:color w:val="000000"/>
          <w:sz w:val="24"/>
          <w:szCs w:val="24"/>
        </w:rPr>
        <w:t xml:space="preserve">. </w:t>
      </w:r>
    </w:p>
    <w:p w14:paraId="248916EB" w14:textId="77777777" w:rsidR="009B66CA" w:rsidRPr="00571085" w:rsidRDefault="009B66CA" w:rsidP="00AE5E64">
      <w:pPr>
        <w:widowControl w:val="0"/>
        <w:pBdr>
          <w:top w:val="nil"/>
          <w:left w:val="nil"/>
          <w:bottom w:val="nil"/>
          <w:right w:val="nil"/>
          <w:between w:val="nil"/>
        </w:pBdr>
        <w:spacing w:before="26" w:line="360" w:lineRule="auto"/>
        <w:ind w:left="2" w:firstLine="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In regions such as South Sudan, the pace of urbanization is accelerated by a combination of population growth, migration trends, and economic transitions. While this expansion fosters economic opportunities and infrastructural advancements, it also places considerable strain on essential resources, including housing, transportation networks, public utilities, and environmental sustainability</w:t>
      </w:r>
      <w:r w:rsidR="00DE3AF6" w:rsidRPr="00571085">
        <w:rPr>
          <w:rFonts w:ascii="Times New Roman" w:eastAsia="Times New Roman" w:hAnsi="Times New Roman" w:cs="Times New Roman"/>
          <w:color w:val="000000"/>
          <w:sz w:val="24"/>
          <w:szCs w:val="24"/>
        </w:rPr>
        <w:t xml:space="preserve"> </w:t>
      </w:r>
      <w:r w:rsidR="00DE3AF6" w:rsidRPr="00571085">
        <w:rPr>
          <w:rFonts w:ascii="Times New Roman" w:eastAsia="Times New Roman" w:hAnsi="Times New Roman" w:cs="Times New Roman"/>
          <w:color w:val="000000"/>
          <w:sz w:val="24"/>
          <w:szCs w:val="24"/>
        </w:rPr>
        <w:fldChar w:fldCharType="begin"/>
      </w:r>
      <w:r w:rsidR="00DE3AF6" w:rsidRPr="00571085">
        <w:rPr>
          <w:rFonts w:ascii="Times New Roman" w:eastAsia="Times New Roman" w:hAnsi="Times New Roman" w:cs="Times New Roman"/>
          <w:color w:val="000000"/>
          <w:sz w:val="24"/>
          <w:szCs w:val="24"/>
        </w:rPr>
        <w:instrText xml:space="preserve"> ADDIN ZOTERO_ITEM CSL_CITATION {"citationID":"lTm0xUot","properties":{"formattedCitation":"(Zeng {\\i{}et al.}, 2016; Jiang and Lv, 2022)","plainCitation":"(Zeng et al., 2016; Jiang and Lv, 2022)","noteIndex":0},"citationItems":[{"id":38,"uris":["http://zotero.org/users/16803167/items/W5NSRNXN"],"itemData":{"id":38,"type":"article-journal","abstract":"Abstract. The optimization of land-use allocation is one of important approaches to achieve regional sustainable development. This study selects Chang-Zhu-Tan agglomeration as study area and proposed a new land use optimization allocation model. Using multi-agent based simulation model, the future urban land use optimization allocation was simulated in 2020 and 2030 under three different scenarios. This kind of quantitative information about urban land use optimization allocation and urban expansions in future would be of great interest to urban planning, water and land resource management, and climate change research.","container-title":"The International Archives of the Photogrammetry, Remote Sensing and Spatial Information Sciences","DOI":"10.5194/isprs-archives-XLI-B8-1089-2016","ISSN":"2194-9034","journalAbbreviation":"Int. Arch. Photogramm. Remote Sens. Spatial Inf. Sci.","language":"en","license":"https://creativecommons.org/licenses/by/3.0/","page":"1089-1092","source":"DOI.org (Crossref)","title":"MULTI-AGENT BASED SIMULATION OF OPTIMAL URBAN LAND USE ALLOCATION IN THE MIDDLE REACHES OF THE YANGTZE RIVER, CHINA","volume":"XLI-B8","author":[{"family":"Zeng","given":"Y."},{"family":"Huang","given":"W."},{"family":"Jin","given":"W."},{"family":"Li","given":"S."}],"issued":{"date-parts":[["2016",6,24]]}}},{"id":40,"uris":["http://zotero.org/users/16803167/items/FE664DE5"],"itemData":{"id":40,"type":"article","abstract":"Abstract\n          The spatial distribution of the urban agglomeration population has changed increasingly in rapid urbanization. It affects the urban economy, environment, transportation, and so on. Therefore, it is of great significance to understand the changes in the spatial distribution of population in urban agglomerations. This study uses methods such as population center of gravity migration and Gini coefficient to explore changes in the spatial distribution of urban populations. The study found that the population center of the Beijing-Tianjin-Hebei urban agglomeration first migrated toward Beijing and then away from Beijing. During this process, the Gini coefficient increased from 0.62 to 0.64 and then decreased to 0.58, indicating that the population balance of the urban agglomeration first increased and then decreased. This result is consistent with the conclusion that we have established a simulated urban agglomeration for theoretical derivation. That is: in the early stage of urban agglomeration development, the population migrated to the central city; as the population of the central city became saturated, the urban agglomeration developed to a mature stage, and the population began to migrate to the peripheral cities. In this process, the population distribution center of urban agglomeration gradually shifted from central towns to peripheral towns. The degree of equilibrium in the spatial distribution of population has undergone an inverted u-shaped transition from non-equilibrium to equilibrium.","DOI":"10.21203/rs.3.rs-1244609/v1","license":"https://creativecommons.org/licenses/by/4.0/","publisher":"In Review","source":"DOI.org (Crossref)","title":"Changes in the spatial distribution of population in urban agglomerations: A spatial-temporal perspective","title-short":"Changes in the spatial distribution of population in urban agglomerations","URL":"https://www.researchsquare.com/article/rs-1244609/v1","author":[{"family":"Jiang","given":"Fangye"},{"family":"Lv","given":"Yanming"}],"accessed":{"date-parts":[["2025",3,30]]},"issued":{"date-parts":[["2022",1,27]]}}}],"schema":"https://github.com/citation-style-language/schema/raw/master/csl-citation.json"} </w:instrText>
      </w:r>
      <w:r w:rsidR="00DE3AF6" w:rsidRPr="00571085">
        <w:rPr>
          <w:rFonts w:ascii="Times New Roman" w:eastAsia="Times New Roman" w:hAnsi="Times New Roman" w:cs="Times New Roman"/>
          <w:color w:val="000000"/>
          <w:sz w:val="24"/>
          <w:szCs w:val="24"/>
        </w:rPr>
        <w:fldChar w:fldCharType="separate"/>
      </w:r>
      <w:r w:rsidR="00DE3AF6" w:rsidRPr="00C95A56">
        <w:rPr>
          <w:rFonts w:ascii="Times New Roman" w:hAnsi="Times New Roman" w:cs="Times New Roman"/>
          <w:color w:val="87CEEB"/>
          <w:sz w:val="24"/>
          <w:szCs w:val="24"/>
          <w:u w:val="single"/>
        </w:rPr>
        <w:t xml:space="preserve">(Zeng </w:t>
      </w:r>
      <w:r w:rsidR="00DE3AF6" w:rsidRPr="00C95A56">
        <w:rPr>
          <w:rFonts w:ascii="Times New Roman" w:hAnsi="Times New Roman" w:cs="Times New Roman"/>
          <w:i/>
          <w:iCs/>
          <w:color w:val="87CEEB"/>
          <w:sz w:val="24"/>
          <w:szCs w:val="24"/>
          <w:u w:val="single"/>
        </w:rPr>
        <w:t>et al.</w:t>
      </w:r>
      <w:r w:rsidR="00DE3AF6" w:rsidRPr="00C95A56">
        <w:rPr>
          <w:rFonts w:ascii="Times New Roman" w:hAnsi="Times New Roman" w:cs="Times New Roman"/>
          <w:color w:val="87CEEB"/>
          <w:sz w:val="24"/>
          <w:szCs w:val="24"/>
          <w:u w:val="single"/>
        </w:rPr>
        <w:t xml:space="preserve">, 2016; Jiang and </w:t>
      </w:r>
      <w:proofErr w:type="spellStart"/>
      <w:r w:rsidR="00DE3AF6" w:rsidRPr="00C95A56">
        <w:rPr>
          <w:rFonts w:ascii="Times New Roman" w:hAnsi="Times New Roman" w:cs="Times New Roman"/>
          <w:color w:val="87CEEB"/>
          <w:sz w:val="24"/>
          <w:szCs w:val="24"/>
          <w:u w:val="single"/>
        </w:rPr>
        <w:t>Lv</w:t>
      </w:r>
      <w:proofErr w:type="spellEnd"/>
      <w:r w:rsidR="00DE3AF6" w:rsidRPr="00C95A56">
        <w:rPr>
          <w:rFonts w:ascii="Times New Roman" w:hAnsi="Times New Roman" w:cs="Times New Roman"/>
          <w:color w:val="87CEEB"/>
          <w:sz w:val="24"/>
          <w:szCs w:val="24"/>
          <w:u w:val="single"/>
        </w:rPr>
        <w:t>, 2022)</w:t>
      </w:r>
      <w:r w:rsidR="00DE3AF6" w:rsidRPr="00571085">
        <w:rPr>
          <w:rFonts w:ascii="Times New Roman" w:eastAsia="Times New Roman" w:hAnsi="Times New Roman" w:cs="Times New Roman"/>
          <w:color w:val="000000"/>
          <w:sz w:val="24"/>
          <w:szCs w:val="24"/>
        </w:rPr>
        <w:fldChar w:fldCharType="end"/>
      </w:r>
      <w:r w:rsidR="00E90CF0" w:rsidRPr="00571085">
        <w:rPr>
          <w:rFonts w:ascii="Times New Roman" w:eastAsia="Times New Roman" w:hAnsi="Times New Roman" w:cs="Times New Roman"/>
          <w:color w:val="000000"/>
          <w:sz w:val="24"/>
          <w:szCs w:val="24"/>
        </w:rPr>
        <w:t xml:space="preserve">. </w:t>
      </w:r>
    </w:p>
    <w:p w14:paraId="2C7C18E8" w14:textId="52305DBE" w:rsidR="00E90CF0" w:rsidRPr="00571085" w:rsidRDefault="009B66CA" w:rsidP="00AE5E64">
      <w:pPr>
        <w:widowControl w:val="0"/>
        <w:pBdr>
          <w:top w:val="nil"/>
          <w:left w:val="nil"/>
          <w:bottom w:val="nil"/>
          <w:right w:val="nil"/>
          <w:between w:val="nil"/>
        </w:pBdr>
        <w:spacing w:before="26" w:line="360" w:lineRule="auto"/>
        <w:ind w:left="2" w:firstLine="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In many developing countries, the challenges associated with urban expansion are compounded by weak governance structures, fragile institutional frameworks, and a lack of comprehensive urban planning mechanisms. These factors contribute to the unregulated sprawl of cities, making it increasingly difficult to implement effective development strategies</w:t>
      </w:r>
      <w:r w:rsidR="00DE3AF6" w:rsidRPr="00571085">
        <w:rPr>
          <w:rFonts w:ascii="Times New Roman" w:eastAsia="Times New Roman" w:hAnsi="Times New Roman" w:cs="Times New Roman"/>
          <w:color w:val="000000"/>
          <w:sz w:val="24"/>
          <w:szCs w:val="24"/>
        </w:rPr>
        <w:fldChar w:fldCharType="begin"/>
      </w:r>
      <w:r w:rsidR="00DE3AF6" w:rsidRPr="00571085">
        <w:rPr>
          <w:rFonts w:ascii="Times New Roman" w:eastAsia="Times New Roman" w:hAnsi="Times New Roman" w:cs="Times New Roman"/>
          <w:color w:val="000000"/>
          <w:sz w:val="24"/>
          <w:szCs w:val="24"/>
        </w:rPr>
        <w:instrText xml:space="preserve"> ADDIN ZOTERO_ITEM CSL_CITATION {"citationID":"vJyqfPxB","properties":{"formattedCitation":"(Zeng {\\i{}et al.}, 2016; Justin, 2017; Wild, Jok and Patel, 2018; Jiang and Lv, 2022)","plainCitation":"(Zeng et al., 2016; Justin, 2017; Wild, Jok and Patel, 2018; Jiang and Lv, 2022)","noteIndex":0},"citationItems":[{"id":38,"uris":["http://zotero.org/users/16803167/items/W5NSRNXN"],"itemData":{"id":38,"type":"article-journal","abstract":"Abstract. The optimization of land-use allocation is one of important approaches to achieve regional sustainable development. This study selects Chang-Zhu-Tan agglomeration as study area and proposed a new land use optimization allocation model. Using multi-agent based simulation model, the future urban land use optimization allocation was simulated in 2020 and 2030 under three different scenarios. This kind of quantitative information about urban land use optimization allocation and urban expansions in future would be of great interest to urban planning, water and land resource management, and climate change research.","container-title":"The International Archives of the Photogrammetry, Remote Sensing and Spatial Information Sciences","DOI":"10.5194/isprs-archives-XLI-B8-1089-2016","ISSN":"2194-9034","journalAbbreviation":"Int. Arch. Photogramm. Remote Sens. Spatial Inf. Sci.","language":"en","license":"https://creativecommons.org/licenses/by/3.0/","page":"1089-1092","source":"DOI.org (Crossref)","title":"MULTI-AGENT BASED SIMULATION OF OPTIMAL URBAN LAND USE ALLOCATION IN THE MIDDLE REACHES OF THE YANGTZE RIVER, CHINA","volume":"XLI-B8","author":[{"family":"Zeng","given":"Y."},{"family":"Huang","given":"W."},{"family":"Jin","given":"W."},{"family":"Li","given":"S."}],"issued":{"date-parts":[["2016",6,24]]}}},{"id":33,"uris":["http://zotero.org/users/16803167/items/N3GTBMPP"],"itemData":{"id":33,"type":"webpage","title":"South Sudan Governance: A Call for Federalism to Address : Marginalization and Prevent Armed Conflict Recurrence - 21_Justin Laku.pdf","URL":"https://sonar.ch/documents/324250/preview/21_Justin%20Laku.pdf","author":[{"family":"Justin","given":"Lako"}],"accessed":{"date-parts":[["2025",3,30]]},"issued":{"date-parts":[["2017",3]]}}},{"id":35,"uris":["http://zotero.org/users/16803167/items/MRKXXAH8"],"itemData":{"id":35,"type":"article-journal","container-title":"Journal of International Humanitarian Action","DOI":"10.1186/s41018-018-0030-y","issue":"1","journalAbbreviation":"Journal of International Humanitarian Action","title":"The Militarization of Cattle Raiding in South Sudan: How a Traditional Practice Became a Tool for Political Violence","volume":"3","author":[{"family":"Wild","given":"Hannah"},{"family":"Jok","given":"Jok Madut"},{"family":"Patel","given":"Ronak"}],"issued":{"date-parts":[["2018"]]}}},{"id":40,"uris":["http://zotero.org/users/16803167/items/FE664DE5"],"itemData":{"id":40,"type":"article","abstract":"Abstract\n          The spatial distribution of the urban agglomeration population has changed increasingly in rapid urbanization. It affects the urban economy, environment, transportation, and so on. Therefore, it is of great significance to understand the changes in the spatial distribution of population in urban agglomerations. This study uses methods such as population center of gravity migration and Gini coefficient to explore changes in the spatial distribution of urban populations. The study found that the population center of the Beijing-Tianjin-Hebei urban agglomeration first migrated toward Beijing and then away from Beijing. During this process, the Gini coefficient increased from 0.62 to 0.64 and then decreased to 0.58, indicating that the population balance of the urban agglomeration first increased and then decreased. This result is consistent with the conclusion that we have established a simulated urban agglomeration for theoretical derivation. That is: in the early stage of urban agglomeration development, the population migrated to the central city; as the population of the central city became saturated, the urban agglomeration developed to a mature stage, and the population began to migrate to the peripheral cities. In this process, the population distribution center of urban agglomeration gradually shifted from central towns to peripheral towns. The degree of equilibrium in the spatial distribution of population has undergone an inverted u-shaped transition from non-equilibrium to equilibrium.","DOI":"10.21203/rs.3.rs-1244609/v1","license":"https://creativecommons.org/licenses/by/4.0/","publisher":"In Review","source":"DOI.org (Crossref)","title":"Changes in the spatial distribution of population in urban agglomerations: A spatial-temporal perspective","title-short":"Changes in the spatial distribution of population in urban agglomerations","URL":"https://www.researchsquare.com/article/rs-1244609/v1","author":[{"family":"Jiang","given":"Fangye"},{"family":"Lv","given":"Yanming"}],"accessed":{"date-parts":[["2025",3,30]]},"issued":{"date-parts":[["2022",1,27]]}}}],"schema":"https://github.com/citation-style-language/schema/raw/master/csl-citation.json"} </w:instrText>
      </w:r>
      <w:r w:rsidR="00DE3AF6" w:rsidRPr="00571085">
        <w:rPr>
          <w:rFonts w:ascii="Times New Roman" w:eastAsia="Times New Roman" w:hAnsi="Times New Roman" w:cs="Times New Roman"/>
          <w:color w:val="000000"/>
          <w:sz w:val="24"/>
          <w:szCs w:val="24"/>
        </w:rPr>
        <w:fldChar w:fldCharType="separate"/>
      </w:r>
      <w:r w:rsidR="00DE3AF6" w:rsidRPr="00C95A56">
        <w:rPr>
          <w:rFonts w:ascii="Times New Roman" w:hAnsi="Times New Roman" w:cs="Times New Roman"/>
          <w:color w:val="87CEEB"/>
          <w:sz w:val="24"/>
          <w:szCs w:val="24"/>
          <w:u w:val="single"/>
        </w:rPr>
        <w:t xml:space="preserve">(Zeng </w:t>
      </w:r>
      <w:r w:rsidR="00DE3AF6" w:rsidRPr="00C95A56">
        <w:rPr>
          <w:rFonts w:ascii="Times New Roman" w:hAnsi="Times New Roman" w:cs="Times New Roman"/>
          <w:i/>
          <w:iCs/>
          <w:color w:val="87CEEB"/>
          <w:sz w:val="24"/>
          <w:szCs w:val="24"/>
          <w:u w:val="single"/>
        </w:rPr>
        <w:t>et al.</w:t>
      </w:r>
      <w:r w:rsidR="00DE3AF6" w:rsidRPr="00C95A56">
        <w:rPr>
          <w:rFonts w:ascii="Times New Roman" w:hAnsi="Times New Roman" w:cs="Times New Roman"/>
          <w:color w:val="87CEEB"/>
          <w:sz w:val="24"/>
          <w:szCs w:val="24"/>
          <w:u w:val="single"/>
        </w:rPr>
        <w:t xml:space="preserve">, 2016; Justin, 2017; Wild, Jok and Patel, 2018; Jiang and </w:t>
      </w:r>
      <w:proofErr w:type="spellStart"/>
      <w:r w:rsidR="00DE3AF6" w:rsidRPr="00C95A56">
        <w:rPr>
          <w:rFonts w:ascii="Times New Roman" w:hAnsi="Times New Roman" w:cs="Times New Roman"/>
          <w:color w:val="87CEEB"/>
          <w:sz w:val="24"/>
          <w:szCs w:val="24"/>
          <w:u w:val="single"/>
        </w:rPr>
        <w:t>Lv</w:t>
      </w:r>
      <w:proofErr w:type="spellEnd"/>
      <w:r w:rsidR="00DE3AF6" w:rsidRPr="00C95A56">
        <w:rPr>
          <w:rFonts w:ascii="Times New Roman" w:hAnsi="Times New Roman" w:cs="Times New Roman"/>
          <w:color w:val="87CEEB"/>
          <w:sz w:val="24"/>
          <w:szCs w:val="24"/>
          <w:u w:val="single"/>
        </w:rPr>
        <w:t>, 2022)</w:t>
      </w:r>
      <w:r w:rsidR="00DE3AF6" w:rsidRPr="00571085">
        <w:rPr>
          <w:rFonts w:ascii="Times New Roman" w:eastAsia="Times New Roman" w:hAnsi="Times New Roman" w:cs="Times New Roman"/>
          <w:color w:val="000000"/>
          <w:sz w:val="24"/>
          <w:szCs w:val="24"/>
        </w:rPr>
        <w:fldChar w:fldCharType="end"/>
      </w:r>
      <w:r w:rsidR="00E90CF0" w:rsidRPr="00571085">
        <w:rPr>
          <w:rFonts w:ascii="Times New Roman" w:eastAsia="Times New Roman" w:hAnsi="Times New Roman" w:cs="Times New Roman"/>
          <w:color w:val="000000"/>
          <w:sz w:val="24"/>
          <w:szCs w:val="24"/>
        </w:rPr>
        <w:t xml:space="preserve">. </w:t>
      </w:r>
    </w:p>
    <w:p w14:paraId="3FA083C0" w14:textId="60E62CC2" w:rsidR="00F42C5B" w:rsidRPr="00571085" w:rsidRDefault="009B66CA" w:rsidP="00AE5E64">
      <w:pPr>
        <w:widowControl w:val="0"/>
        <w:pBdr>
          <w:top w:val="nil"/>
          <w:left w:val="nil"/>
          <w:bottom w:val="nil"/>
          <w:right w:val="nil"/>
          <w:between w:val="nil"/>
        </w:pBdr>
        <w:spacing w:before="26" w:line="360" w:lineRule="auto"/>
        <w:ind w:left="2" w:firstLine="358"/>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Addressing these complexities requires a multi-faceted approach that integrates sustainability principles while simultaneously tackling pressing concerns such as affordable housing, efficient public transportation, equitable resource distribution, and social inclusion. Aligning urban development strategies with global frameworks, particularly the United Nations Sustainable Development Goals (SDGs), is crucial in fostering long-term sustainability. In this context, SDG 11 (sustainable cities and communities), SDG 6 (clean water and sanitation), and SDG 13 (climate action) serve as guiding principles for ensuring balanced urban expansion</w:t>
      </w:r>
      <w:r w:rsidR="00F42C5B" w:rsidRPr="00571085">
        <w:rPr>
          <w:rFonts w:ascii="Times New Roman" w:eastAsia="Times New Roman" w:hAnsi="Times New Roman" w:cs="Times New Roman"/>
          <w:color w:val="000000"/>
          <w:sz w:val="24"/>
          <w:szCs w:val="24"/>
        </w:rPr>
        <w:fldChar w:fldCharType="begin"/>
      </w:r>
      <w:r w:rsidR="00F42C5B" w:rsidRPr="00571085">
        <w:rPr>
          <w:rFonts w:ascii="Times New Roman" w:eastAsia="Times New Roman" w:hAnsi="Times New Roman" w:cs="Times New Roman"/>
          <w:color w:val="000000"/>
          <w:sz w:val="24"/>
          <w:szCs w:val="24"/>
        </w:rPr>
        <w:instrText xml:space="preserve"> ADDIN ZOTERO_ITEM CSL_CITATION {"citationID":"gSedMKQO","properties":{"formattedCitation":"(Zeng {\\i{}et al.}, 2016; Maqbool {\\i{}et al.}, 2020)","plainCitation":"(Zeng et al., 2016; Maqbool et al., 2020)","noteIndex":0},"citationItems":[{"id":38,"uris":["http://zotero.org/users/16803167/items/W5NSRNXN"],"itemData":{"id":38,"type":"article-journal","abstract":"Abstract. The optimization of land-use allocation is one of important approaches to achieve regional sustainable development. This study selects Chang-Zhu-Tan agglomeration as study area and proposed a new land use optimization allocation model. Using multi-agent based simulation model, the future urban land use optimization allocation was simulated in 2020 and 2030 under three different scenarios. This kind of quantitative information about urban land use optimization allocation and urban expansions in future would be of great interest to urban planning, water and land resource management, and climate change research.","container-title":"The International Archives of the Photogrammetry, Remote Sensing and Spatial Information Sciences","DOI":"10.5194/isprs-archives-XLI-B8-1089-2016","ISSN":"2194-9034","journalAbbreviation":"Int. Arch. Photogramm. Remote Sens. Spatial Inf. Sci.","language":"en","license":"https://creativecommons.org/licenses/by/3.0/","page":"1089-1092","source":"DOI.org (Crossref)","title":"MULTI-AGENT BASED SIMULATION OF OPTIMAL URBAN LAND USE ALLOCATION IN THE MIDDLE REACHES OF THE YANGTZE RIVER, CHINA","volume":"XLI-B8","author":[{"family":"Zeng","given":"Y."},{"family":"Huang","given":"W."},{"family":"Jin","given":"W."},{"family":"Li","given":"S."}],"issued":{"date-parts":[["2016",6,24]]}}},{"id":44,"uris":["http://zotero.org/users/16803167/items/DVRRZJJ9"],"itemData":{"id":44,"type":"article-journal","abstract":"This study aims to propose an application of agent based modeling (ABM) and simulation for disaster mitigation in an urban region of Pakistan. Pakistan has been working over the past few decades to reduce the risk factor of disasters by using different disaster management approaches. However, these efforts are in an early stage. Although lack of planning and unchecked urbanization are the main hurdles, insufficient resources in terms of technology is also a major contributing factor that impedes achieving desired results. In this paper, we are proposing ABM and simulation of approaches using geographical information system (GIS) maps for disaster management in the urban locality of Pakistan. The conceptual model was implemented for analysis of resource allocation (RA) of first response units (ambulances, fire brigade, etc.). In the proposed model, we used two allocation algorithms; high severity level (HSL) and first come first serve (FCFS). These algorithms were simulated in NetLogo by creating a hypothetical disaster scenario in Rawalpindi city. In our experiments, the design was based on demand, resource agents, and their allocation behavior for disaster management. We analyzed the resource allocation mechanism using average wait time, overall number of demands, execution time, and unallocated demands as performance measures.","container-title":"ISPRS International Journal of Geo-Information","DOI":"10.3390/ijgi9040203","ISSN":"2220-9964","issue":"4","journalAbbreviation":"IJGI","language":"en","license":"https://creativecommons.org/licenses/by/4.0/","page":"203","source":"DOI.org (Crossref)","title":"Disaster Mitigation in Urban Pakistan Using Agent Based Modeling with GIS","volume":"9","author":[{"family":"Maqbool","given":"Ayesha"},{"family":"Usmani","given":"Zain Ul Abideen"},{"family":"Afzal","given":"Farkhanda"},{"family":"Razia","given":"Alia"}],"issued":{"date-parts":[["2020",3,27]]}}}],"schema":"https://github.com/citation-style-language/schema/raw/master/csl-citation.json"} </w:instrText>
      </w:r>
      <w:r w:rsidR="00F42C5B" w:rsidRPr="00571085">
        <w:rPr>
          <w:rFonts w:ascii="Times New Roman" w:eastAsia="Times New Roman" w:hAnsi="Times New Roman" w:cs="Times New Roman"/>
          <w:color w:val="000000"/>
          <w:sz w:val="24"/>
          <w:szCs w:val="24"/>
        </w:rPr>
        <w:fldChar w:fldCharType="separate"/>
      </w:r>
      <w:r w:rsidR="00F42C5B" w:rsidRPr="00C95A56">
        <w:rPr>
          <w:rFonts w:ascii="Times New Roman" w:hAnsi="Times New Roman" w:cs="Times New Roman"/>
          <w:color w:val="87CEEB"/>
          <w:sz w:val="24"/>
          <w:szCs w:val="24"/>
          <w:u w:val="single"/>
        </w:rPr>
        <w:t xml:space="preserve">(Zeng </w:t>
      </w:r>
      <w:r w:rsidR="00F42C5B" w:rsidRPr="00C95A56">
        <w:rPr>
          <w:rFonts w:ascii="Times New Roman" w:hAnsi="Times New Roman" w:cs="Times New Roman"/>
          <w:i/>
          <w:iCs/>
          <w:color w:val="87CEEB"/>
          <w:sz w:val="24"/>
          <w:szCs w:val="24"/>
          <w:u w:val="single"/>
        </w:rPr>
        <w:t>et al.</w:t>
      </w:r>
      <w:r w:rsidR="00F42C5B" w:rsidRPr="00C95A56">
        <w:rPr>
          <w:rFonts w:ascii="Times New Roman" w:hAnsi="Times New Roman" w:cs="Times New Roman"/>
          <w:color w:val="87CEEB"/>
          <w:sz w:val="24"/>
          <w:szCs w:val="24"/>
          <w:u w:val="single"/>
        </w:rPr>
        <w:t xml:space="preserve">, 2016; Maqbool </w:t>
      </w:r>
      <w:r w:rsidR="00F42C5B" w:rsidRPr="00C95A56">
        <w:rPr>
          <w:rFonts w:ascii="Times New Roman" w:hAnsi="Times New Roman" w:cs="Times New Roman"/>
          <w:i/>
          <w:iCs/>
          <w:color w:val="87CEEB"/>
          <w:sz w:val="24"/>
          <w:szCs w:val="24"/>
          <w:u w:val="single"/>
        </w:rPr>
        <w:t>et al.</w:t>
      </w:r>
      <w:r w:rsidR="00F42C5B" w:rsidRPr="00C95A56">
        <w:rPr>
          <w:rFonts w:ascii="Times New Roman" w:hAnsi="Times New Roman" w:cs="Times New Roman"/>
          <w:color w:val="87CEEB"/>
          <w:sz w:val="24"/>
          <w:szCs w:val="24"/>
          <w:u w:val="single"/>
        </w:rPr>
        <w:t>, 2020)</w:t>
      </w:r>
      <w:r w:rsidR="00F42C5B" w:rsidRPr="00571085">
        <w:rPr>
          <w:rFonts w:ascii="Times New Roman" w:eastAsia="Times New Roman" w:hAnsi="Times New Roman" w:cs="Times New Roman"/>
          <w:color w:val="000000"/>
          <w:sz w:val="24"/>
          <w:szCs w:val="24"/>
        </w:rPr>
        <w:fldChar w:fldCharType="end"/>
      </w:r>
      <w:r w:rsidR="00F42C5B" w:rsidRPr="00571085">
        <w:rPr>
          <w:rFonts w:ascii="Times New Roman" w:eastAsia="Times New Roman" w:hAnsi="Times New Roman" w:cs="Times New Roman"/>
          <w:color w:val="000000"/>
          <w:sz w:val="24"/>
          <w:szCs w:val="24"/>
        </w:rPr>
        <w:t>.</w:t>
      </w:r>
    </w:p>
    <w:p w14:paraId="0AACD04C" w14:textId="6B9B20B5" w:rsidR="009B66CA" w:rsidRPr="00571085" w:rsidRDefault="009B66CA" w:rsidP="00AE5E64">
      <w:pPr>
        <w:widowControl w:val="0"/>
        <w:pBdr>
          <w:top w:val="nil"/>
          <w:left w:val="nil"/>
          <w:bottom w:val="nil"/>
          <w:right w:val="nil"/>
          <w:between w:val="nil"/>
        </w:pBdr>
        <w:spacing w:before="26" w:line="360" w:lineRule="auto"/>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Historical Context of South Sudan’s Urban Growth</w:t>
      </w:r>
    </w:p>
    <w:p w14:paraId="2CEC61A1" w14:textId="58C9A8DE" w:rsidR="00BE3DCB" w:rsidRPr="00571085" w:rsidRDefault="005D4E93" w:rsidP="00AE5E64">
      <w:pPr>
        <w:widowControl w:val="0"/>
        <w:pBdr>
          <w:top w:val="nil"/>
          <w:left w:val="nil"/>
          <w:bottom w:val="nil"/>
          <w:right w:val="nil"/>
          <w:between w:val="nil"/>
        </w:pBdr>
        <w:spacing w:before="26" w:line="360" w:lineRule="auto"/>
        <w:ind w:left="2" w:firstLine="358"/>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The urbanization trajectory of South Sudan is deeply intertwined with its socio-political history. Decades of conflict and political instability have shaped the nation's development, culminating in its secession from Sudan. On July 9, 2011, South Sudan officially became an independent nation following a referendum, making it the world’s newest sovereign state and Africa’s 54th country. </w:t>
      </w:r>
      <w:r w:rsidRPr="00571085">
        <w:rPr>
          <w:rFonts w:ascii="Times New Roman" w:eastAsia="Times New Roman" w:hAnsi="Times New Roman" w:cs="Times New Roman"/>
          <w:color w:val="000000"/>
          <w:sz w:val="24"/>
          <w:szCs w:val="24"/>
        </w:rPr>
        <w:lastRenderedPageBreak/>
        <w:t>This historic event marked the beginning of a new chapter for the nation, one defined by both aspirations for progress and the daunting task of post-conflict reconstruction</w:t>
      </w:r>
      <w:r w:rsidRPr="00571085">
        <w:rPr>
          <w:rFonts w:ascii="Times New Roman" w:eastAsia="Times New Roman" w:hAnsi="Times New Roman" w:cs="Times New Roman"/>
          <w:color w:val="000000"/>
          <w:sz w:val="24"/>
          <w:szCs w:val="24"/>
        </w:rPr>
        <w:t xml:space="preserve"> </w:t>
      </w:r>
      <w:r w:rsidR="00970291"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{"citationID":"4UY1BYHj","properties":{"formattedCitation":"(UN-HABITAT {\\i{}et al.}, 2023)","plainCitation":"(UN-HABITAT et al., 2023)","noteIndex":0},"citationItems":[{"id":46,"uris":["http://zotero.org/users/16803167/items/FCK9LEVF"],"itemData":{"id":46,"type":"webpage","title":"Juba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70291"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 xml:space="preserve">(UN-HABITAT </w:t>
      </w:r>
      <w:r w:rsidR="00F87FB4" w:rsidRPr="00C95A56">
        <w:rPr>
          <w:rFonts w:ascii="Times New Roman" w:hAnsi="Times New Roman" w:cs="Times New Roman"/>
          <w:i/>
          <w:iCs/>
          <w:color w:val="87CEEB"/>
          <w:sz w:val="24"/>
          <w:szCs w:val="24"/>
          <w:u w:val="single"/>
        </w:rPr>
        <w:t>et al.</w:t>
      </w:r>
      <w:r w:rsidR="00F87FB4" w:rsidRPr="00C95A56">
        <w:rPr>
          <w:rFonts w:ascii="Times New Roman" w:hAnsi="Times New Roman" w:cs="Times New Roman"/>
          <w:color w:val="87CEEB"/>
          <w:sz w:val="24"/>
          <w:szCs w:val="24"/>
          <w:u w:val="single"/>
        </w:rPr>
        <w:t>, 2023)</w:t>
      </w:r>
      <w:r w:rsidR="00970291" w:rsidRPr="00571085">
        <w:rPr>
          <w:rFonts w:ascii="Times New Roman" w:eastAsia="Times New Roman" w:hAnsi="Times New Roman" w:cs="Times New Roman"/>
          <w:color w:val="000000"/>
          <w:sz w:val="24"/>
          <w:szCs w:val="24"/>
        </w:rPr>
        <w:fldChar w:fldCharType="end"/>
      </w:r>
      <w:r w:rsidR="00000000"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As a newly established country emerging from prolonged civil wars, South Sudan has faced significant hurdles in building its economy, infrastructure, and governance structures. The post-independence period has been characterized by efforts to stabilize the nation, foster economic growth, and rebuild critical institutions. However, these ambitions have been met with persistent challenges, including ongoing political tensions, economic instability, and weak governance capacity</w:t>
      </w:r>
      <w:r w:rsidRPr="00571085">
        <w:rPr>
          <w:rFonts w:ascii="Times New Roman" w:eastAsia="Times New Roman" w:hAnsi="Times New Roman" w:cs="Times New Roman"/>
          <w:color w:val="000000"/>
          <w:sz w:val="24"/>
          <w:szCs w:val="24"/>
        </w:rPr>
        <w:t xml:space="preserve"> </w:t>
      </w:r>
      <w:r w:rsidR="00970291"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{"citationID":"ezXw3DDe","properties":{"formattedCitation":"(UN-HABITAT {\\i{}et al.}, 2023)","plainCitation":"(UN-HABITAT et al., 2023)","noteIndex":0},"citationItems":[{"id":46,"uris":["http://zotero.org/users/16803167/items/FCK9LEVF"],"itemData":{"id":46,"type":"webpage","title":"Juba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70291"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 xml:space="preserve">(UN-HABITAT </w:t>
      </w:r>
      <w:r w:rsidR="00F87FB4" w:rsidRPr="00C95A56">
        <w:rPr>
          <w:rFonts w:ascii="Times New Roman" w:hAnsi="Times New Roman" w:cs="Times New Roman"/>
          <w:i/>
          <w:iCs/>
          <w:color w:val="87CEEB"/>
          <w:sz w:val="24"/>
          <w:szCs w:val="24"/>
          <w:u w:val="single"/>
        </w:rPr>
        <w:t>et al.</w:t>
      </w:r>
      <w:r w:rsidR="00F87FB4" w:rsidRPr="00C95A56">
        <w:rPr>
          <w:rFonts w:ascii="Times New Roman" w:hAnsi="Times New Roman" w:cs="Times New Roman"/>
          <w:color w:val="87CEEB"/>
          <w:sz w:val="24"/>
          <w:szCs w:val="24"/>
          <w:u w:val="single"/>
        </w:rPr>
        <w:t>, 2023)</w:t>
      </w:r>
      <w:r w:rsidR="00970291" w:rsidRPr="00571085">
        <w:rPr>
          <w:rFonts w:ascii="Times New Roman" w:eastAsia="Times New Roman" w:hAnsi="Times New Roman" w:cs="Times New Roman"/>
          <w:color w:val="000000"/>
          <w:sz w:val="24"/>
          <w:szCs w:val="24"/>
        </w:rPr>
        <w:fldChar w:fldCharType="end"/>
      </w:r>
      <w:r w:rsidR="00000000" w:rsidRPr="00571085">
        <w:rPr>
          <w:rFonts w:ascii="Times New Roman" w:eastAsia="Times New Roman" w:hAnsi="Times New Roman" w:cs="Times New Roman"/>
          <w:color w:val="000000"/>
          <w:sz w:val="24"/>
          <w:szCs w:val="24"/>
        </w:rPr>
        <w:t xml:space="preserve">. </w:t>
      </w:r>
    </w:p>
    <w:p w14:paraId="471268A5" w14:textId="0978179B" w:rsidR="005D4E93" w:rsidRPr="00571085" w:rsidRDefault="005D4E93" w:rsidP="00AE5E64">
      <w:pPr>
        <w:widowControl w:val="0"/>
        <w:pBdr>
          <w:top w:val="nil"/>
          <w:left w:val="nil"/>
          <w:bottom w:val="nil"/>
          <w:right w:val="nil"/>
          <w:between w:val="nil"/>
        </w:pBdr>
        <w:spacing w:before="26" w:line="360" w:lineRule="auto"/>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Juba: South Sudan’s Epicenter of Rapid Urbanization</w:t>
      </w:r>
    </w:p>
    <w:p w14:paraId="1AC0E09C" w14:textId="77777777" w:rsidR="005D4E93" w:rsidRPr="00571085" w:rsidRDefault="005D4E93" w:rsidP="00AE5E64">
      <w:pPr>
        <w:widowControl w:val="0"/>
        <w:pBdr>
          <w:top w:val="nil"/>
          <w:left w:val="nil"/>
          <w:bottom w:val="nil"/>
          <w:right w:val="nil"/>
          <w:between w:val="nil"/>
        </w:pBdr>
        <w:spacing w:before="26" w:line="360" w:lineRule="auto"/>
        <w:ind w:left="2" w:right="3" w:firstLine="358"/>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Juba, the capital and largest city of South Sudan, has been at the forefront of the country’s urban expansion, experiencing substantial demographic and infrastructural transformations</w:t>
      </w:r>
      <w:r w:rsidRPr="00571085">
        <w:rPr>
          <w:rFonts w:ascii="Times New Roman" w:eastAsia="Times New Roman" w:hAnsi="Times New Roman" w:cs="Times New Roman"/>
          <w:color w:val="000000"/>
          <w:sz w:val="24"/>
          <w:szCs w:val="24"/>
        </w:rPr>
        <w:t xml:space="preserve"> </w:t>
      </w:r>
      <w:r w:rsidR="009132D9"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{"citationID":"dHnMoVt8","properties":{"formattedCitation":"(Justin, 2017; Justin and and De Vries, 2019; Salvatore {\\i{}et al.}, 2023)","plainCitation":"(Justin, 2017; Justin and and De Vries, 2019; Salvatore et al., 2023)","dontUpdate":true,"noteIndex":0},"citationItems":[{"id":33,"uris":["http://zotero.org/users/16803167/items/N3GTBMPP"],"itemData":{"id":33,"type":"webpage","title":"South Sudan Governance: A Call for Federalism to Address : Marginalization and Prevent Armed Conflict Recurrence - 21_Justin Laku.pdf","URL":"https://sonar.ch/documents/324250/preview/21_Justin%20Laku.pdf","author":[{"family":"Justin","given":"Lako"}],"accessed":{"date-parts":[["2025",3,30]]},"issued":{"date-parts":[["2017",3]]}}},{"id":"izuXWwAi/82BClxb5","uris":["http://zotero.org/users/16803167/items/6XK73FUQ"],"itemData":{"id":"izuXWwAi/82BClxb5","type":"article-journal","abstract":"South Sudan’s administrative boundaries stem from the colonial period. Since it gained independence in 2011, subsequent rounds of reshuffling of the political system, internal borders, and power relations have been a source of confusion, elite manipulation, and conflict throughout the country. This paper explores the impact of this confusion by focusing on multiple shifting linkages between administrative boundaries and identities and shows how the mobilization of ethnic identities has become central to territorial claims and creating territorial borders. We use three local conflicts in Central Equatoria State to illustrate how claims of belonging and entitlement are being used by elites for economic, political, and socio-cultural gains. The three cases also show how such manipulation increases the likelihood of ethnic division and conflict. Following the decision by the government in 2015 to increase the number of states from 10 to 28 in October 2015, further manipulation of borders and identities is likely to occur and could result in more violence, ethnic-based conflict, and human suffering.","container-title":"Journal of Borderlands Studies","DOI":"10.1080/08865655.2017.1294497","ISSN":"0886-5655","issue":"1","note":"publisher: Routledge\n_eprint: https://doi.org/10.1080/08865655.2017.1294497","page":"31-46","source":"Taylor and Francis+NEJM","title":"Governing Unclear Lines: Local Boundaries as a (Re)source of Conflict in South Sudan","title-short":"Governing Unclear Lines","volume":"34","author":[{"family":"Justin","given":"Peter Hakim"},{"family":"De Vries","given":"Lotje","non-dropping-particle":"and"}],"issued":{"date-parts":[["2019",1,1]]}}},{"id":46,"uris":["http://zotero.org/users/16803167/items/FCK9LEVF"],"itemData":{"id":46,"type":"webpage","title":"Juba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132D9" w:rsidRPr="00571085">
        <w:rPr>
          <w:rFonts w:ascii="Times New Roman" w:eastAsia="Times New Roman" w:hAnsi="Times New Roman" w:cs="Times New Roman"/>
          <w:color w:val="000000"/>
          <w:sz w:val="24"/>
          <w:szCs w:val="24"/>
        </w:rPr>
        <w:fldChar w:fldCharType="separate"/>
      </w:r>
      <w:r w:rsidR="009132D9" w:rsidRPr="00C95A56">
        <w:rPr>
          <w:rFonts w:ascii="Times New Roman" w:hAnsi="Times New Roman" w:cs="Times New Roman"/>
          <w:color w:val="87CEEB"/>
          <w:sz w:val="24"/>
          <w:szCs w:val="24"/>
          <w:u w:val="single"/>
        </w:rPr>
        <w:t xml:space="preserve">(Justin, 2017; Justin and De Vries, 2019; Salvatore </w:t>
      </w:r>
      <w:r w:rsidR="009132D9" w:rsidRPr="00C95A56">
        <w:rPr>
          <w:rFonts w:ascii="Times New Roman" w:hAnsi="Times New Roman" w:cs="Times New Roman"/>
          <w:i/>
          <w:iCs/>
          <w:color w:val="87CEEB"/>
          <w:sz w:val="24"/>
          <w:szCs w:val="24"/>
          <w:u w:val="single"/>
        </w:rPr>
        <w:t>et al.</w:t>
      </w:r>
      <w:r w:rsidR="009132D9" w:rsidRPr="00C95A56">
        <w:rPr>
          <w:rFonts w:ascii="Times New Roman" w:hAnsi="Times New Roman" w:cs="Times New Roman"/>
          <w:color w:val="87CEEB"/>
          <w:sz w:val="24"/>
          <w:szCs w:val="24"/>
          <w:u w:val="single"/>
        </w:rPr>
        <w:t>, 2023)</w:t>
      </w:r>
      <w:r w:rsidR="009132D9" w:rsidRPr="00571085">
        <w:rPr>
          <w:rFonts w:ascii="Times New Roman" w:eastAsia="Times New Roman" w:hAnsi="Times New Roman" w:cs="Times New Roman"/>
          <w:color w:val="000000"/>
          <w:sz w:val="24"/>
          <w:szCs w:val="24"/>
        </w:rPr>
        <w:fldChar w:fldCharType="end"/>
      </w:r>
      <w:r w:rsidR="009132D9"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The city’s growth has been driven by multiple interrelated factors, including rural-to-urban migration, economic activities, and large-scale reconstruction efforts following years of civil conflict. After South Sudan gained independence, Juba became a major destination for displaced populations, returning refugees, and migrants seeking employment, security, and access to essential services</w:t>
      </w:r>
      <w:r w:rsidR="009132D9" w:rsidRPr="00571085">
        <w:rPr>
          <w:rFonts w:ascii="Times New Roman" w:eastAsia="Times New Roman" w:hAnsi="Times New Roman" w:cs="Times New Roman"/>
          <w:color w:val="000000"/>
          <w:sz w:val="24"/>
          <w:szCs w:val="24"/>
        </w:rPr>
        <w:t xml:space="preserve"> </w:t>
      </w:r>
      <w:r w:rsidR="009132D9"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{"citationID":"s9iqhZVd","properties":{"formattedCitation":"(UN-HABITAT {\\i{}et al.}, 2023)","plainCitation":"(UN-HABITAT et al., 2023)","noteIndex":0},"citationItems":[{"id":46,"uris":["http://zotero.org/users/16803167/items/FCK9LEVF"],"itemData":{"id":46,"type":"webpage","title":"Juba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132D9"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 xml:space="preserve">(UN-HABITAT </w:t>
      </w:r>
      <w:r w:rsidR="00F87FB4" w:rsidRPr="00C95A56">
        <w:rPr>
          <w:rFonts w:ascii="Times New Roman" w:hAnsi="Times New Roman" w:cs="Times New Roman"/>
          <w:i/>
          <w:iCs/>
          <w:color w:val="87CEEB"/>
          <w:sz w:val="24"/>
          <w:szCs w:val="24"/>
          <w:u w:val="single"/>
        </w:rPr>
        <w:t>et al.</w:t>
      </w:r>
      <w:r w:rsidR="00F87FB4" w:rsidRPr="00C95A56">
        <w:rPr>
          <w:rFonts w:ascii="Times New Roman" w:hAnsi="Times New Roman" w:cs="Times New Roman"/>
          <w:color w:val="87CEEB"/>
          <w:sz w:val="24"/>
          <w:szCs w:val="24"/>
          <w:u w:val="single"/>
        </w:rPr>
        <w:t>, 2023)</w:t>
      </w:r>
      <w:r w:rsidR="009132D9" w:rsidRPr="00571085">
        <w:rPr>
          <w:rFonts w:ascii="Times New Roman" w:eastAsia="Times New Roman" w:hAnsi="Times New Roman" w:cs="Times New Roman"/>
          <w:color w:val="000000"/>
          <w:sz w:val="24"/>
          <w:szCs w:val="24"/>
        </w:rPr>
        <w:fldChar w:fldCharType="end"/>
      </w:r>
      <w:r w:rsidR="009132D9"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The influx of people into Juba has led to a surge in housing demand, transforming the city's spatial landscape. Previously undeveloped areas and agricultural lands are being rapidly converted into residential, commercial, and industrial zones to accommodate the growing population</w:t>
      </w:r>
      <w:r w:rsidR="009132D9" w:rsidRPr="00571085">
        <w:rPr>
          <w:rFonts w:ascii="Times New Roman" w:eastAsia="Times New Roman" w:hAnsi="Times New Roman" w:cs="Times New Roman"/>
          <w:color w:val="000000"/>
          <w:sz w:val="24"/>
          <w:szCs w:val="24"/>
        </w:rPr>
        <w:t xml:space="preserve"> </w:t>
      </w:r>
      <w:r w:rsidR="009132D9"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{"citationID":"8rMvPnKD","properties":{"formattedCitation":"(UN-HABITAT {\\i{}et al.}, 2023)","plainCitation":"(UN-HABITAT et al., 2023)","noteIndex":0},"citationItems":[{"id":46,"uris":["http://zotero.org/users/16803167/items/FCK9LEVF"],"itemData":{"id":46,"type":"webpage","title":"Juba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132D9"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 xml:space="preserve">(UN-HABITAT </w:t>
      </w:r>
      <w:r w:rsidR="00F87FB4" w:rsidRPr="00C95A56">
        <w:rPr>
          <w:rFonts w:ascii="Times New Roman" w:hAnsi="Times New Roman" w:cs="Times New Roman"/>
          <w:i/>
          <w:iCs/>
          <w:color w:val="87CEEB"/>
          <w:sz w:val="24"/>
          <w:szCs w:val="24"/>
          <w:u w:val="single"/>
        </w:rPr>
        <w:t>et al.</w:t>
      </w:r>
      <w:r w:rsidR="00F87FB4" w:rsidRPr="00C95A56">
        <w:rPr>
          <w:rFonts w:ascii="Times New Roman" w:hAnsi="Times New Roman" w:cs="Times New Roman"/>
          <w:color w:val="87CEEB"/>
          <w:sz w:val="24"/>
          <w:szCs w:val="24"/>
          <w:u w:val="single"/>
        </w:rPr>
        <w:t>, 2023)</w:t>
      </w:r>
      <w:r w:rsidR="009132D9" w:rsidRPr="00571085">
        <w:rPr>
          <w:rFonts w:ascii="Times New Roman" w:eastAsia="Times New Roman" w:hAnsi="Times New Roman" w:cs="Times New Roman"/>
          <w:color w:val="000000"/>
          <w:sz w:val="24"/>
          <w:szCs w:val="24"/>
        </w:rPr>
        <w:fldChar w:fldCharType="end"/>
      </w:r>
      <w:r w:rsidR="009132D9"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However, this expansion has largely been unplanned, resulting in sprawling informal settlements that lack adequate infrastructure and basic services. The unregulated nature of urban expansion has created significant challenges for city planners, including inefficient land use, encroachments on environmentally sensitive areas, and the proliferation of slums</w:t>
      </w:r>
      <w:r w:rsidRPr="00571085">
        <w:rPr>
          <w:rFonts w:ascii="Times New Roman" w:eastAsia="Times New Roman" w:hAnsi="Times New Roman" w:cs="Times New Roman"/>
          <w:color w:val="000000"/>
          <w:sz w:val="24"/>
          <w:szCs w:val="24"/>
        </w:rPr>
        <w:t xml:space="preserve"> </w:t>
      </w:r>
      <w:r w:rsidR="009132D9"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{"citationID":"pWCjnQA5","properties":{"formattedCitation":"(Justin and and De Vries, 2019; UN-HABITAT {\\i{}et al.}, 2023)","plainCitation":"(Justin and and De Vries, 2019; UN-HABITAT et al., 2023)","noteIndex":0},"citationItems":[{"id":"izuXWwAi/82BClxb5","uris":["http://zotero.org/users/16803167/items/6XK73FUQ"],"itemData":{"id":"izuXWwAi/82BClxb5","type":"article-journal","abstract":"South Sudan’s administrative boundaries stem from the colonial period. Since it gained independence in 2011, subsequent rounds of reshuffling of the political system, internal borders, and power relations have been a source of confusion, elite manipulation, and conflict throughout the country. This paper explores the impact of this confusion by focusing on multiple shifting linkages between administrative boundaries and identities and shows how the mobilization of ethnic identities has become central to territorial claims and creating territorial borders. We use three local conflicts in Central Equatoria State to illustrate how claims of belonging and entitlement are being used by elites for economic, political, and socio-cultural gains. The three cases also show how such manipulation increases the likelihood of ethnic division and conflict. Following the decision by the government in 2015 to increase the number of states from 10 to 28 in October 2015, further manipulation of borders and identities is likely to occur and could result in more violence, ethnic-based conflict, and human suffering.","container-title":"Journal of Borderlands Studies","DOI":"10.1080/08865655.2017.1294497","ISSN":"0886-5655","issue":"1","note":"publisher: Routledge\n_eprint: https://doi.org/10.1080/08865655.2017.1294497","page":"31-46","source":"Taylor and Francis+NEJM","title":"Governing Unclear Lines: Local Boundaries as a (Re)source of Conflict in South Sudan","title-short":"Governing Unclear Lines","volume":"34","author":[{"family":"Justin","given":"Peter Hakim"},{"family":"De Vries","given":"Lotje","non-dropping-particle":"and"}],"issued":{"date-parts":[["2019",1,1]]}}},{"id":46,"uris":["http://zotero.org/users/16803167/items/FCK9LEVF"],"itemData":{"id":46,"type":"webpage","title":"Juba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132D9"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 xml:space="preserve">(Justin and </w:t>
      </w:r>
      <w:proofErr w:type="spellStart"/>
      <w:r w:rsidR="00F87FB4" w:rsidRPr="00C95A56">
        <w:rPr>
          <w:rFonts w:ascii="Times New Roman" w:hAnsi="Times New Roman" w:cs="Times New Roman"/>
          <w:color w:val="87CEEB"/>
          <w:sz w:val="24"/>
          <w:szCs w:val="24"/>
          <w:u w:val="single"/>
        </w:rPr>
        <w:t>and</w:t>
      </w:r>
      <w:proofErr w:type="spellEnd"/>
      <w:r w:rsidR="00F87FB4" w:rsidRPr="00C95A56">
        <w:rPr>
          <w:rFonts w:ascii="Times New Roman" w:hAnsi="Times New Roman" w:cs="Times New Roman"/>
          <w:color w:val="87CEEB"/>
          <w:sz w:val="24"/>
          <w:szCs w:val="24"/>
          <w:u w:val="single"/>
        </w:rPr>
        <w:t xml:space="preserve"> De Vries, 2019; UN-HABITAT </w:t>
      </w:r>
      <w:r w:rsidR="00F87FB4" w:rsidRPr="00C95A56">
        <w:rPr>
          <w:rFonts w:ascii="Times New Roman" w:hAnsi="Times New Roman" w:cs="Times New Roman"/>
          <w:i/>
          <w:iCs/>
          <w:color w:val="87CEEB"/>
          <w:sz w:val="24"/>
          <w:szCs w:val="24"/>
          <w:u w:val="single"/>
        </w:rPr>
        <w:t>et al.</w:t>
      </w:r>
      <w:r w:rsidR="00F87FB4" w:rsidRPr="00C95A56">
        <w:rPr>
          <w:rFonts w:ascii="Times New Roman" w:hAnsi="Times New Roman" w:cs="Times New Roman"/>
          <w:color w:val="87CEEB"/>
          <w:sz w:val="24"/>
          <w:szCs w:val="24"/>
          <w:u w:val="single"/>
        </w:rPr>
        <w:t>, 2023)</w:t>
      </w:r>
      <w:r w:rsidR="009132D9" w:rsidRPr="00571085">
        <w:rPr>
          <w:rFonts w:ascii="Times New Roman" w:eastAsia="Times New Roman" w:hAnsi="Times New Roman" w:cs="Times New Roman"/>
          <w:color w:val="000000"/>
          <w:sz w:val="24"/>
          <w:szCs w:val="24"/>
        </w:rPr>
        <w:fldChar w:fldCharType="end"/>
      </w:r>
      <w:r w:rsidR="009132D9" w:rsidRPr="00571085">
        <w:rPr>
          <w:rFonts w:ascii="Times New Roman" w:eastAsia="Times New Roman" w:hAnsi="Times New Roman" w:cs="Times New Roman"/>
          <w:color w:val="000000"/>
          <w:sz w:val="24"/>
          <w:szCs w:val="24"/>
        </w:rPr>
        <w:t>.</w:t>
      </w:r>
      <w:r w:rsidR="009132D9" w:rsidRPr="00571085">
        <w:rPr>
          <w:rFonts w:ascii="Times New Roman" w:eastAsia="Times New Roman" w:hAnsi="Times New Roman" w:cs="Times New Roman"/>
          <w:color w:val="000000"/>
          <w:sz w:val="24"/>
          <w:szCs w:val="24"/>
        </w:rPr>
        <w:t xml:space="preserve"> </w:t>
      </w:r>
    </w:p>
    <w:p w14:paraId="58ED07DD" w14:textId="6DDA6695" w:rsidR="005D4E93" w:rsidRPr="00571085" w:rsidRDefault="005D4E93" w:rsidP="00AE5E64">
      <w:pPr>
        <w:widowControl w:val="0"/>
        <w:pBdr>
          <w:top w:val="nil"/>
          <w:left w:val="nil"/>
          <w:bottom w:val="nil"/>
          <w:right w:val="nil"/>
          <w:between w:val="nil"/>
        </w:pBdr>
        <w:spacing w:before="26" w:line="360" w:lineRule="auto"/>
        <w:ind w:right="3"/>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Infrastructure Struggles and Urban Challenges</w:t>
      </w:r>
    </w:p>
    <w:p w14:paraId="63C7FB72" w14:textId="4F640685" w:rsidR="009132D9" w:rsidRPr="00571085" w:rsidRDefault="005D4E93" w:rsidP="00AE5E64">
      <w:pPr>
        <w:widowControl w:val="0"/>
        <w:pBdr>
          <w:top w:val="nil"/>
          <w:left w:val="nil"/>
          <w:bottom w:val="nil"/>
          <w:right w:val="nil"/>
          <w:between w:val="nil"/>
        </w:pBdr>
        <w:spacing w:before="26" w:line="360" w:lineRule="auto"/>
        <w:ind w:left="2" w:right="3" w:firstLine="358"/>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As Juba continues to expand, its infrastructure development has struggled to keep pace with the growing demands of its residents. The city faces critical deficits in essential urban services, including roads, housing, sanitation systems, and public transportation. Many neighborhoods experience chronic congestion due to poorly maintained road networks and inadequate transportation options. The lack of a reliable waste management system has exacerbated environmental pollution, while deficiencies in water supply and electricity distribution remain </w:t>
      </w:r>
      <w:r w:rsidRPr="00571085">
        <w:rPr>
          <w:rFonts w:ascii="Times New Roman" w:eastAsia="Times New Roman" w:hAnsi="Times New Roman" w:cs="Times New Roman"/>
          <w:color w:val="000000"/>
          <w:sz w:val="24"/>
          <w:szCs w:val="24"/>
        </w:rPr>
        <w:lastRenderedPageBreak/>
        <w:t>major concerns for both residents and businesses</w:t>
      </w:r>
      <w:r w:rsidRPr="00571085">
        <w:rPr>
          <w:rFonts w:ascii="Times New Roman" w:eastAsia="Times New Roman" w:hAnsi="Times New Roman" w:cs="Times New Roman"/>
          <w:color w:val="000000"/>
          <w:sz w:val="24"/>
          <w:szCs w:val="24"/>
        </w:rPr>
        <w:t xml:space="preserve"> </w:t>
      </w:r>
      <w:r w:rsidR="009132D9"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{"citationID":"RSXncKa7","properties":{"formattedCitation":"(UN-HABITAT {\\i{}et al.}, 2023)","plainCitation":"(UN-HABITAT et al., 2023)","noteIndex":0},"citationItems":[{"id":46,"uris":["http://zotero.org/users/16803167/items/FCK9LEVF"],"itemData":{"id":46,"type":"webpage","title":"Juba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132D9"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 xml:space="preserve">(UN-HABITAT </w:t>
      </w:r>
      <w:r w:rsidR="00F87FB4" w:rsidRPr="00C95A56">
        <w:rPr>
          <w:rFonts w:ascii="Times New Roman" w:hAnsi="Times New Roman" w:cs="Times New Roman"/>
          <w:i/>
          <w:iCs/>
          <w:color w:val="87CEEB"/>
          <w:sz w:val="24"/>
          <w:szCs w:val="24"/>
          <w:u w:val="single"/>
        </w:rPr>
        <w:t>et al.</w:t>
      </w:r>
      <w:r w:rsidR="00F87FB4" w:rsidRPr="00C95A56">
        <w:rPr>
          <w:rFonts w:ascii="Times New Roman" w:hAnsi="Times New Roman" w:cs="Times New Roman"/>
          <w:color w:val="87CEEB"/>
          <w:sz w:val="24"/>
          <w:szCs w:val="24"/>
          <w:u w:val="single"/>
        </w:rPr>
        <w:t>, 2023)</w:t>
      </w:r>
      <w:r w:rsidR="009132D9" w:rsidRPr="00571085">
        <w:rPr>
          <w:rFonts w:ascii="Times New Roman" w:eastAsia="Times New Roman" w:hAnsi="Times New Roman" w:cs="Times New Roman"/>
          <w:color w:val="000000"/>
          <w:sz w:val="24"/>
          <w:szCs w:val="24"/>
        </w:rPr>
        <w:fldChar w:fldCharType="end"/>
      </w:r>
      <w:r w:rsidR="009132D9" w:rsidRPr="00571085">
        <w:rPr>
          <w:rFonts w:ascii="Times New Roman" w:eastAsia="Times New Roman" w:hAnsi="Times New Roman" w:cs="Times New Roman"/>
          <w:color w:val="000000"/>
          <w:sz w:val="24"/>
          <w:szCs w:val="24"/>
        </w:rPr>
        <w:t>.</w:t>
      </w:r>
    </w:p>
    <w:p w14:paraId="4AE9C1C3" w14:textId="275D9513" w:rsidR="009132D9" w:rsidRPr="00571085" w:rsidRDefault="005D4E93" w:rsidP="00AE5E64">
      <w:pPr>
        <w:widowControl w:val="0"/>
        <w:pBdr>
          <w:top w:val="nil"/>
          <w:left w:val="nil"/>
          <w:bottom w:val="nil"/>
          <w:right w:val="nil"/>
          <w:between w:val="nil"/>
        </w:pBdr>
        <w:spacing w:before="26" w:line="360" w:lineRule="auto"/>
        <w:ind w:left="2" w:right="3" w:firstLine="358"/>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Furthermore, Juba's evolving urban environment reflects stark contrasts between modern development and persistent infrastructural deficits. High-rise buildings, commercial hubs, and new business centers are emerging alongside informal settlements, highlighting the disparities in urban planning and resource distribution. The rapid transformation of Juba's cityscape underscores both the opportunities and challenges associated with urban growth. On one hand, the city’s expansion presents prospects for economic development, increased investments, and improved public services. On the other hand, the lack of coordinated planning and sustainable urban policies threatens long-term resilience and livability</w:t>
      </w:r>
      <w:r w:rsidR="00970291" w:rsidRPr="00571085">
        <w:rPr>
          <w:rFonts w:ascii="Times New Roman" w:eastAsia="Times New Roman" w:hAnsi="Times New Roman" w:cs="Times New Roman"/>
          <w:color w:val="000000"/>
          <w:sz w:val="24"/>
          <w:szCs w:val="24"/>
        </w:rPr>
        <w:t xml:space="preserve"> </w:t>
      </w:r>
      <w:r w:rsidR="00970291"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{"citationID":"i6dBsdN6","properties":{"formattedCitation":"(UN-HABITAT {\\i{}et al.}, 2023)","plainCitation":"(UN-HABITAT et al., 2023)","noteIndex":0},"citationItems":[{"id":46,"uris":["http://zotero.org/users/16803167/items/FCK9LEVF"],"itemData":{"id":46,"type":"webpage","title":"Juba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70291"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 xml:space="preserve">(UN-HABITAT </w:t>
      </w:r>
      <w:r w:rsidR="00F87FB4" w:rsidRPr="00C95A56">
        <w:rPr>
          <w:rFonts w:ascii="Times New Roman" w:hAnsi="Times New Roman" w:cs="Times New Roman"/>
          <w:i/>
          <w:iCs/>
          <w:color w:val="87CEEB"/>
          <w:sz w:val="24"/>
          <w:szCs w:val="24"/>
          <w:u w:val="single"/>
        </w:rPr>
        <w:t>et al.</w:t>
      </w:r>
      <w:r w:rsidR="00F87FB4" w:rsidRPr="00C95A56">
        <w:rPr>
          <w:rFonts w:ascii="Times New Roman" w:hAnsi="Times New Roman" w:cs="Times New Roman"/>
          <w:color w:val="87CEEB"/>
          <w:sz w:val="24"/>
          <w:szCs w:val="24"/>
          <w:u w:val="single"/>
        </w:rPr>
        <w:t>, 2023)</w:t>
      </w:r>
      <w:r w:rsidR="00970291" w:rsidRPr="00571085">
        <w:rPr>
          <w:rFonts w:ascii="Times New Roman" w:eastAsia="Times New Roman" w:hAnsi="Times New Roman" w:cs="Times New Roman"/>
          <w:color w:val="000000"/>
          <w:sz w:val="24"/>
          <w:szCs w:val="24"/>
        </w:rPr>
        <w:fldChar w:fldCharType="end"/>
      </w:r>
      <w:r w:rsidR="00000000" w:rsidRPr="00571085">
        <w:rPr>
          <w:rFonts w:ascii="Times New Roman" w:eastAsia="Times New Roman" w:hAnsi="Times New Roman" w:cs="Times New Roman"/>
          <w:color w:val="000000"/>
          <w:sz w:val="24"/>
          <w:szCs w:val="24"/>
        </w:rPr>
        <w:t xml:space="preserve">.  </w:t>
      </w:r>
    </w:p>
    <w:p w14:paraId="6D5CA1DC" w14:textId="669BB499" w:rsidR="005D4E93" w:rsidRPr="00571085" w:rsidRDefault="005D4E93" w:rsidP="00AE5E64">
      <w:pPr>
        <w:widowControl w:val="0"/>
        <w:pBdr>
          <w:top w:val="nil"/>
          <w:left w:val="nil"/>
          <w:bottom w:val="nil"/>
          <w:right w:val="nil"/>
          <w:between w:val="nil"/>
        </w:pBdr>
        <w:spacing w:before="26" w:line="360" w:lineRule="auto"/>
        <w:ind w:left="2" w:right="3" w:firstLine="358"/>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Therefore, </w:t>
      </w:r>
      <w:r w:rsidRPr="00571085">
        <w:rPr>
          <w:rFonts w:ascii="Times New Roman" w:eastAsia="Times New Roman" w:hAnsi="Times New Roman" w:cs="Times New Roman"/>
          <w:color w:val="000000"/>
          <w:sz w:val="24"/>
          <w:szCs w:val="24"/>
        </w:rPr>
        <w:t xml:space="preserve">Juba’s rapid urbanization </w:t>
      </w:r>
      <w:r w:rsidRPr="00571085">
        <w:rPr>
          <w:rFonts w:ascii="Times New Roman" w:eastAsia="Times New Roman" w:hAnsi="Times New Roman" w:cs="Times New Roman"/>
          <w:color w:val="000000"/>
          <w:sz w:val="24"/>
          <w:szCs w:val="24"/>
        </w:rPr>
        <w:t>calls for</w:t>
      </w:r>
      <w:r w:rsidRPr="00571085">
        <w:rPr>
          <w:rFonts w:ascii="Times New Roman" w:eastAsia="Times New Roman" w:hAnsi="Times New Roman" w:cs="Times New Roman"/>
          <w:color w:val="000000"/>
          <w:sz w:val="24"/>
          <w:szCs w:val="24"/>
        </w:rPr>
        <w:t xml:space="preserve"> urgent need for comprehensive and sustainable urban planning. As the city continues to grow, it is imperative to implement policies that balance development with environmental conservation, social equity, and infrastructural efficiency. Addressing these challenges requires a collaborative approach involving government agencies, urban planners, and international development organizations. By integrating modern urban planning techniques, investing in resilient infrastructure, and aligning growth strategies with global sustainability frameworks, Juba can navigate its urbanization trajectory in a manner that promotes long-term prosperity and stability</w:t>
      </w:r>
    </w:p>
    <w:p w14:paraId="266D0542" w14:textId="77777777" w:rsidR="00E90CF0" w:rsidRPr="00571085" w:rsidRDefault="00E90CF0" w:rsidP="00AE5E64">
      <w:pPr>
        <w:widowControl w:val="0"/>
        <w:pBdr>
          <w:top w:val="nil"/>
          <w:left w:val="nil"/>
          <w:bottom w:val="nil"/>
          <w:right w:val="nil"/>
          <w:between w:val="nil"/>
        </w:pBdr>
        <w:spacing w:before="27" w:line="360" w:lineRule="auto"/>
        <w:ind w:left="6" w:firstLine="354"/>
        <w:jc w:val="both"/>
        <w:rPr>
          <w:rFonts w:ascii="Times New Roman" w:eastAsia="Times New Roman" w:hAnsi="Times New Roman" w:cs="Times New Roman"/>
          <w:color w:val="000000"/>
          <w:sz w:val="24"/>
          <w:szCs w:val="24"/>
        </w:rPr>
      </w:pPr>
    </w:p>
    <w:p w14:paraId="222B324C" w14:textId="540DCAE4" w:rsidR="009132D9" w:rsidRPr="00571085" w:rsidRDefault="00000000" w:rsidP="00AE5E64">
      <w:pPr>
        <w:pStyle w:val="Heading3"/>
        <w:widowControl w:val="0"/>
        <w:spacing w:before="27" w:line="360" w:lineRule="auto"/>
        <w:ind w:left="15"/>
        <w:jc w:val="both"/>
      </w:pPr>
      <w:bookmarkStart w:id="4" w:name="_mqvap2tpnnb1" w:colFirst="0" w:colLast="0"/>
      <w:bookmarkEnd w:id="4"/>
      <w:r w:rsidRPr="00571085">
        <w:t xml:space="preserve">1.2 Problem Statement </w:t>
      </w:r>
    </w:p>
    <w:p w14:paraId="0D362AFA" w14:textId="754E332A" w:rsidR="00050F6E" w:rsidRPr="00571085" w:rsidRDefault="00E030DD" w:rsidP="00AE5E64">
      <w:pPr>
        <w:widowControl w:val="0"/>
        <w:pBdr>
          <w:top w:val="nil"/>
          <w:left w:val="nil"/>
          <w:bottom w:val="nil"/>
          <w:right w:val="nil"/>
          <w:between w:val="nil"/>
        </w:pBdr>
        <w:spacing w:before="27" w:line="360" w:lineRule="auto"/>
        <w:ind w:lef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Urban growth, as conceptualized by the United Nations Human Settlements Program (UN-Habitat), refers to the progressive expansion of towns and cities in terms of both spatial extent and population size</w:t>
      </w:r>
      <w:r w:rsidR="00F87FB4" w:rsidRPr="00571085">
        <w:rPr>
          <w:rFonts w:ascii="Times New Roman" w:eastAsia="Times New Roman" w:hAnsi="Times New Roman" w:cs="Times New Roman"/>
          <w:color w:val="000000"/>
          <w:sz w:val="24"/>
          <w:szCs w:val="24"/>
        </w:rPr>
        <w:t xml:space="preserve"> </w:t>
      </w:r>
      <w:r w:rsidR="00F87FB4"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{"citationID":"RtP1eaqT","properties":{"formattedCitation":"(UN-HABITAT, 2006)","plainCitation":"(UN-HABITAT, 2006)","noteIndex":0},"citationItems":[{"id":48,"uris":["http://zotero.org/users/16803167/items/HRLDAH38"],"itemData":{"id":48,"type":"webpage","title":"Meeting Development Goals in Small Urban Centres - Water and Sanitation in the World's Cities 2006 | UN-Habitat","URL":"https://unhabitat.org/meeting-development-goals-in-small-urban-centres-water-and-sanitation-in-the-worlds-cities-2006","author":[{"family":"UN-HABITAT","given":""}],"accessed":{"date-parts":[["2025",3,30]]},"issued":{"date-parts":[["2006"]]}}}],"schema":"https://github.com/citation-style-language/schema/raw/master/csl-citation.json"} </w:instrText>
      </w:r>
      <w:r w:rsidR="00F87FB4"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(UN-HABITAT, 2006)</w:t>
      </w:r>
      <w:r w:rsidR="00F87FB4" w:rsidRPr="00571085">
        <w:rPr>
          <w:rFonts w:ascii="Times New Roman" w:eastAsia="Times New Roman" w:hAnsi="Times New Roman" w:cs="Times New Roman"/>
          <w:color w:val="000000"/>
          <w:sz w:val="24"/>
          <w:szCs w:val="24"/>
        </w:rPr>
        <w:fldChar w:fldCharType="end"/>
      </w:r>
      <w:r w:rsidR="009132D9"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This dynamic phenomenon unfolds through two primary mechanisms: inward growth, which is characterized by an increase in population density and intensified land use within pre-existing urban boundaries, and outward growth, which involves the physical expansion of urban areas into surrounding rural or undeveloped regions. These growth patterns are particularly pronounced in rapidly urbanizing regions, where economic, social, and demographic factors collectively contribute to the transformation of urban landscapes</w:t>
      </w:r>
      <w:r w:rsidR="00AB1157" w:rsidRPr="00571085">
        <w:rPr>
          <w:rFonts w:ascii="Times New Roman" w:eastAsia="Times New Roman" w:hAnsi="Times New Roman" w:cs="Times New Roman"/>
          <w:color w:val="000000"/>
          <w:sz w:val="24"/>
          <w:szCs w:val="24"/>
        </w:rPr>
        <w:t xml:space="preserve"> </w:t>
      </w:r>
      <w:r w:rsidR="00AB1157" w:rsidRPr="00571085">
        <w:rPr>
          <w:rFonts w:ascii="Times New Roman" w:eastAsia="Times New Roman" w:hAnsi="Times New Roman" w:cs="Times New Roman"/>
          <w:color w:val="000000"/>
          <w:sz w:val="24"/>
          <w:szCs w:val="24"/>
        </w:rPr>
        <w:fldChar w:fldCharType="begin"/>
      </w:r>
      <w:r w:rsidR="00AB1157" w:rsidRPr="00571085">
        <w:rPr>
          <w:rFonts w:ascii="Times New Roman" w:eastAsia="Times New Roman" w:hAnsi="Times New Roman" w:cs="Times New Roman"/>
          <w:color w:val="000000"/>
          <w:sz w:val="24"/>
          <w:szCs w:val="24"/>
        </w:rPr>
        <w:instrText xml:space="preserve"> ADDIN ZOTERO_ITEM CSL_CITATION {"citationID":"DCG9tygg","properties":{"formattedCitation":"(Sexton {\\i{}et al.}, 2013)","plainCitation":"(Sexton et al., 2013)","noteIndex":0},"citationItems":[{"id":50,"uris":["http://zotero.org/users/16803167/items/27TMG4WA"],"itemData":{"id":50,"type":"article-journal","abstract":"Cities and surrounding suburbs are Earth's fastest growing land use. Urban impervious surfaces affect hydrological and energy balances, as well as biological composition and functioning of ecosystems. Although datasets have been produced documenting urban growth at multiple time periods in coarse intervals, there remains an unmet need for observations spanning multiple decades at high frequency. We have developed an empirical method for retrieving annual, long-term continuous fields of impervious surface cover from the Landsat archive and applied it to the Washington, D.C.–Baltimore, MD megalopolis from 1984 to 2010. Fitting and applying a single regression model over time, the method relies on a multi-annual training sample of high-resolution impervious cover layers tied to coincident intra- and inter-annual Landsat image composites. These predictor images are composited and normalized to maximize discrimination of impervious surfaces from intermittently bare agricultural fields and minimize inter-annual variation due to phenology, solar illumination, and atmospheric noise. Excluding the year 2009 due to lack of data availability resulting from nearly continual winter snow cover, the resulting dataset is a continuous-field representation of impervious surface cover at 30-m horizontal and annual temporal resolution from 1984 to 2010. Average error was approximately ±6% cover, with outliers due to shadows from large buildings in winter images. The region's impervious surface cover grew from 881 to 1176±11km2 over the 27-year span—an average annual gain of approximately 11±2km2/year—with great variability among local municipalities in terms of rate of development. Patterns including intensification (i.e., “infill”) and expansion (i.e., exurban or “sprawl”) of development, as well as fragmentation and isolation of natural areas were clearly visible in the data at various places and times. Neither impervious surface loss nor deceleration of growth were observed in any of the cities or counties over the study span. These findings show that empirical retrieval of impervious coverage at the spatial and temporal scale of the Landsat archive is possible using dense time-stacks of calibrated Landsat images, and that long-term records such as this can provide new opportunities for analyzing land-use patterns and their underlying causes to improve understanding of socio-economic processes and human–environment interactions.","container-title":"Remote Sensing of Environment","DOI":"10.1016/j.rse.2012.10.025","ISSN":"0034-4257","journalAbbreviation":"Remote Sensing of Environment","page":"42-53","source":"ScienceDirect","title":"Urban growth of the Washington, D.C.–Baltimore, MD metropolitan region from 1984 to 2010 by annual, Landsat-based estimates of impervious cover","volume":"129","author":[{"family":"Sexton","given":"Joseph O."},{"family":"Song","given":"Xiao-Peng"},{"family":"Huang","given":"Chengquan"},{"family":"Channan","given":"Saurabh"},{"family":"Baker","given":"Matthew E."},{"family":"Townshend","given":"John R."}],"issued":{"date-parts":[["2013",2,15]]}}}],"schema":"https://github.com/citation-style-language/schema/raw/master/csl-citation.json"} </w:instrText>
      </w:r>
      <w:r w:rsidR="00AB1157" w:rsidRPr="00571085">
        <w:rPr>
          <w:rFonts w:ascii="Times New Roman" w:eastAsia="Times New Roman" w:hAnsi="Times New Roman" w:cs="Times New Roman"/>
          <w:color w:val="000000"/>
          <w:sz w:val="24"/>
          <w:szCs w:val="24"/>
        </w:rPr>
        <w:fldChar w:fldCharType="separate"/>
      </w:r>
      <w:r w:rsidR="00AB1157" w:rsidRPr="00C95A56">
        <w:rPr>
          <w:rFonts w:ascii="Times New Roman" w:hAnsi="Times New Roman" w:cs="Times New Roman"/>
          <w:color w:val="87CEEB"/>
          <w:sz w:val="24"/>
          <w:szCs w:val="24"/>
          <w:u w:val="single"/>
        </w:rPr>
        <w:t xml:space="preserve">(Sexton </w:t>
      </w:r>
      <w:r w:rsidR="00AB1157" w:rsidRPr="00C95A56">
        <w:rPr>
          <w:rFonts w:ascii="Times New Roman" w:hAnsi="Times New Roman" w:cs="Times New Roman"/>
          <w:i/>
          <w:iCs/>
          <w:color w:val="87CEEB"/>
          <w:sz w:val="24"/>
          <w:szCs w:val="24"/>
          <w:u w:val="single"/>
        </w:rPr>
        <w:t>et al.</w:t>
      </w:r>
      <w:r w:rsidR="00AB1157" w:rsidRPr="00C95A56">
        <w:rPr>
          <w:rFonts w:ascii="Times New Roman" w:hAnsi="Times New Roman" w:cs="Times New Roman"/>
          <w:color w:val="87CEEB"/>
          <w:sz w:val="24"/>
          <w:szCs w:val="24"/>
          <w:u w:val="single"/>
        </w:rPr>
        <w:t>, 2013)</w:t>
      </w:r>
      <w:r w:rsidR="00AB1157" w:rsidRPr="00571085">
        <w:rPr>
          <w:rFonts w:ascii="Times New Roman" w:eastAsia="Times New Roman" w:hAnsi="Times New Roman" w:cs="Times New Roman"/>
          <w:color w:val="000000"/>
          <w:sz w:val="24"/>
          <w:szCs w:val="24"/>
        </w:rPr>
        <w:fldChar w:fldCharType="end"/>
      </w:r>
      <w:r w:rsidR="003D2C93" w:rsidRPr="00571085">
        <w:rPr>
          <w:rFonts w:ascii="Times New Roman" w:eastAsia="Times New Roman" w:hAnsi="Times New Roman" w:cs="Times New Roman"/>
          <w:color w:val="000000"/>
          <w:sz w:val="24"/>
          <w:szCs w:val="24"/>
        </w:rPr>
        <w:t>.</w:t>
      </w:r>
      <w:r w:rsidR="001E2E32"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sz w:val="24"/>
          <w:szCs w:val="24"/>
        </w:rPr>
        <w:t>However, urban growth is a multifaceted process that extends beyond simple expansion, significantly influencing both human settlements and the environment at large</w:t>
      </w:r>
      <w:r w:rsidR="00AB1157" w:rsidRPr="00571085">
        <w:rPr>
          <w:rFonts w:ascii="Times New Roman" w:eastAsia="Times New Roman" w:hAnsi="Times New Roman" w:cs="Times New Roman"/>
          <w:color w:val="000000"/>
          <w:sz w:val="24"/>
          <w:szCs w:val="24"/>
        </w:rPr>
        <w:t xml:space="preserve"> </w:t>
      </w:r>
      <w:r w:rsidR="00AB1157" w:rsidRPr="00571085">
        <w:rPr>
          <w:rFonts w:ascii="Times New Roman" w:eastAsia="Times New Roman" w:hAnsi="Times New Roman" w:cs="Times New Roman"/>
          <w:color w:val="000000"/>
          <w:sz w:val="24"/>
          <w:szCs w:val="24"/>
        </w:rPr>
        <w:fldChar w:fldCharType="begin"/>
      </w:r>
      <w:r w:rsidR="00AB1157" w:rsidRPr="00571085">
        <w:rPr>
          <w:rFonts w:ascii="Times New Roman" w:eastAsia="Times New Roman" w:hAnsi="Times New Roman" w:cs="Times New Roman"/>
          <w:color w:val="000000"/>
          <w:sz w:val="24"/>
          <w:szCs w:val="24"/>
        </w:rPr>
        <w:instrText xml:space="preserve"> ADDIN ZOTERO_ITEM CSL_CITATION {"citationID":"Dul6SPU5","properties":{"formattedCitation":"(Munthali and Murayama, 2011; Khawaldah, Farhan and Alzboun, 2020)","plainCitation":"(Munthali and Murayama, 2011; Khawaldah, Farhan and Alzboun, 2020)","noteIndex":0},"citationItems":[{"id":52,"uris":["http://zotero.org/users/16803167/items/MXW2J2D3"],"itemData":{"id":52,"type":"article-journal","abstract":"Natural ecological systems continue to be under severe threat from human influence in Malawi and Dzalanyama forest reserve in particular. To assist the relevant stakeholders understand the full extent of the problem and push for a reversal of the trend, a scenario analysis of the near-past, present and near-future deforestation levels was presented using fuzzy classification, the basic overlay and Markov chain analysis techniques. In trying to draw awareness by quantifying the gravity of the situation, the analysis has established that not only are the deforestation magnitudes worrisome but also that the trends will continue in the foreseeable future. The analysis also hinted on the complex factors driving the land cover changes. While acknowledging the roles played by population growth and poverty on deforestation, the influence of the changing economic opportunities triggered by social, political and infrastructural changes impacting on the rural population surrounding the forest reserve cannot be overemphasized. Upon deriving the direction and magnitude of change it is therefore only prudent that measures to address the problem should invoke and build on an all inclusive approach towards provision of a sustainable solution.","collection-title":"International Conference: Spatial Thinking and Geographic Information Sciences 2011","container-title":"Procedia - Social and Behavioral Sciences","DOI":"10.1016/j.sbspro.2011.07.035","ISSN":"1877-0428","journalAbbreviation":"Procedia - Social and Behavioral Sciences","page":"203-211","source":"ScienceDirect","title":"Land use/cover change detection and analysis for Dzalanyama forest reserve, Lilongwe, Malawi","volume":"21","author":[{"family":"Munthali","given":"Kondwani G."},{"family":"Murayama","given":"Yuji"}],"issued":{"date-parts":[["2011",1,1]]}}},{"id":58,"uris":["http://zotero.org/users/16803167/items/VHRA8JUR"],"itemData":{"id":58,"type":"article-journal","abstract":"This study analyzes the characteristics of land use/land cover change in Jordan's Irbid governorate, 1984-2018, and predicts future land use/land cover for 2030 and 2050 using a cellular automata-Markov model. The results inform planners and decision makers of past and current spatial dynamics of land use/land cover change and predicted urban expansion, for a better understanding and successful planning. Satellite images of Landsat 5-thematic mapper and Landsat 8 operational land imager for the years 1984, 1994, 2004, 2015 and 2018 were used to explore the characteristics of land use/land cover for this study. The results indicate that the built-up area expanded by 386.9% during the study period and predict further expansion by 19.5% and 64.6% from 2015 to 2030 and 2050 respectively. The areas around the central and eastern parts of the governorate are predicted to have significant expansion of the built-up area by these dates, which should be taken into consideration in future plans. Land use/land cover change and urban expansion in Irbid are primarily caused by the high rate of population growth rate as a direct result of receiving large numbers of immigrants from Syria and Palestine in addition to the natural increase of population and other socioeconomic changes.","container-title":"Global Journal of Environmental Science and Management","DOI":"10.22034/gjesm.2020.02.07","journalAbbreviation":"Global Journal of Environmental Science and Management","page":"215-232","source":"ResearchGate","title":"Simulation and prediction of land use and land cover change using GIS, remote sensing and CA-Markov model","volume":"6","author":[{"family":"Khawaldah","given":"Hamzah"},{"family":"Farhan","given":"Ibrahim"},{"family":"Alzboun","given":"Nidal"}],"issued":{"date-parts":[["2020",2,1]]}}}],"schema":"https://github.com/citation-style-language/schema/raw/master/csl-citation.json"} </w:instrText>
      </w:r>
      <w:r w:rsidR="00AB1157" w:rsidRPr="00571085">
        <w:rPr>
          <w:rFonts w:ascii="Times New Roman" w:eastAsia="Times New Roman" w:hAnsi="Times New Roman" w:cs="Times New Roman"/>
          <w:color w:val="000000"/>
          <w:sz w:val="24"/>
          <w:szCs w:val="24"/>
        </w:rPr>
        <w:fldChar w:fldCharType="separate"/>
      </w:r>
      <w:r w:rsidR="00AB1157" w:rsidRPr="00C95A56">
        <w:rPr>
          <w:rFonts w:ascii="Times New Roman" w:hAnsi="Times New Roman" w:cs="Times New Roman"/>
          <w:color w:val="87CEEB"/>
          <w:sz w:val="24"/>
          <w:szCs w:val="24"/>
          <w:u w:val="single"/>
        </w:rPr>
        <w:t xml:space="preserve">(Munthali and Murayama, 2011; </w:t>
      </w:r>
      <w:proofErr w:type="spellStart"/>
      <w:r w:rsidR="00AB1157" w:rsidRPr="00C95A56">
        <w:rPr>
          <w:rFonts w:ascii="Times New Roman" w:hAnsi="Times New Roman" w:cs="Times New Roman"/>
          <w:color w:val="87CEEB"/>
          <w:sz w:val="24"/>
          <w:szCs w:val="24"/>
          <w:u w:val="single"/>
        </w:rPr>
        <w:t>Khawaldah</w:t>
      </w:r>
      <w:proofErr w:type="spellEnd"/>
      <w:r w:rsidR="00AB1157" w:rsidRPr="00C95A56">
        <w:rPr>
          <w:rFonts w:ascii="Times New Roman" w:hAnsi="Times New Roman" w:cs="Times New Roman"/>
          <w:color w:val="87CEEB"/>
          <w:sz w:val="24"/>
          <w:szCs w:val="24"/>
          <w:u w:val="single"/>
        </w:rPr>
        <w:t xml:space="preserve">, Farhan and </w:t>
      </w:r>
      <w:proofErr w:type="spellStart"/>
      <w:r w:rsidR="00AB1157" w:rsidRPr="00C95A56">
        <w:rPr>
          <w:rFonts w:ascii="Times New Roman" w:hAnsi="Times New Roman" w:cs="Times New Roman"/>
          <w:color w:val="87CEEB"/>
          <w:sz w:val="24"/>
          <w:szCs w:val="24"/>
          <w:u w:val="single"/>
        </w:rPr>
        <w:t>Alzboun</w:t>
      </w:r>
      <w:proofErr w:type="spellEnd"/>
      <w:r w:rsidR="00AB1157" w:rsidRPr="00C95A56">
        <w:rPr>
          <w:rFonts w:ascii="Times New Roman" w:hAnsi="Times New Roman" w:cs="Times New Roman"/>
          <w:color w:val="87CEEB"/>
          <w:sz w:val="24"/>
          <w:szCs w:val="24"/>
          <w:u w:val="single"/>
        </w:rPr>
        <w:t>, 2020)</w:t>
      </w:r>
      <w:r w:rsidR="00AB1157"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w:t>
      </w:r>
    </w:p>
    <w:p w14:paraId="1A3A3856" w14:textId="72B4EB9A" w:rsidR="005D4E93" w:rsidRPr="00571085" w:rsidRDefault="005D4E93" w:rsidP="00AE5E64">
      <w:pPr>
        <w:widowControl w:val="0"/>
        <w:pBdr>
          <w:top w:val="nil"/>
          <w:left w:val="nil"/>
          <w:bottom w:val="nil"/>
          <w:right w:val="nil"/>
          <w:between w:val="nil"/>
        </w:pBdr>
        <w:spacing w:before="27" w:line="360" w:lineRule="auto"/>
        <w:ind w:left="6"/>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Urban growth and land use changes</w:t>
      </w:r>
    </w:p>
    <w:p w14:paraId="7D61F04D" w14:textId="77777777" w:rsidR="00520029" w:rsidRPr="00571085" w:rsidRDefault="00E030DD"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lastRenderedPageBreak/>
        <w:t>As urban areas expand, they inevitably encroach upon previously undeveloped lands, leading to substantial alterations in Land Use and Land Cover (LULC). This transformation, broadly referred to as Land Use and Land Cover Change (LULCC), denotes modifications to the Earth's surface brought about by both human activities and natural processes over time and space</w:t>
      </w:r>
      <w:r w:rsidRPr="00571085">
        <w:rPr>
          <w:rFonts w:ascii="Times New Roman" w:eastAsia="Times New Roman" w:hAnsi="Times New Roman" w:cs="Times New Roman"/>
          <w:color w:val="000000"/>
          <w:sz w:val="24"/>
          <w:szCs w:val="24"/>
        </w:rPr>
        <w:t xml:space="preserve"> </w:t>
      </w:r>
      <w:r w:rsidR="00050F6E" w:rsidRPr="00571085">
        <w:rPr>
          <w:rFonts w:ascii="Times New Roman" w:eastAsia="Times New Roman" w:hAnsi="Times New Roman" w:cs="Times New Roman"/>
          <w:color w:val="000000"/>
          <w:sz w:val="24"/>
          <w:szCs w:val="24"/>
        </w:rPr>
        <w:fldChar w:fldCharType="begin"/>
      </w:r>
      <w:r w:rsidR="00050F6E" w:rsidRPr="00571085">
        <w:rPr>
          <w:rFonts w:ascii="Times New Roman" w:eastAsia="Times New Roman" w:hAnsi="Times New Roman" w:cs="Times New Roman"/>
          <w:color w:val="000000"/>
          <w:sz w:val="24"/>
          <w:szCs w:val="24"/>
        </w:rPr>
        <w:instrText xml:space="preserve"> ADDIN ZOTERO_ITEM CSL_CITATION {"citationID":"fyven1KI","properties":{"formattedCitation":"(Rodr\\uc0\\u237{}guez-Cuenca, Alonso and Tam\\uc0\\u233{}s-Noriega, 2015)","plainCitation":"(Rodríguez-Cuenca, Alonso and Tamés-Noriega, 2015)","noteIndex":0},"citationItems":[{"id":65,"uris":["http://zotero.org/users/16803167/items/CW47LQ8N"],"itemData":{"id":65,"type":"paper-conference","abstract":"Urban growth and the development of urban plans make cities grow and substantially alter, in relatively short time periods, their land covers and land uses (LULC). To take control of this urban growth, it is im-portant to create and update the LULC database. In this work, a method to automatically extract land covers from satellite VHR imagery and LIDAR...","DOI":"10.2991/ifsa-eusflat-15.2015.139","event-title":"2015 Conference of the International Fuzzy Systems Association and the European Society for Fuzzy Logic and Technology (IFSA-EUSFLAT-15)","ISBN":"978-94-6252-077-6","language":"en","note":"ISSN: 1951-6851","page":"987-993","publisher":"Atlantis Press","source":"www.atlantis-press.com","title":"LULC database updating from VHR images and LIDAR data using evidence theory","URL":"https://www.atlantis-press.com/proceedings/ifsa-eusflat-15/23650","author":[{"family":"Rodríguez-Cuenca","given":"Borja"},{"family":"Alonso","given":"M. Concepción"},{"family":"Tamés-Noriega","given":"Agustín"}],"accessed":{"date-parts":[["2025",3,30]]},"issued":{"date-parts":[["2015",6]]}}}],"schema":"https://github.com/citation-style-language/schema/raw/master/csl-citation.json"} </w:instrText>
      </w:r>
      <w:r w:rsidR="00050F6E" w:rsidRPr="00571085">
        <w:rPr>
          <w:rFonts w:ascii="Times New Roman" w:eastAsia="Times New Roman" w:hAnsi="Times New Roman" w:cs="Times New Roman"/>
          <w:color w:val="000000"/>
          <w:sz w:val="24"/>
          <w:szCs w:val="24"/>
        </w:rPr>
        <w:fldChar w:fldCharType="separate"/>
      </w:r>
      <w:r w:rsidR="00050F6E" w:rsidRPr="00C95A56">
        <w:rPr>
          <w:rFonts w:ascii="Times New Roman" w:hAnsi="Times New Roman" w:cs="Times New Roman"/>
          <w:color w:val="87CEEB"/>
          <w:sz w:val="24"/>
          <w:szCs w:val="24"/>
          <w:u w:val="single"/>
        </w:rPr>
        <w:t xml:space="preserve">(Rodríguez-Cuenca, Alonso and </w:t>
      </w:r>
      <w:proofErr w:type="spellStart"/>
      <w:r w:rsidR="00050F6E" w:rsidRPr="00C95A56">
        <w:rPr>
          <w:rFonts w:ascii="Times New Roman" w:hAnsi="Times New Roman" w:cs="Times New Roman"/>
          <w:color w:val="87CEEB"/>
          <w:sz w:val="24"/>
          <w:szCs w:val="24"/>
          <w:u w:val="single"/>
        </w:rPr>
        <w:t>Tamés</w:t>
      </w:r>
      <w:proofErr w:type="spellEnd"/>
      <w:r w:rsidR="00050F6E" w:rsidRPr="00C95A56">
        <w:rPr>
          <w:rFonts w:ascii="Times New Roman" w:hAnsi="Times New Roman" w:cs="Times New Roman"/>
          <w:color w:val="87CEEB"/>
          <w:sz w:val="24"/>
          <w:szCs w:val="24"/>
          <w:u w:val="single"/>
        </w:rPr>
        <w:t>-Noriega, 2015)</w:t>
      </w:r>
      <w:r w:rsidR="00050F6E"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T</w:t>
      </w:r>
      <w:r w:rsidRPr="00571085">
        <w:rPr>
          <w:rFonts w:ascii="Times New Roman" w:eastAsia="Times New Roman" w:hAnsi="Times New Roman" w:cs="Times New Roman"/>
          <w:color w:val="000000"/>
          <w:sz w:val="24"/>
          <w:szCs w:val="24"/>
        </w:rPr>
        <w:t xml:space="preserve">he driving forces behind LULCC include the growing demand for residential, commercial, and infrastructural development, which often results in the conversion of agricultural land and natural ecosystems into urbanized spaces. </w:t>
      </w:r>
    </w:p>
    <w:p w14:paraId="0C82E1D8" w14:textId="4E5A6859" w:rsidR="00050F6E" w:rsidRPr="00571085" w:rsidRDefault="00E030DD"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Research indicates that urban areas across the globe are expanding at an unprecedented pace, with projections forecasting further and more extensive growth in the coming decades</w:t>
      </w:r>
      <w:r w:rsidR="00050F6E" w:rsidRPr="00571085">
        <w:rPr>
          <w:rFonts w:ascii="Times New Roman" w:eastAsia="Times New Roman" w:hAnsi="Times New Roman" w:cs="Times New Roman"/>
          <w:color w:val="000000"/>
          <w:sz w:val="24"/>
          <w:szCs w:val="24"/>
        </w:rPr>
        <w:t xml:space="preserve"> </w:t>
      </w:r>
      <w:r w:rsidR="00050F6E" w:rsidRPr="00571085">
        <w:rPr>
          <w:rFonts w:ascii="Times New Roman" w:eastAsia="Times New Roman" w:hAnsi="Times New Roman" w:cs="Times New Roman"/>
          <w:color w:val="000000"/>
          <w:sz w:val="24"/>
          <w:szCs w:val="24"/>
        </w:rPr>
        <w:fldChar w:fldCharType="begin"/>
      </w:r>
      <w:r w:rsidR="00050F6E" w:rsidRPr="00571085">
        <w:rPr>
          <w:rFonts w:ascii="Times New Roman" w:eastAsia="Times New Roman" w:hAnsi="Times New Roman" w:cs="Times New Roman"/>
          <w:color w:val="000000"/>
          <w:sz w:val="24"/>
          <w:szCs w:val="24"/>
        </w:rPr>
        <w:instrText xml:space="preserve"> ADDIN ZOTERO_ITEM CSL_CITATION {"citationID":"SANwr1Vi","properties":{"formattedCitation":"(Ishtiaque, Shrestha and Chhetri, 2017)","plainCitation":"(Ishtiaque, Shrestha and Chhetri, 2017)","noteIndex":0},"citationItems":[{"id":69,"uris":["http://zotero.org/users/16803167/items/CMFWNSKU"],"itemData":{"id":69,"type":"article-journal","abstract":"The Kathmandu Valley of Nepal epitomizes the growing urbanization trend spreading across the Himalayan foothills. This metropolitan valley has experienced a significant transformation of its landscapes in the last four decades resulting in substantial land use and land cover (LULC) change; however, no major systematic analysis of the urbanization trend and LULC has been conducted on this valley since 2000. When considering the importance of using LULC change as a window to study the broader changes in socio-ecological systems of this valley, our study first detected LULC change trajectories of this valley using four Landsat images of the year 1989, 1999, 2009, and 2016, and then analyzed the detected change in the light of a set of proximate causes and factors driving those changes. A pixel-based hybrid classification (unsupervised followed by supervised) approach was employed to classify these images into five LULC categories and analyze the LULC trajectories detected from them. Our results show that urban area expanded up to 412% in last three decades and the most of this expansion occurred with the conversions of 31% agricultural land. The majority of the urban expansion happened during 1989–2009, and it is still growing along the major roads in a concentric pattern, significantly altering the cityscape of the valley. The centrality feature of Kathmandu valley and the massive surge in rural-to-urban migration are identified as the primary proximate causes of the fast expansion of built-up areas and rapid conversions of agricultural areas.","container-title":"Environments","DOI":"10.3390/environments4040072","ISSN":"2076-3298","issue":"4","journalAbbreviation":"Environments","language":"en","license":"https://creativecommons.org/licenses/by/4.0/","page":"72","source":"DOI.org (Crossref)","title":"Rapid Urban Growth in the Kathmandu Valley, Nepal: Monitoring Land Use Land Cover Dynamics of a Himalayan City with Landsat Imageries","title-short":"Rapid Urban Growth in the Kathmandu Valley, Nepal","volume":"4","author":[{"family":"Ishtiaque","given":"Asif"},{"family":"Shrestha","given":"Milan"},{"family":"Chhetri","given":"Netra"}],"issued":{"date-parts":[["2017",10,8]]}}}],"schema":"https://github.com/citation-style-language/schema/raw/master/csl-citation.json"} </w:instrText>
      </w:r>
      <w:r w:rsidR="00050F6E" w:rsidRPr="00571085">
        <w:rPr>
          <w:rFonts w:ascii="Times New Roman" w:eastAsia="Times New Roman" w:hAnsi="Times New Roman" w:cs="Times New Roman"/>
          <w:color w:val="000000"/>
          <w:sz w:val="24"/>
          <w:szCs w:val="24"/>
        </w:rPr>
        <w:fldChar w:fldCharType="separate"/>
      </w:r>
      <w:r w:rsidR="00050F6E" w:rsidRPr="00C95A56">
        <w:rPr>
          <w:rFonts w:ascii="Times New Roman" w:hAnsi="Times New Roman" w:cs="Times New Roman"/>
          <w:color w:val="87CEEB"/>
          <w:sz w:val="24"/>
          <w:szCs w:val="24"/>
          <w:u w:val="single"/>
        </w:rPr>
        <w:t>(</w:t>
      </w:r>
      <w:proofErr w:type="spellStart"/>
      <w:r w:rsidR="00050F6E" w:rsidRPr="00C95A56">
        <w:rPr>
          <w:rFonts w:ascii="Times New Roman" w:hAnsi="Times New Roman" w:cs="Times New Roman"/>
          <w:color w:val="87CEEB"/>
          <w:sz w:val="24"/>
          <w:szCs w:val="24"/>
          <w:u w:val="single"/>
        </w:rPr>
        <w:t>Ishtiaque</w:t>
      </w:r>
      <w:proofErr w:type="spellEnd"/>
      <w:r w:rsidR="00050F6E" w:rsidRPr="00C95A56">
        <w:rPr>
          <w:rFonts w:ascii="Times New Roman" w:hAnsi="Times New Roman" w:cs="Times New Roman"/>
          <w:color w:val="87CEEB"/>
          <w:sz w:val="24"/>
          <w:szCs w:val="24"/>
          <w:u w:val="single"/>
        </w:rPr>
        <w:t>, Shrestha and Chhetri, 2017)</w:t>
      </w:r>
      <w:r w:rsidR="00050F6E"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Given the rapid nature of urbanization, the necessity of monitoring and predicting LULCC through change detection techniques has become increasingly crucial. Change detection methodologies facilitate the systematic tracking, analysis, and management of evolving spatial distributions of land resources, enabling informed decision-making for sustainable urban planning</w:t>
      </w:r>
      <w:r w:rsidRPr="00571085">
        <w:rPr>
          <w:rFonts w:ascii="Times New Roman" w:eastAsia="Times New Roman" w:hAnsi="Times New Roman" w:cs="Times New Roman"/>
          <w:color w:val="000000"/>
          <w:sz w:val="24"/>
          <w:szCs w:val="24"/>
        </w:rPr>
        <w:t xml:space="preserve"> </w:t>
      </w:r>
      <w:r w:rsidR="00050F6E" w:rsidRPr="00571085">
        <w:rPr>
          <w:rFonts w:ascii="Times New Roman" w:eastAsia="Times New Roman" w:hAnsi="Times New Roman" w:cs="Times New Roman"/>
          <w:color w:val="000000"/>
          <w:sz w:val="24"/>
          <w:szCs w:val="24"/>
        </w:rPr>
        <w:fldChar w:fldCharType="begin"/>
      </w:r>
      <w:r w:rsidR="00050F6E" w:rsidRPr="00571085">
        <w:rPr>
          <w:rFonts w:ascii="Times New Roman" w:eastAsia="Times New Roman" w:hAnsi="Times New Roman" w:cs="Times New Roman"/>
          <w:color w:val="000000"/>
          <w:sz w:val="24"/>
          <w:szCs w:val="24"/>
        </w:rPr>
        <w:instrText xml:space="preserve"> ADDIN ZOTERO_ITEM CSL_CITATION {"citationID":"x4iLZ1Ue","properties":{"formattedCitation":"(Turner and Ruscher, 1988)","plainCitation":"(Turner and Ruscher, 1988)","noteIndex":0},"citationItems":[{"id":63,"uris":["http://zotero.org/users/16803167/items/SNTU5I33"],"itemData":{"id":63,"type":"article-journal","abstract":"The objectives of this study were to determine how landscape patterns in Georgia, USA have changed through time and whether the spatial patterns varied by physiographic region. Historical aerial photography was used to analyze spatial patterns of land use from the 1930's to the 1980's. Land use patterns were quantified by: (1) mean number and size of patches; (2) fractal dimension of patches; (3) amount of edge between land uses; and (4) indices of diversity, dominance, and contagion. Forest cover increased in aerial extent and in mean patch size. The mean size of agricultural patches increased in the coastal plain and decreased in the mountains and piedmont. Edges between land uses decreased through time, indicating less dissection of the landscape. Fractal dimensions also decreased, indicating simpler patch shapes. Indices of diversity and dominance differed through time but not among regions; the contagion index differed among regions but not through time. A geographic trend of decreasing diversity and increasing dominance and contagion was observed from the mountains to the lower coastal plain. Landscape patterns exhibited the greatest changes in the piedmont region. Overall, the Georgia landscape has become less fragmented and more connected during the past 50 years. Changing patterns in the landscape may have implications for many ecological processes and resources.","container-title":"Landscape Ecology","DOI":"10.1007/BF00157696","ISSN":"1572-9761","issue":"4","journalAbbreviation":"Landscape Ecol","language":"en","page":"241-251","source":"Springer Link","title":"Changes in landscape patterns in Georgia, USA","volume":"1","author":[{"family":"Turner","given":"Monica Goigel"},{"family":"Ruscher","given":"C. Lynn"}],"issued":{"date-parts":[["1988",9,1]]}}}],"schema":"https://github.com/citation-style-language/schema/raw/master/csl-citation.json"} </w:instrText>
      </w:r>
      <w:r w:rsidR="00050F6E" w:rsidRPr="00571085">
        <w:rPr>
          <w:rFonts w:ascii="Times New Roman" w:eastAsia="Times New Roman" w:hAnsi="Times New Roman" w:cs="Times New Roman"/>
          <w:color w:val="000000"/>
          <w:sz w:val="24"/>
          <w:szCs w:val="24"/>
        </w:rPr>
        <w:fldChar w:fldCharType="separate"/>
      </w:r>
      <w:r w:rsidR="00050F6E" w:rsidRPr="00C95A56">
        <w:rPr>
          <w:rFonts w:ascii="Times New Roman" w:hAnsi="Times New Roman" w:cs="Times New Roman"/>
          <w:color w:val="87CEEB"/>
          <w:sz w:val="24"/>
          <w:szCs w:val="24"/>
          <w:u w:val="single"/>
        </w:rPr>
        <w:t>(Turner and Ruscher, 1988)</w:t>
      </w:r>
      <w:r w:rsidR="00050F6E"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w:t>
      </w:r>
      <w:r w:rsidR="009B66CA" w:rsidRPr="00571085">
        <w:rPr>
          <w:rFonts w:ascii="Times New Roman" w:eastAsia="Times New Roman" w:hAnsi="Times New Roman" w:cs="Times New Roman"/>
          <w:color w:val="000000"/>
          <w:sz w:val="24"/>
          <w:szCs w:val="24"/>
        </w:rPr>
        <w:t xml:space="preserve"> </w:t>
      </w:r>
      <w:r w:rsidR="009B66CA" w:rsidRPr="00571085">
        <w:rPr>
          <w:rFonts w:ascii="Times New Roman" w:eastAsia="Times New Roman" w:hAnsi="Times New Roman" w:cs="Times New Roman"/>
          <w:color w:val="000000"/>
          <w:sz w:val="24"/>
          <w:szCs w:val="24"/>
        </w:rPr>
        <w:t>Failure to adequately monitor these transformations can lead to haphazard urban expansion, inefficient infrastructure deployment, and heightened susceptibility to environmental hazards such as flooding, pollution, and resource depletion</w:t>
      </w:r>
      <w:r w:rsidR="009B66CA" w:rsidRPr="00571085">
        <w:rPr>
          <w:rFonts w:ascii="Times New Roman" w:eastAsia="Times New Roman" w:hAnsi="Times New Roman" w:cs="Times New Roman"/>
          <w:color w:val="000000"/>
          <w:sz w:val="24"/>
          <w:szCs w:val="24"/>
        </w:rPr>
        <w:t>.</w:t>
      </w:r>
      <w:r w:rsidR="00050F6E" w:rsidRPr="00571085">
        <w:rPr>
          <w:rFonts w:ascii="Times New Roman" w:eastAsia="Times New Roman" w:hAnsi="Times New Roman" w:cs="Times New Roman"/>
          <w:color w:val="000000"/>
          <w:sz w:val="24"/>
          <w:szCs w:val="24"/>
        </w:rPr>
        <w:t xml:space="preserve"> </w:t>
      </w:r>
    </w:p>
    <w:p w14:paraId="48A5CB12" w14:textId="6C199B6D" w:rsidR="005D4E93" w:rsidRPr="00571085" w:rsidRDefault="005D4E93"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Rapid urban expansion in Juba</w:t>
      </w:r>
    </w:p>
    <w:p w14:paraId="0908CA1E" w14:textId="7C4BA8C9" w:rsidR="00050F6E" w:rsidRPr="00571085" w:rsidRDefault="009B66CA" w:rsidP="00AE5E64">
      <w:pPr>
        <w:widowControl w:val="0"/>
        <w:pBdr>
          <w:top w:val="nil"/>
          <w:left w:val="nil"/>
          <w:bottom w:val="nil"/>
          <w:right w:val="nil"/>
          <w:between w:val="nil"/>
        </w:pBdr>
        <w:spacing w:before="27" w:line="360" w:lineRule="auto"/>
        <w:ind w:lef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Juba, the capital city of South Sudan, serves as a prime example of a rapidly urbanizing metropolis experiencing both densification within its core and sprawling expansion into peripheral areas. The surge in population within the city’s established boundaries has exerted immense pressure on public infrastructure and essential services, leading to a multitude of urban challenges, including overcrowding, traffic congestion, inadequate sanitation, and public health concerns. Simultaneously, the outward expansion of Juba has resulted in the transformation of surrounding agricultural land, forests, and wetlands into built-up areas, thereby significantly disrupting local ecosystems and biodiversity</w:t>
      </w:r>
      <w:r w:rsidRPr="00571085">
        <w:rPr>
          <w:rFonts w:ascii="Times New Roman" w:eastAsia="Times New Roman" w:hAnsi="Times New Roman" w:cs="Times New Roman"/>
          <w:color w:val="000000"/>
          <w:sz w:val="24"/>
          <w:szCs w:val="24"/>
        </w:rPr>
        <w:t xml:space="preserve"> </w:t>
      </w:r>
      <w:r w:rsidR="00981667" w:rsidRPr="00571085">
        <w:rPr>
          <w:rFonts w:ascii="Times New Roman" w:eastAsia="Times New Roman" w:hAnsi="Times New Roman" w:cs="Times New Roman"/>
          <w:color w:val="000000"/>
          <w:sz w:val="24"/>
          <w:szCs w:val="24"/>
        </w:rPr>
        <w:fldChar w:fldCharType="begin"/>
      </w:r>
      <w:r w:rsidR="00EE5313" w:rsidRPr="00571085">
        <w:rPr>
          <w:rFonts w:ascii="Times New Roman" w:eastAsia="Times New Roman" w:hAnsi="Times New Roman" w:cs="Times New Roman"/>
          <w:color w:val="000000"/>
          <w:sz w:val="24"/>
          <w:szCs w:val="24"/>
        </w:rPr>
        <w:instrText xml:space="preserve"> ADDIN ZOTERO_ITEM CSL_CITATION {"citationID":"aLCRXFyU","properties":{"formattedCitation":"(Gudo, Deng and Qureshi, 2022a)","plainCitation":"(Gudo, Deng and Qureshi, 2022a)","noteIndex":0},"citationItems":[{"id":"izuXWwAi/RDNNYU5M","uris":["http://zotero.org/users/16803167/items/CVJWRBRK"],"itemData":{"id":77,"type":"article-journal","abstract":"The Republic of South Sudan lacks adequate data to support decision-makers in planning. Therefore, a land use land cover (LULC) study was conducted in Jubek State for 17 years (2000–2017). It was divided into three time intervals, using remote sensing (RS), geographic information system (GIS), Landsat TM, Landsat ETM+, and Landsat 8 OLI approaches. A transition matrix for the total change was developed to generate spatiotemporal and quantitative indicators to analyze LULC spatiotemporal dynamics for better developmental decisions. Overall accuracy assessment results were 97.41% (kappa 0.96), 90.45% (kappa 0.85), and 91.5% (kappa 0.89) for years 2000, 2009, and 2017, respectively. Furthermore, quantitative and spatiotemporal results show that built up areas drastically increase, especially from 2009 to 2017. The most dominant class in the study area was grassland, 9929.9 km2 (54.22%), followed by forest, 5555 km2 (30.33%), barren land, 2497.3 km2 (13.64%), built up areas, 166.7 km2 (0.9%), farmland, 128.31 km2 (0.71%), and water bodies, 35.91 km2 (0.96%). The outcomes of the analysis show that since 1955 Jubek State (Juba) has been the preferable place for the local citizens’ settlement in South Sudan. Unfortunately, agricultural production was insufficient due to the limited cultivated area; on the other hand, the study area is rich in natural resources and could meet local people’s demand if a proper strategy such as LULC transformation is well implemented.","container-title":"Sustainability","DOI":"10.3390/su141710753","ISSN":"2071-1050","issue":"17","journalAbbreviation":"Sustainability","language":"en","license":"https://creativecommons.org/licenses/by/4.0/","page":"10753","source":"DOI.org (Crossref)","title":"Analysis of Spatiotemporal Dynamics of Land Use/Cover Changes in Jubek State, South Sudan","volume":"14","author":[{"family":"Gudo","given":"Adam Juma Abdallah"},{"family":"Deng","given":"Jinsong"},{"family":"Qureshi","given":"Asad Sarwar"}],"issued":{"date-parts":[["2022",8,29]]}}}],"schema":"https://github.com/citation-style-language/schema/raw/master/csl-citation.json"} </w:instrText>
      </w:r>
      <w:r w:rsidR="00981667" w:rsidRPr="00571085">
        <w:rPr>
          <w:rFonts w:ascii="Times New Roman" w:eastAsia="Times New Roman" w:hAnsi="Times New Roman" w:cs="Times New Roman"/>
          <w:color w:val="000000"/>
          <w:sz w:val="24"/>
          <w:szCs w:val="24"/>
        </w:rPr>
        <w:fldChar w:fldCharType="separate"/>
      </w:r>
      <w:r w:rsidR="00981667" w:rsidRPr="00C95A56">
        <w:rPr>
          <w:rFonts w:ascii="Times New Roman" w:hAnsi="Times New Roman" w:cs="Times New Roman"/>
          <w:color w:val="87CEEB"/>
          <w:sz w:val="24"/>
          <w:szCs w:val="24"/>
          <w:u w:val="single"/>
        </w:rPr>
        <w:t>(Gudo, Deng and Qureshi, 2022a)</w:t>
      </w:r>
      <w:r w:rsidR="00981667"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 xml:space="preserve">. </w:t>
      </w:r>
    </w:p>
    <w:p w14:paraId="7C942FFB" w14:textId="79A31E87" w:rsidR="00050F6E" w:rsidRPr="00571085" w:rsidRDefault="009B66CA"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One of the most pressing challenges in managing Juba’s urban growth is the lack of comprehensive and up-to-date spatial data on LULCC</w:t>
      </w:r>
      <w:r w:rsidR="00050F6E" w:rsidRPr="00571085">
        <w:rPr>
          <w:rFonts w:ascii="Times New Roman" w:eastAsia="Times New Roman" w:hAnsi="Times New Roman" w:cs="Times New Roman"/>
          <w:color w:val="000000"/>
          <w:sz w:val="24"/>
          <w:szCs w:val="24"/>
        </w:rPr>
        <w:t xml:space="preserve"> </w:t>
      </w:r>
      <w:r w:rsidR="00050F6E" w:rsidRPr="00571085">
        <w:rPr>
          <w:rFonts w:ascii="Times New Roman" w:eastAsia="Times New Roman" w:hAnsi="Times New Roman" w:cs="Times New Roman"/>
          <w:color w:val="000000"/>
          <w:sz w:val="24"/>
          <w:szCs w:val="24"/>
        </w:rPr>
        <w:fldChar w:fldCharType="begin"/>
      </w:r>
      <w:r w:rsidR="00981667" w:rsidRPr="00571085">
        <w:rPr>
          <w:rFonts w:ascii="Times New Roman" w:eastAsia="Times New Roman" w:hAnsi="Times New Roman" w:cs="Times New Roman"/>
          <w:color w:val="000000"/>
          <w:sz w:val="24"/>
          <w:szCs w:val="24"/>
        </w:rPr>
        <w:instrText xml:space="preserve"> ADDIN ZOTERO_ITEM CSL_CITATION {"citationID":"259xDdDC","properties":{"formattedCitation":"(Gudo, Deng and Qureshi, 2022b; UN-HABITAT {\\i{}et al.}, 2023)","plainCitation":"(Gudo, Deng and Qureshi, 2022b; UN-HABITAT et al., 2023)","noteIndex":0},"citationItems":[{"id":73,"uris":["http://zotero.org/users/16803167/items/9E273LWA"],"itemData":{"id":73,"type":"article-journal","abstract":"The Republic of South Sudan lacks adequate data to support decision-makers in planning. Therefore, a land use land cover (LULC) study was conducted in Jubek State for 17 years (2000–2017). It was divided into three time intervals, using remote sensing (RS), geographic information system (GIS), Landsat TM, Landsat ETM+, and Landsat 8 OLI approaches. A transition matrix for the total change was developed to generate spatiotemporal and quantitative indicators to analyze LULC spatiotemporal dynamics for better developmental decisions. Overall accuracy assessment results were 97.41% (kappa 0.96), 90.45% (kappa 0.85), and 91.5% (kappa 0.89) for years 2000, 2009, and 2017, respectively. Furthermore, quantitative and spatiotemporal results show that built up areas drastically increase, especially from 2009 to 2017. The most dominant class in the study area was grassland, 9929.9 km2 (54.22%), followed by forest, 5555 km2 (30.33%), barren land, 2497.3 km2 (13.64%), built up areas, 166.7 km2 (0.9%), farmland, 128.31 km2 (0.71%), and water bodies, 35.91 km2 (0.96%). The outcomes of the analysis show that since 1955 Jubek State (Juba) has been the preferable place for the local citizens’ settlement in South Sudan. Unfortunately, agricultural production was insufficient due to the limited cultivated area; on the other hand, the study area is rich in natural resources and could meet local people’s demand if a proper strategy such as LULC transformation is well implemented.","container-title":"Sustainability","DOI":"10.3390/su141710753","ISSN":"2071-1050","issue":"17","journalAbbreviation":"Sustainability","language":"en","license":"https://creativecommons.org/licenses/by/4.0/","page":"10753","source":"DOI.org (Crossref)","title":"Analysis of Spatiotemporal Dynamics of Land Use/Cover Changes in Jubek State, South Sudan","volume":"14","author":[{"family":"Gudo","given":"Adam Juma Abdallah"},{"family":"Deng","given":"Jinsong"},{"family":"Qureshi","given":"Asad Sarwar"}],"issued":{"date-parts":[["2022",8,29]]}}},{"id":46,"uris":["http://zotero.org/users/16803167/items/FCK9LEVF"],"itemData":{"id":46,"type":"webpage","title":"Juba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050F6E" w:rsidRPr="00571085">
        <w:rPr>
          <w:rFonts w:ascii="Times New Roman" w:eastAsia="Times New Roman" w:hAnsi="Times New Roman" w:cs="Times New Roman"/>
          <w:color w:val="000000"/>
          <w:sz w:val="24"/>
          <w:szCs w:val="24"/>
        </w:rPr>
        <w:fldChar w:fldCharType="separate"/>
      </w:r>
      <w:r w:rsidR="00981667" w:rsidRPr="00C95A56">
        <w:rPr>
          <w:rFonts w:ascii="Times New Roman" w:hAnsi="Times New Roman" w:cs="Times New Roman"/>
          <w:color w:val="87CEEB"/>
          <w:sz w:val="24"/>
          <w:szCs w:val="24"/>
          <w:u w:val="single"/>
        </w:rPr>
        <w:t xml:space="preserve">(Gudo, Deng and Qureshi, 2022b; UN-HABITAT </w:t>
      </w:r>
      <w:r w:rsidR="00981667" w:rsidRPr="00C95A56">
        <w:rPr>
          <w:rFonts w:ascii="Times New Roman" w:hAnsi="Times New Roman" w:cs="Times New Roman"/>
          <w:i/>
          <w:iCs/>
          <w:color w:val="87CEEB"/>
          <w:sz w:val="24"/>
          <w:szCs w:val="24"/>
          <w:u w:val="single"/>
        </w:rPr>
        <w:t>et al.</w:t>
      </w:r>
      <w:r w:rsidR="00981667" w:rsidRPr="00C95A56">
        <w:rPr>
          <w:rFonts w:ascii="Times New Roman" w:hAnsi="Times New Roman" w:cs="Times New Roman"/>
          <w:color w:val="87CEEB"/>
          <w:sz w:val="24"/>
          <w:szCs w:val="24"/>
          <w:u w:val="single"/>
        </w:rPr>
        <w:t>, 2023)</w:t>
      </w:r>
      <w:r w:rsidR="00050F6E"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 xml:space="preserve">The city's rapid and largely unregulated expansion, coupled with insufficient monitoring systems, presents substantial difficulties for urban planners and policymakers attempting to anticipate and address the implications of land use changes on infrastructure development and environmental sustainability. Consequently, large swathes of agricultural and natural lands are </w:t>
      </w:r>
      <w:r w:rsidRPr="00571085">
        <w:rPr>
          <w:rFonts w:ascii="Times New Roman" w:eastAsia="Times New Roman" w:hAnsi="Times New Roman" w:cs="Times New Roman"/>
          <w:color w:val="000000"/>
          <w:sz w:val="24"/>
          <w:szCs w:val="24"/>
        </w:rPr>
        <w:lastRenderedPageBreak/>
        <w:t>being converted into urban spaces, leading to altered hydrological patterns, exacerbated environmental degradation, and increased pollution levels</w:t>
      </w:r>
      <w:r w:rsidR="00050F6E" w:rsidRPr="00571085">
        <w:rPr>
          <w:rFonts w:ascii="Times New Roman" w:eastAsia="Times New Roman" w:hAnsi="Times New Roman" w:cs="Times New Roman"/>
          <w:color w:val="000000"/>
          <w:sz w:val="24"/>
          <w:szCs w:val="24"/>
        </w:rPr>
        <w:fldChar w:fldCharType="begin"/>
      </w:r>
      <w:r w:rsidR="00981667" w:rsidRPr="00571085">
        <w:rPr>
          <w:rFonts w:ascii="Times New Roman" w:eastAsia="Times New Roman" w:hAnsi="Times New Roman" w:cs="Times New Roman"/>
          <w:color w:val="000000"/>
          <w:sz w:val="24"/>
          <w:szCs w:val="24"/>
        </w:rPr>
        <w:instrText xml:space="preserve"> ADDIN ZOTERO_ITEM CSL_CITATION {"citationID":"joAXHAaa","properties":{"formattedCitation":"(Gudo, Deng and Qureshi, 2022b)","plainCitation":"(Gudo, Deng and Qureshi, 2022b)","noteIndex":0},"citationItems":[{"id":73,"uris":["http://zotero.org/users/16803167/items/9E273LWA"],"itemData":{"id":73,"type":"article-journal","abstract":"The Republic of South Sudan lacks adequate data to support decision-makers in planning. Therefore, a land use land cover (LULC) study was conducted in Jubek State for 17 years (2000–2017). It was divided into three time intervals, using remote sensing (RS), geographic information system (GIS), Landsat TM, Landsat ETM+, and Landsat 8 OLI approaches. A transition matrix for the total change was developed to generate spatiotemporal and quantitative indicators to analyze LULC spatiotemporal dynamics for better developmental decisions. Overall accuracy assessment results were 97.41% (kappa 0.96), 90.45% (kappa 0.85), and 91.5% (kappa 0.89) for years 2000, 2009, and 2017, respectively. Furthermore, quantitative and spatiotemporal results show that built up areas drastically increase, especially from 2009 to 2017. The most dominant class in the study area was grassland, 9929.9 km2 (54.22%), followed by forest, 5555 km2 (30.33%), barren land, 2497.3 km2 (13.64%), built up areas, 166.7 km2 (0.9%), farmland, 128.31 km2 (0.71%), and water bodies, 35.91 km2 (0.96%). The outcomes of the analysis show that since 1955 Jubek State (Juba) has been the preferable place for the local citizens’ settlement in South Sudan. Unfortunately, agricultural production was insufficient due to the limited cultivated area; on the other hand, the study area is rich in natural resources and could meet local people’s demand if a proper strategy such as LULC transformation is well implemented.","container-title":"Sustainability","DOI":"10.3390/su141710753","ISSN":"2071-1050","issue":"17","journalAbbreviation":"Sustainability","language":"en","license":"https://creativecommons.org/licenses/by/4.0/","page":"10753","source":"DOI.org (Crossref)","title":"Analysis of Spatiotemporal Dynamics of Land Use/Cover Changes in Jubek State, South Sudan","volume":"14","author":[{"family":"Gudo","given":"Adam Juma Abdallah"},{"family":"Deng","given":"Jinsong"},{"family":"Qureshi","given":"Asad Sarwar"}],"issued":{"date-parts":[["2022",8,29]]}}}],"schema":"https://github.com/citation-style-language/schema/raw/master/csl-citation.json"} </w:instrText>
      </w:r>
      <w:r w:rsidR="00050F6E" w:rsidRPr="00571085">
        <w:rPr>
          <w:rFonts w:ascii="Times New Roman" w:eastAsia="Times New Roman" w:hAnsi="Times New Roman" w:cs="Times New Roman"/>
          <w:color w:val="000000"/>
          <w:sz w:val="24"/>
          <w:szCs w:val="24"/>
        </w:rPr>
        <w:fldChar w:fldCharType="separate"/>
      </w:r>
      <w:r w:rsidR="00981667" w:rsidRPr="00C95A56">
        <w:rPr>
          <w:rFonts w:ascii="Times New Roman" w:hAnsi="Times New Roman" w:cs="Times New Roman"/>
          <w:color w:val="87CEEB"/>
          <w:sz w:val="24"/>
          <w:szCs w:val="24"/>
          <w:u w:val="single"/>
        </w:rPr>
        <w:t>(Gudo, Deng and Qureshi, 2022b)</w:t>
      </w:r>
      <w:r w:rsidR="00050F6E"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 xml:space="preserve">. </w:t>
      </w:r>
    </w:p>
    <w:p w14:paraId="3A9C6DFF" w14:textId="576201B8" w:rsidR="005D4E93" w:rsidRPr="00571085" w:rsidRDefault="005D4E93"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Challenges in urban monitoring and sustainable development</w:t>
      </w:r>
    </w:p>
    <w:p w14:paraId="196B8B07" w14:textId="314CBD9F" w:rsidR="00050F6E" w:rsidRPr="00571085" w:rsidRDefault="009B66CA"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Traditional methods of monitoring urban growth, such as manual land surveys and historical satellite imagery analysis, often fall short in capturing the complexities associated with rapid urbanization, particularly in cities characterized by informal settlements and unregulated construction. The limitations inherent in these conventional approaches underscore the growing necessity for more sophisticated change detection methodologies and geospatial analytical techniques to effectively map and predict urban expansion patterns</w:t>
      </w:r>
      <w:r w:rsidR="00520029" w:rsidRPr="00571085">
        <w:rPr>
          <w:rFonts w:ascii="Times New Roman" w:eastAsia="Times New Roman" w:hAnsi="Times New Roman" w:cs="Times New Roman"/>
          <w:color w:val="000000"/>
          <w:sz w:val="24"/>
          <w:szCs w:val="24"/>
        </w:rPr>
        <w:t xml:space="preserve"> </w:t>
      </w:r>
      <w:r w:rsidR="00050F6E" w:rsidRPr="00571085">
        <w:rPr>
          <w:rFonts w:ascii="Times New Roman" w:eastAsia="Times New Roman" w:hAnsi="Times New Roman" w:cs="Times New Roman"/>
          <w:color w:val="000000"/>
          <w:sz w:val="24"/>
          <w:szCs w:val="24"/>
        </w:rPr>
        <w:fldChar w:fldCharType="begin"/>
      </w:r>
      <w:r w:rsidR="00050F6E" w:rsidRPr="00571085">
        <w:rPr>
          <w:rFonts w:ascii="Times New Roman" w:eastAsia="Times New Roman" w:hAnsi="Times New Roman" w:cs="Times New Roman"/>
          <w:color w:val="000000"/>
          <w:sz w:val="24"/>
          <w:szCs w:val="24"/>
        </w:rPr>
        <w:instrText xml:space="preserve"> ADDIN ZOTERO_ITEM CSL_CITATION {"citationID":"S6whIIOy","properties":{"formattedCitation":"(Ishtiaque, Shrestha and Chhetri, 2017; Khawaldah, Farhan and Alzboun, 2020)","plainCitation":"(Ishtiaque, Shrestha and Chhetri, 2017; Khawaldah, Farhan and Alzboun, 2020)","noteIndex":0},"citationItems":[{"id":69,"uris":["http://zotero.org/users/16803167/items/CMFWNSKU"],"itemData":{"id":69,"type":"article-journal","abstract":"The Kathmandu Valley of Nepal epitomizes the growing urbanization trend spreading across the Himalayan foothills. This metropolitan valley has experienced a significant transformation of its landscapes in the last four decades resulting in substantial land use and land cover (LULC) change; however, no major systematic analysis of the urbanization trend and LULC has been conducted on this valley since 2000. When considering the importance of using LULC change as a window to study the broader changes in socio-ecological systems of this valley, our study first detected LULC change trajectories of this valley using four Landsat images of the year 1989, 1999, 2009, and 2016, and then analyzed the detected change in the light of a set of proximate causes and factors driving those changes. A pixel-based hybrid classification (unsupervised followed by supervised) approach was employed to classify these images into five LULC categories and analyze the LULC trajectories detected from them. Our results show that urban area expanded up to 412% in last three decades and the most of this expansion occurred with the conversions of 31% agricultural land. The majority of the urban expansion happened during 1989–2009, and it is still growing along the major roads in a concentric pattern, significantly altering the cityscape of the valley. The centrality feature of Kathmandu valley and the massive surge in rural-to-urban migration are identified as the primary proximate causes of the fast expansion of built-up areas and rapid conversions of agricultural areas.","container-title":"Environments","DOI":"10.3390/environments4040072","ISSN":"2076-3298","issue":"4","journalAbbreviation":"Environments","language":"en","license":"https://creativecommons.org/licenses/by/4.0/","page":"72","source":"DOI.org (Crossref)","title":"Rapid Urban Growth in the Kathmandu Valley, Nepal: Monitoring Land Use Land Cover Dynamics of a Himalayan City with Landsat Imageries","title-short":"Rapid Urban Growth in the Kathmandu Valley, Nepal","volume":"4","author":[{"family":"Ishtiaque","given":"Asif"},{"family":"Shrestha","given":"Milan"},{"family":"Chhetri","given":"Netra"}],"issued":{"date-parts":[["2017",10,8]]}}},{"id":58,"uris":["http://zotero.org/users/16803167/items/VHRA8JUR"],"itemData":{"id":58,"type":"article-journal","abstract":"This study analyzes the characteristics of land use/land cover change in Jordan's Irbid governorate, 1984-2018, and predicts future land use/land cover for 2030 and 2050 using a cellular automata-Markov model. The results inform planners and decision makers of past and current spatial dynamics of land use/land cover change and predicted urban expansion, for a better understanding and successful planning. Satellite images of Landsat 5-thematic mapper and Landsat 8 operational land imager for the years 1984, 1994, 2004, 2015 and 2018 were used to explore the characteristics of land use/land cover for this study. The results indicate that the built-up area expanded by 386.9% during the study period and predict further expansion by 19.5% and 64.6% from 2015 to 2030 and 2050 respectively. The areas around the central and eastern parts of the governorate are predicted to have significant expansion of the built-up area by these dates, which should be taken into consideration in future plans. Land use/land cover change and urban expansion in Irbid are primarily caused by the high rate of population growth rate as a direct result of receiving large numbers of immigrants from Syria and Palestine in addition to the natural increase of population and other socioeconomic changes.","container-title":"Global Journal of Environmental Science and Management","DOI":"10.22034/gjesm.2020.02.07","journalAbbreviation":"Global Journal of Environmental Science and Management","page":"215-232","source":"ResearchGate","title":"Simulation and prediction of land use and land cover change using GIS, remote sensing and CA-Markov model","volume":"6","author":[{"family":"Khawaldah","given":"Hamzah"},{"family":"Farhan","given":"Ibrahim"},{"family":"Alzboun","given":"Nidal"}],"issued":{"date-parts":[["2020",2,1]]}}}],"schema":"https://github.com/citation-style-language/schema/raw/master/csl-citation.json"} </w:instrText>
      </w:r>
      <w:r w:rsidR="00050F6E" w:rsidRPr="00571085">
        <w:rPr>
          <w:rFonts w:ascii="Times New Roman" w:eastAsia="Times New Roman" w:hAnsi="Times New Roman" w:cs="Times New Roman"/>
          <w:color w:val="000000"/>
          <w:sz w:val="24"/>
          <w:szCs w:val="24"/>
        </w:rPr>
        <w:fldChar w:fldCharType="separate"/>
      </w:r>
      <w:r w:rsidR="00050F6E" w:rsidRPr="00C95A56">
        <w:rPr>
          <w:rFonts w:ascii="Times New Roman" w:hAnsi="Times New Roman" w:cs="Times New Roman"/>
          <w:color w:val="87CEEB"/>
          <w:sz w:val="24"/>
          <w:szCs w:val="24"/>
          <w:u w:val="single"/>
        </w:rPr>
        <w:t>(</w:t>
      </w:r>
      <w:proofErr w:type="spellStart"/>
      <w:r w:rsidR="00050F6E" w:rsidRPr="00C95A56">
        <w:rPr>
          <w:rFonts w:ascii="Times New Roman" w:hAnsi="Times New Roman" w:cs="Times New Roman"/>
          <w:color w:val="87CEEB"/>
          <w:sz w:val="24"/>
          <w:szCs w:val="24"/>
          <w:u w:val="single"/>
        </w:rPr>
        <w:t>Ishtiaque</w:t>
      </w:r>
      <w:proofErr w:type="spellEnd"/>
      <w:r w:rsidR="00050F6E" w:rsidRPr="00C95A56">
        <w:rPr>
          <w:rFonts w:ascii="Times New Roman" w:hAnsi="Times New Roman" w:cs="Times New Roman"/>
          <w:color w:val="87CEEB"/>
          <w:sz w:val="24"/>
          <w:szCs w:val="24"/>
          <w:u w:val="single"/>
        </w:rPr>
        <w:t xml:space="preserve">, Shrestha and Chhetri, 2017; </w:t>
      </w:r>
      <w:proofErr w:type="spellStart"/>
      <w:r w:rsidR="00050F6E" w:rsidRPr="00C95A56">
        <w:rPr>
          <w:rFonts w:ascii="Times New Roman" w:hAnsi="Times New Roman" w:cs="Times New Roman"/>
          <w:color w:val="87CEEB"/>
          <w:sz w:val="24"/>
          <w:szCs w:val="24"/>
          <w:u w:val="single"/>
        </w:rPr>
        <w:t>Khawaldah</w:t>
      </w:r>
      <w:proofErr w:type="spellEnd"/>
      <w:r w:rsidR="00050F6E" w:rsidRPr="00C95A56">
        <w:rPr>
          <w:rFonts w:ascii="Times New Roman" w:hAnsi="Times New Roman" w:cs="Times New Roman"/>
          <w:color w:val="87CEEB"/>
          <w:sz w:val="24"/>
          <w:szCs w:val="24"/>
          <w:u w:val="single"/>
        </w:rPr>
        <w:t xml:space="preserve">, Farhan and </w:t>
      </w:r>
      <w:proofErr w:type="spellStart"/>
      <w:r w:rsidR="00050F6E" w:rsidRPr="00C95A56">
        <w:rPr>
          <w:rFonts w:ascii="Times New Roman" w:hAnsi="Times New Roman" w:cs="Times New Roman"/>
          <w:color w:val="87CEEB"/>
          <w:sz w:val="24"/>
          <w:szCs w:val="24"/>
          <w:u w:val="single"/>
        </w:rPr>
        <w:t>Alzboun</w:t>
      </w:r>
      <w:proofErr w:type="spellEnd"/>
      <w:r w:rsidR="00050F6E" w:rsidRPr="00C95A56">
        <w:rPr>
          <w:rFonts w:ascii="Times New Roman" w:hAnsi="Times New Roman" w:cs="Times New Roman"/>
          <w:color w:val="87CEEB"/>
          <w:sz w:val="24"/>
          <w:szCs w:val="24"/>
          <w:u w:val="single"/>
        </w:rPr>
        <w:t>, 2020)</w:t>
      </w:r>
      <w:r w:rsidR="00050F6E"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 xml:space="preserve"> . </w:t>
      </w:r>
    </w:p>
    <w:p w14:paraId="7EBF2F23" w14:textId="22CB88DC" w:rsidR="009B66CA" w:rsidRPr="00571085" w:rsidRDefault="009B66CA"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Emerging technologies, such as machine learning, remote sensing, and Geographic Information Systems (GIS), have proven to be invaluable tools for urban planners in their efforts to assess real-time land cover changes, detect informal settlements, and identify infrastructural deficits. The integration of these advanced analytical techniques can significantly enhance the efficiency of land-use planning, risk assessment, and environmental management, ensuring that urban expansion is conducted in a manner that is both sustainable and adaptive to future challenges.</w:t>
      </w:r>
    </w:p>
    <w:p w14:paraId="2F31E8E0" w14:textId="17687AE8" w:rsidR="005D4E93" w:rsidRPr="00571085" w:rsidRDefault="005D4E93"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Environmental and social-economic challenges</w:t>
      </w:r>
    </w:p>
    <w:p w14:paraId="2E468639" w14:textId="5B6A9463" w:rsidR="009B66CA" w:rsidRPr="00571085" w:rsidRDefault="009B66CA"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The unregulated and unchecked expansion of urban areas presents a host of human and ecological challenges. On the human side, the continuous influx of people into urban environments necessitates the provision of adequate housing, efficient transportation networks, and robust social services, all of which must evolve in tandem with growing demand. Failure to adequately address these needs can precipitate housing shortages, inefficient public transportation systems, and widening socio-economic disparities.</w:t>
      </w:r>
    </w:p>
    <w:p w14:paraId="0CC0F2A6" w14:textId="11AED1E3" w:rsidR="009132D9" w:rsidRPr="00571085" w:rsidRDefault="009B66CA" w:rsidP="00AE5E64">
      <w:pPr>
        <w:widowControl w:val="0"/>
        <w:pBdr>
          <w:top w:val="nil"/>
          <w:left w:val="nil"/>
          <w:bottom w:val="nil"/>
          <w:right w:val="nil"/>
          <w:between w:val="nil"/>
        </w:pBdr>
        <w:spacing w:before="27" w:line="360" w:lineRule="auto"/>
        <w:ind w:lef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From an environmental perspective, rapid urbanization results in the depletion of natural resources, habitat loss, deforestation, increased surface temperatures, and alterations in local climate patterns. Additionally, the large-scale conversion of natural landscapes into impervious urban surfaces has far-reaching consequences for hydrological systems, disrupting water cycles, exacerbating flood risks, and contributing to groundwater depletion. These ecological disruptions pose serious long-term sustainability challenges, emphasizing the urgency of adopting urban planning strategies that strike a balance between developmental needs and environmental conservation</w:t>
      </w:r>
      <w:r w:rsidR="001E2E32" w:rsidRPr="00571085">
        <w:rPr>
          <w:rFonts w:ascii="Times New Roman" w:eastAsia="Times New Roman" w:hAnsi="Times New Roman" w:cs="Times New Roman"/>
          <w:color w:val="000000"/>
          <w:sz w:val="24"/>
          <w:szCs w:val="24"/>
        </w:rPr>
        <w:fldChar w:fldCharType="begin"/>
      </w:r>
      <w:r w:rsidR="00EE5313" w:rsidRPr="00571085">
        <w:rPr>
          <w:rFonts w:ascii="Times New Roman" w:eastAsia="Times New Roman" w:hAnsi="Times New Roman" w:cs="Times New Roman"/>
          <w:color w:val="000000"/>
          <w:sz w:val="24"/>
          <w:szCs w:val="24"/>
        </w:rPr>
        <w:instrText xml:space="preserve"> ADDIN ZOTERO_ITEM CSL_CITATION {"citationID":"fwWbO2aK","properties":{"formattedCitation":"(Munthali and Murayama, 2011; Sexton {\\i{}et al.}, 2013; Munthali {\\i{}et al.}, 2019; Khawaldah, Farhan and Alzboun, 2020)","plainCitation":"(Munthali and Murayama, 2011; Sexton et al., 2013; Munthali et al., 2019; Khawaldah, Farhan and Alzboun, 2020)","dontUpdate":true,"noteIndex":0},"citationItems":[{"id":52,"uris":["http://zotero.org/users/16803167/items/MXW2J2D3"],"itemData":{"id":52,"type":"article-journal","abstract":"Natural ecological systems continue to be under severe threat from human influence in Malawi and Dzalanyama forest reserve in particular. To assist the relevant stakeholders understand the full extent of the problem and push for a reversal of the trend, a scenario analysis of the near-past, present and near-future deforestation levels was presented using fuzzy classification, the basic overlay and Markov chain analysis techniques. In trying to draw awareness by quantifying the gravity of the situation, the analysis has established that not only are the deforestation magnitudes worrisome but also that the trends will continue in the foreseeable future. The analysis also hinted on the complex factors driving the land cover changes. While acknowledging the roles played by population growth and poverty on deforestation, the influence of the changing economic opportunities triggered by social, political and infrastructural changes impacting on the rural population surrounding the forest reserve cannot be overemphasized. Upon deriving the direction and magnitude of change it is therefore only prudent that measures to address the problem should invoke and build on an all inclusive approach towards provision of a sustainable solution.","collection-title":"International Conference: Spatial Thinking and Geographic Information Sciences 2011","container-title":"Procedia - Social and Behavioral Sciences","DOI":"10.1016/j.sbspro.2011.07.035","ISSN":"1877-0428","journalAbbreviation":"Procedia - Social and Behavioral Sciences","page":"203-211","source":"ScienceDirect","title":"Land use/cover change detection and analysis for Dzalanyama forest reserve, Lilongwe, Malawi","volume":"21","author":[{"family":"Munthali","given":"Kondwani G."},{"family":"Murayama","given":"Yuji"}],"issued":{"date-parts":[["2011",1,1]]}}},{"id":50,"uris":["http://zotero.org/users/16803167/items/27TMG4WA"],"itemData":{"id":50,"type":"article-journal","abstract":"Cities and surrounding suburbs are Earth's fastest growing land use. Urban impervious surfaces affect hydrological and energy balances, as well as biological composition and functioning of ecosystems. Although datasets have been produced documenting urban growth at multiple time periods in coarse intervals, there remains an unmet need for observations spanning multiple decades at high frequency. We have developed an empirical method for retrieving annual, long-term continuous fields of impervious surface cover from the Landsat archive and applied it to the Washington, D.C.–Baltimore, MD megalopolis from 1984 to 2010. Fitting and applying a single regression model over time, the method relies on a multi-annual training sample of high-resolution impervious cover layers tied to coincident intra- and inter-annual Landsat image composites. These predictor images are composited and normalized to maximize discrimination of impervious surfaces from intermittently bare agricultural fields and minimize inter-annual variation due to phenology, solar illumination, and atmospheric noise. Excluding the year 2009 due to lack of data availability resulting from nearly continual winter snow cover, the resulting dataset is a continuous-field representation of impervious surface cover at 30-m horizontal and annual temporal resolution from 1984 to 2010. Average error was approximately ±6% cover, with outliers due to shadows from large buildings in winter images. The region's impervious surface cover grew from 881 to 1176±11km2 over the 27-year span—an average annual gain of approximately 11±2km2/year—with great variability among local municipalities in terms of rate of development. Patterns including intensification (i.e., “infill”) and expansion (i.e., exurban or “sprawl”) of development, as well as fragmentation and isolation of natural areas were clearly visible in the data at various places and times. Neither impervious surface loss nor deceleration of growth were observed in any of the cities or counties over the study span. These findings show that empirical retrieval of impervious coverage at the spatial and temporal scale of the Landsat archive is possible using dense time-stacks of calibrated Landsat images, and that long-term records such as this can provide new opportunities for analyzing land-use patterns and their underlying causes to improve understanding of socio-economic processes and human–environment interactions.","container-title":"Remote Sensing of Environment","DOI":"10.1016/j.rse.2012.10.025","ISSN":"0034-4257","journalAbbreviation":"Remote Sensing of Environment","page":"42-53","source":"ScienceDirect","title":"Urban growth of the Washington, D.C.–Baltimore, MD metropolitan region from 1984 to 2010 by annual, Landsat-based estimates of impervious cover","volume":"129","author":[{"family":"Sexton","given":"Joseph O."},{"family":"Song","given":"Xiao-Peng"},{"family":"Huang","given":"Chengquan"},{"family":"Channan","given":"Saurabh"},{"family":"Baker","given":"Matthew E."},{"family":"Townshend","given":"John R."}],"issued":{"date-parts":[["2013",2,15]]}}},{"id":61,"uris":["http://zotero.org/users/16803167/items/LENFEIDR"],"itemData":{"id":61,"type":"article-journal","abstract":"Research on Land Use and Land Cover (LULC) dynamics, and an understanding of the drivers responsible for these changes, are very crucial for modelling future LULC changes and the formulation of sustainable and robust land-management strategies and policy decisions. This study adopted a mixed method consisting of remote sensing and Geographic Information System (GIS)-based analysis, focus-group discussions, key informant interviews, and semi-structured interviews covering 586 households to assess LULC dynamics and associated LULC change drivers across the Dedza district, a central region of Malawi. GIS-based analysis of remotely sensed data revealed that barren land and built-up areas extensively increased at the expense of agricultural and forest land between 1991 and 2015. Analysis of the household-survey results revealed that the perceptions of respondents tended to validate the observed patterns during the remotely sensed data-analysis phase of the research, with 57.3% (n = 586) of the respondents reporting a decline in agricultural land use, and 87.4% (n = 586) observing a decline in forest areas in the district. Furthermore, firewood collection, charcoal production, population growth, and poverty were identified as the key drivers of these observed LULC changes in the study area. Undoubtedly, education has emerged as a significant factor influencing respondents’ perceptions of these drivers of LULC changes. However, unsustainable LULC changes observed in this study have negative implications on rural livelihoods and natural-resource management. Owing to the critical role that LULC dynamics play to rural livelihoods and the ecosystem, this study recommends further research to establish the consequences of these changes. The present study and future research will support decision makers and planners in the design of tenable and coherent land-management strategies.","container-title":"Sustainability","DOI":"10.3390/su11030832","ISSN":"2071-1050","issue":"3","language":"en","license":"http://creativecommons.org/licenses/by/3.0/","note":"number: 3\npublisher: Multidisciplinary Digital Publishing Institute","page":"832","source":"www.mdpi.com","title":"Local Perception of Drivers of Land-Use and Land-Cover Change Dynamics across Dedza District, Central Malawi Region","volume":"11","author":[{"family":"Munthali","given":"Maggie G."},{"family":"Davis","given":"Nerhene"},{"family":"Adeola","given":"Abiodun M."},{"family":"Botai","given":"Joel O."},{"family":"Kamwi","given":"Jonathan M."},{"family":"Chisale","given":"Harold L. W."},{"family":"Orimoogunje","given":"Oluwagbenga O. I."}],"issued":{"date-parts":[["2019",1]]}}},{"id":58,"uris":["http://zotero.org/users/16803167/items/VHRA8JUR"],"itemData":{"id":58,"type":"article-journal","abstract":"This study analyzes the characteristics of land use/land cover change in Jordan's Irbid governorate, 1984-2018, and predicts future land use/land cover for 2030 and 2050 using a cellular automata-Markov model. The results inform planners and decision makers of past and current spatial dynamics of land use/land cover change and predicted urban expansion, for a better understanding and successful planning. Satellite images of Landsat 5-thematic mapper and Landsat 8 operational land imager for the years 1984, 1994, 2004, 2015 and 2018 were used to explore the characteristics of land use/land cover for this study. The results indicate that the built-up area expanded by 386.9% during the study period and predict further expansion by 19.5% and 64.6% from 2015 to 2030 and 2050 respectively. The areas around the central and eastern parts of the governorate are predicted to have significant expansion of the built-up area by these dates, which should be taken into consideration in future plans. Land use/land cover change and urban expansion in Irbid are primarily caused by the high rate of population growth rate as a direct result of receiving large numbers of immigrants from Syria and Palestine in addition to the natural increase of population and other socioeconomic changes.","container-title":"Global Journal of Environmental Science and Management","DOI":"10.22034/gjesm.2020.02.07","journalAbbreviation":"Global Journal of Environmental Science and Management","page":"215-232","source":"ResearchGate","title":"Simulation and prediction of land use and land cover change using GIS, remote sensing and CA-Markov model","volume":"6","author":[{"family":"Khawaldah","given":"Hamzah"},{"family":"Farhan","given":"Ibrahim"},{"family":"Alzboun","given":"Nidal"}],"issued":{"date-parts":[["2020",2,1]]}}}],"schema":"https://github.com/citation-style-language/schema/raw/master/csl-citation.json"} </w:instrText>
      </w:r>
      <w:r w:rsidR="001E2E32" w:rsidRPr="00571085">
        <w:rPr>
          <w:rFonts w:ascii="Times New Roman" w:eastAsia="Times New Roman" w:hAnsi="Times New Roman" w:cs="Times New Roman"/>
          <w:color w:val="000000"/>
          <w:sz w:val="24"/>
          <w:szCs w:val="24"/>
        </w:rPr>
        <w:fldChar w:fldCharType="separate"/>
      </w:r>
      <w:r w:rsidRPr="00C95A56">
        <w:rPr>
          <w:rFonts w:ascii="Times New Roman" w:eastAsia="Times New Roman" w:hAnsi="Times New Roman" w:cs="Times New Roman"/>
          <w:color w:val="87CEEB"/>
          <w:sz w:val="24"/>
          <w:szCs w:val="24"/>
          <w:u w:val="single"/>
        </w:rPr>
        <w:t xml:space="preserve"> </w:t>
      </w:r>
      <w:r w:rsidRPr="00C95A56">
        <w:rPr>
          <w:rFonts w:ascii="Times New Roman" w:hAnsi="Times New Roman" w:cs="Times New Roman"/>
          <w:color w:val="87CEEB"/>
          <w:sz w:val="24"/>
          <w:szCs w:val="24"/>
          <w:u w:val="single"/>
        </w:rPr>
        <w:t xml:space="preserve">(Munthali and Murayama, 2011; Sexton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xml:space="preserve">, 2013; Munthali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xml:space="preserve">, 2019; </w:t>
      </w:r>
      <w:proofErr w:type="spellStart"/>
      <w:r w:rsidRPr="00C95A56">
        <w:rPr>
          <w:rFonts w:ascii="Times New Roman" w:hAnsi="Times New Roman" w:cs="Times New Roman"/>
          <w:color w:val="87CEEB"/>
          <w:sz w:val="24"/>
          <w:szCs w:val="24"/>
          <w:u w:val="single"/>
        </w:rPr>
        <w:t>Khawaldah</w:t>
      </w:r>
      <w:proofErr w:type="spellEnd"/>
      <w:r w:rsidRPr="00C95A56">
        <w:rPr>
          <w:rFonts w:ascii="Times New Roman" w:hAnsi="Times New Roman" w:cs="Times New Roman"/>
          <w:color w:val="87CEEB"/>
          <w:sz w:val="24"/>
          <w:szCs w:val="24"/>
          <w:u w:val="single"/>
        </w:rPr>
        <w:t xml:space="preserve">, Farhan and </w:t>
      </w:r>
      <w:proofErr w:type="spellStart"/>
      <w:r w:rsidRPr="00C95A56">
        <w:rPr>
          <w:rFonts w:ascii="Times New Roman" w:hAnsi="Times New Roman" w:cs="Times New Roman"/>
          <w:color w:val="87CEEB"/>
          <w:sz w:val="24"/>
          <w:szCs w:val="24"/>
          <w:u w:val="single"/>
        </w:rPr>
        <w:t>Alzboun</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color w:val="87CEEB"/>
          <w:sz w:val="24"/>
          <w:szCs w:val="24"/>
          <w:u w:val="single"/>
        </w:rPr>
        <w:lastRenderedPageBreak/>
        <w:t>2020)</w:t>
      </w:r>
      <w:r w:rsidR="001E2E32" w:rsidRPr="00571085">
        <w:rPr>
          <w:rFonts w:ascii="Times New Roman" w:eastAsia="Times New Roman" w:hAnsi="Times New Roman" w:cs="Times New Roman"/>
          <w:color w:val="000000"/>
          <w:sz w:val="24"/>
          <w:szCs w:val="24"/>
        </w:rPr>
        <w:fldChar w:fldCharType="end"/>
      </w:r>
      <w:r w:rsidR="009132D9" w:rsidRPr="00571085">
        <w:rPr>
          <w:rFonts w:ascii="Times New Roman" w:eastAsia="Times New Roman" w:hAnsi="Times New Roman" w:cs="Times New Roman"/>
          <w:color w:val="000000"/>
          <w:sz w:val="24"/>
          <w:szCs w:val="24"/>
        </w:rPr>
        <w:t xml:space="preserve">. </w:t>
      </w:r>
    </w:p>
    <w:p w14:paraId="4862471E" w14:textId="77777777" w:rsidR="00BA45DF" w:rsidRPr="00571085" w:rsidRDefault="002A70F7" w:rsidP="00AE5E64">
      <w:pPr>
        <w:widowControl w:val="0"/>
        <w:pBdr>
          <w:top w:val="nil"/>
          <w:left w:val="nil"/>
          <w:bottom w:val="nil"/>
          <w:right w:val="nil"/>
          <w:between w:val="nil"/>
        </w:pBdr>
        <w:spacing w:before="27" w:line="360" w:lineRule="auto"/>
        <w:ind w:left="6"/>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Summary</w:t>
      </w:r>
    </w:p>
    <w:p w14:paraId="48E049C9" w14:textId="7C3B0CA9" w:rsidR="00BA45DF" w:rsidRPr="00571085" w:rsidRDefault="00BA45DF" w:rsidP="00AE5E64">
      <w:pPr>
        <w:widowControl w:val="0"/>
        <w:pBdr>
          <w:top w:val="nil"/>
          <w:left w:val="nil"/>
          <w:bottom w:val="nil"/>
          <w:right w:val="nil"/>
          <w:between w:val="nil"/>
        </w:pBdr>
        <w:spacing w:before="27" w:line="360" w:lineRule="auto"/>
        <w:ind w:left="6"/>
        <w:jc w:val="both"/>
        <w:rPr>
          <w:rFonts w:ascii="Times New Roman" w:hAnsi="Times New Roman" w:cs="Times New Roman"/>
          <w:color w:val="000000"/>
          <w:sz w:val="24"/>
          <w:szCs w:val="24"/>
        </w:rPr>
      </w:pPr>
      <w:r w:rsidRPr="00571085">
        <w:rPr>
          <w:rFonts w:ascii="Times New Roman" w:hAnsi="Times New Roman" w:cs="Times New Roman"/>
          <w:color w:val="000000"/>
          <w:sz w:val="24"/>
          <w:szCs w:val="24"/>
        </w:rPr>
        <w:t xml:space="preserve">Like other rapidly evolving urban cities in developing countries, </w:t>
      </w:r>
      <w:r w:rsidRPr="00571085">
        <w:rPr>
          <w:rFonts w:ascii="Times New Roman" w:hAnsi="Times New Roman" w:cs="Times New Roman"/>
          <w:color w:val="000000"/>
          <w:sz w:val="24"/>
          <w:szCs w:val="24"/>
        </w:rPr>
        <w:t xml:space="preserve">Juba's ongoing urban expansion </w:t>
      </w:r>
      <w:r w:rsidRPr="00571085">
        <w:rPr>
          <w:rFonts w:ascii="Times New Roman" w:hAnsi="Times New Roman" w:cs="Times New Roman"/>
          <w:color w:val="000000"/>
          <w:sz w:val="24"/>
          <w:szCs w:val="24"/>
        </w:rPr>
        <w:t>can be seen in</w:t>
      </w:r>
      <w:r w:rsidRPr="00571085">
        <w:rPr>
          <w:rFonts w:ascii="Times New Roman" w:hAnsi="Times New Roman" w:cs="Times New Roman"/>
          <w:color w:val="000000"/>
          <w:sz w:val="24"/>
          <w:szCs w:val="24"/>
        </w:rPr>
        <w:t xml:space="preserve"> a two-faced reality: on one hand, it signifies a profound opportunity for economic development, while on the other, it poses significant challenges for sustainable resource management. Rapid urbanization, if unchecked, can lead to issues such as infrastructure strain, environmental degradation, and the displacement of vulnerable populations. Therefore, the effective prediction of urban growth is essential for informed decision-making and sustainable development.</w:t>
      </w:r>
      <w:r w:rsidRPr="00571085">
        <w:rPr>
          <w:rFonts w:ascii="Times New Roman" w:hAnsi="Times New Roman" w:cs="Times New Roman"/>
          <w:color w:val="000000"/>
          <w:sz w:val="24"/>
          <w:szCs w:val="24"/>
        </w:rPr>
        <w:t xml:space="preserve"> </w:t>
      </w:r>
      <w:r w:rsidRPr="00571085">
        <w:rPr>
          <w:rFonts w:ascii="Times New Roman" w:hAnsi="Times New Roman" w:cs="Times New Roman"/>
          <w:color w:val="000000"/>
          <w:sz w:val="24"/>
          <w:szCs w:val="24"/>
        </w:rPr>
        <w:t xml:space="preserve">To mitigate the adverse consequences </w:t>
      </w:r>
      <w:r w:rsidRPr="00571085">
        <w:rPr>
          <w:rFonts w:ascii="Times New Roman" w:hAnsi="Times New Roman" w:cs="Times New Roman"/>
          <w:color w:val="000000"/>
          <w:sz w:val="24"/>
          <w:szCs w:val="24"/>
        </w:rPr>
        <w:t>related to</w:t>
      </w:r>
      <w:r w:rsidRPr="00571085">
        <w:rPr>
          <w:rFonts w:ascii="Times New Roman" w:hAnsi="Times New Roman" w:cs="Times New Roman"/>
          <w:color w:val="000000"/>
          <w:sz w:val="24"/>
          <w:szCs w:val="24"/>
        </w:rPr>
        <w:t xml:space="preserve"> rapid urbanization, it is crucial to implement integrated urban planning strategies that prioritize the development of resilient infrastructure, efficient land-use policies, and climate-conscious urban designs. Leveraging cutting-edge geospatial technologies, remote sensing data, and predictive analytics can play a pivotal role in this effort</w:t>
      </w:r>
      <w:r w:rsidRPr="00571085">
        <w:rPr>
          <w:rFonts w:ascii="Times New Roman" w:hAnsi="Times New Roman" w:cs="Times New Roman"/>
          <w:color w:val="000000"/>
          <w:sz w:val="24"/>
          <w:szCs w:val="24"/>
        </w:rPr>
        <w:t>.</w:t>
      </w:r>
    </w:p>
    <w:p w14:paraId="04FD44BB" w14:textId="0B7391A5" w:rsidR="00BA45DF" w:rsidRPr="00571085" w:rsidRDefault="00BA45DF" w:rsidP="00AE5E64">
      <w:pPr>
        <w:widowControl w:val="0"/>
        <w:pBdr>
          <w:top w:val="nil"/>
          <w:left w:val="nil"/>
          <w:bottom w:val="nil"/>
          <w:right w:val="nil"/>
          <w:between w:val="nil"/>
        </w:pBdr>
        <w:spacing w:before="27" w:line="360" w:lineRule="auto"/>
        <w:ind w:left="6"/>
        <w:jc w:val="both"/>
        <w:rPr>
          <w:rFonts w:ascii="Times New Roman" w:hAnsi="Times New Roman" w:cs="Times New Roman"/>
          <w:color w:val="000000"/>
          <w:sz w:val="24"/>
          <w:szCs w:val="24"/>
        </w:rPr>
      </w:pPr>
      <w:r w:rsidRPr="00571085">
        <w:rPr>
          <w:rFonts w:ascii="Times New Roman" w:hAnsi="Times New Roman" w:cs="Times New Roman"/>
          <w:color w:val="000000"/>
          <w:sz w:val="24"/>
          <w:szCs w:val="24"/>
        </w:rPr>
        <w:t xml:space="preserve">In this study, </w:t>
      </w:r>
      <w:r w:rsidRPr="00571085">
        <w:rPr>
          <w:rFonts w:ascii="Times New Roman" w:hAnsi="Times New Roman" w:cs="Times New Roman"/>
          <w:color w:val="000000"/>
          <w:sz w:val="24"/>
          <w:szCs w:val="24"/>
        </w:rPr>
        <w:t xml:space="preserve">we propose </w:t>
      </w:r>
      <w:r w:rsidRPr="00571085">
        <w:rPr>
          <w:rFonts w:ascii="Times New Roman" w:hAnsi="Times New Roman" w:cs="Times New Roman"/>
          <w:color w:val="000000"/>
          <w:sz w:val="24"/>
          <w:szCs w:val="24"/>
        </w:rPr>
        <w:t>the prediction of Juba’s urban growth from 2024 to 2033 based on</w:t>
      </w:r>
      <w:r w:rsidRPr="00571085">
        <w:rPr>
          <w:rFonts w:ascii="Times New Roman" w:hAnsi="Times New Roman" w:cs="Times New Roman"/>
          <w:color w:val="000000"/>
          <w:sz w:val="24"/>
          <w:szCs w:val="24"/>
        </w:rPr>
        <w:t xml:space="preserve"> Random Forest, a</w:t>
      </w:r>
      <w:r w:rsidRPr="00571085">
        <w:rPr>
          <w:rFonts w:ascii="Times New Roman" w:hAnsi="Times New Roman" w:cs="Times New Roman"/>
          <w:color w:val="000000"/>
          <w:sz w:val="24"/>
          <w:szCs w:val="24"/>
        </w:rPr>
        <w:t xml:space="preserve"> </w:t>
      </w:r>
      <w:r w:rsidRPr="00571085">
        <w:rPr>
          <w:rFonts w:ascii="Times New Roman" w:hAnsi="Times New Roman" w:cs="Times New Roman"/>
          <w:color w:val="000000"/>
          <w:sz w:val="24"/>
          <w:szCs w:val="24"/>
        </w:rPr>
        <w:t xml:space="preserve">powerful and widely used </w:t>
      </w:r>
      <w:r w:rsidRPr="00571085">
        <w:rPr>
          <w:rFonts w:ascii="Times New Roman" w:hAnsi="Times New Roman" w:cs="Times New Roman"/>
          <w:color w:val="000000"/>
          <w:sz w:val="24"/>
          <w:szCs w:val="24"/>
        </w:rPr>
        <w:t>Machine Learning model for spatial prediction tasks</w:t>
      </w:r>
      <w:r w:rsidRPr="00571085">
        <w:rPr>
          <w:rFonts w:ascii="Times New Roman" w:hAnsi="Times New Roman" w:cs="Times New Roman"/>
          <w:color w:val="000000"/>
          <w:sz w:val="24"/>
          <w:szCs w:val="24"/>
        </w:rPr>
        <w:t xml:space="preserve"> (mainly characterized into classification and regression tasks)</w:t>
      </w:r>
      <w:r w:rsidRPr="00571085">
        <w:rPr>
          <w:rFonts w:ascii="Times New Roman" w:hAnsi="Times New Roman" w:cs="Times New Roman"/>
          <w:color w:val="000000"/>
          <w:sz w:val="24"/>
          <w:szCs w:val="24"/>
        </w:rPr>
        <w:t xml:space="preserve">. By analyzing Landsat 5 and 7 data spanning from 1994 to 2023, this approach </w:t>
      </w:r>
      <w:r w:rsidRPr="00571085">
        <w:rPr>
          <w:rFonts w:ascii="Times New Roman" w:hAnsi="Times New Roman" w:cs="Times New Roman"/>
          <w:color w:val="000000"/>
          <w:sz w:val="24"/>
          <w:szCs w:val="24"/>
        </w:rPr>
        <w:t>allows</w:t>
      </w:r>
      <w:r w:rsidRPr="00571085">
        <w:rPr>
          <w:rFonts w:ascii="Times New Roman" w:hAnsi="Times New Roman" w:cs="Times New Roman"/>
          <w:color w:val="000000"/>
          <w:sz w:val="24"/>
          <w:szCs w:val="24"/>
        </w:rPr>
        <w:t xml:space="preserve"> us to predict land-use changes,</w:t>
      </w:r>
      <w:r w:rsidRPr="00571085">
        <w:rPr>
          <w:rFonts w:ascii="Times New Roman" w:hAnsi="Times New Roman" w:cs="Times New Roman"/>
          <w:color w:val="000000"/>
          <w:sz w:val="24"/>
          <w:szCs w:val="24"/>
        </w:rPr>
        <w:t xml:space="preserve"> and</w:t>
      </w:r>
      <w:r w:rsidRPr="00571085">
        <w:rPr>
          <w:rFonts w:ascii="Times New Roman" w:hAnsi="Times New Roman" w:cs="Times New Roman"/>
          <w:color w:val="000000"/>
          <w:sz w:val="24"/>
          <w:szCs w:val="24"/>
        </w:rPr>
        <w:t xml:space="preserve"> urban sprawl with high accuracy. Random Forest excels in handling large, complex datasets and capturing non-linear relationships between urban growth drivers, such as population density, land cover changes, and socioeconomic factors.</w:t>
      </w:r>
    </w:p>
    <w:p w14:paraId="7881AED1" w14:textId="16BF1476" w:rsidR="00BA45DF" w:rsidRPr="00571085" w:rsidRDefault="00BA45DF" w:rsidP="00AE5E64">
      <w:pPr>
        <w:widowControl w:val="0"/>
        <w:pBdr>
          <w:top w:val="nil"/>
          <w:left w:val="nil"/>
          <w:bottom w:val="nil"/>
          <w:right w:val="nil"/>
          <w:between w:val="nil"/>
        </w:pBdr>
        <w:spacing w:before="27" w:line="360" w:lineRule="auto"/>
        <w:ind w:left="6"/>
        <w:jc w:val="both"/>
        <w:rPr>
          <w:rFonts w:ascii="Times New Roman" w:hAnsi="Times New Roman" w:cs="Times New Roman"/>
          <w:color w:val="000000"/>
          <w:sz w:val="24"/>
          <w:szCs w:val="24"/>
        </w:rPr>
      </w:pPr>
      <w:r w:rsidRPr="00571085">
        <w:rPr>
          <w:rFonts w:ascii="Times New Roman" w:hAnsi="Times New Roman" w:cs="Times New Roman"/>
          <w:color w:val="000000"/>
          <w:sz w:val="24"/>
          <w:szCs w:val="24"/>
        </w:rPr>
        <w:t>When</w:t>
      </w:r>
      <w:r w:rsidRPr="00571085">
        <w:rPr>
          <w:rFonts w:ascii="Times New Roman" w:hAnsi="Times New Roman" w:cs="Times New Roman"/>
          <w:color w:val="000000"/>
          <w:sz w:val="24"/>
          <w:szCs w:val="24"/>
        </w:rPr>
        <w:t xml:space="preserve"> trained on historical land-use patterns, and by recognizing these patterns, </w:t>
      </w:r>
      <w:r w:rsidRPr="00571085">
        <w:rPr>
          <w:rFonts w:ascii="Times New Roman" w:hAnsi="Times New Roman" w:cs="Times New Roman"/>
          <w:color w:val="000000"/>
          <w:sz w:val="24"/>
          <w:szCs w:val="24"/>
        </w:rPr>
        <w:t>the Random Forest model can</w:t>
      </w:r>
      <w:r w:rsidRPr="00571085">
        <w:rPr>
          <w:rFonts w:ascii="Times New Roman" w:hAnsi="Times New Roman" w:cs="Times New Roman"/>
          <w:color w:val="000000"/>
          <w:sz w:val="24"/>
          <w:szCs w:val="24"/>
        </w:rPr>
        <w:t xml:space="preserve"> predict future urban growth trends. These predictions are vital for urban planners and policymakers to better monitor, forecast, and guide Juba’s expansion in a manner that fosters economic growth while minimizing environmental and social challenges.</w:t>
      </w:r>
    </w:p>
    <w:p w14:paraId="082E69A1" w14:textId="3E5E5095" w:rsidR="00BA45DF" w:rsidRPr="00571085" w:rsidRDefault="00BA45DF" w:rsidP="00AE5E64">
      <w:pPr>
        <w:widowControl w:val="0"/>
        <w:pBdr>
          <w:top w:val="nil"/>
          <w:left w:val="nil"/>
          <w:bottom w:val="nil"/>
          <w:right w:val="nil"/>
          <w:between w:val="nil"/>
        </w:pBdr>
        <w:spacing w:before="27" w:line="360" w:lineRule="auto"/>
        <w:ind w:left="6"/>
        <w:jc w:val="both"/>
        <w:rPr>
          <w:rFonts w:ascii="Times New Roman" w:hAnsi="Times New Roman" w:cs="Times New Roman"/>
          <w:color w:val="000000"/>
          <w:sz w:val="24"/>
          <w:szCs w:val="24"/>
        </w:rPr>
      </w:pPr>
      <w:r w:rsidRPr="00571085">
        <w:rPr>
          <w:rFonts w:ascii="Times New Roman" w:hAnsi="Times New Roman" w:cs="Times New Roman"/>
          <w:color w:val="000000"/>
          <w:sz w:val="24"/>
          <w:szCs w:val="24"/>
        </w:rPr>
        <w:t>Achieving sustainable urban development in Juba will necessitate collaborative efforts between governmental agencies, academic researchers</w:t>
      </w:r>
      <w:r w:rsidRPr="00571085">
        <w:rPr>
          <w:rFonts w:ascii="Times New Roman" w:hAnsi="Times New Roman" w:cs="Times New Roman"/>
          <w:color w:val="000000"/>
          <w:sz w:val="24"/>
          <w:szCs w:val="24"/>
        </w:rPr>
        <w:t xml:space="preserve"> such as in this study</w:t>
      </w:r>
      <w:r w:rsidRPr="00571085">
        <w:rPr>
          <w:rFonts w:ascii="Times New Roman" w:hAnsi="Times New Roman" w:cs="Times New Roman"/>
          <w:color w:val="000000"/>
          <w:sz w:val="24"/>
          <w:szCs w:val="24"/>
        </w:rPr>
        <w:t>, and local communities, ensuring that urban expansion aligns with broader sustainability objectives and contributes to the overall well-being of its inhabitants.</w:t>
      </w:r>
      <w:r w:rsidRPr="00571085">
        <w:rPr>
          <w:rFonts w:ascii="Times New Roman" w:hAnsi="Times New Roman" w:cs="Times New Roman"/>
          <w:color w:val="000000"/>
          <w:sz w:val="24"/>
          <w:szCs w:val="24"/>
        </w:rPr>
        <w:t xml:space="preserve"> </w:t>
      </w:r>
      <w:r w:rsidRPr="00571085">
        <w:rPr>
          <w:rFonts w:ascii="Times New Roman" w:hAnsi="Times New Roman" w:cs="Times New Roman"/>
          <w:color w:val="000000"/>
          <w:sz w:val="24"/>
          <w:szCs w:val="24"/>
        </w:rPr>
        <w:t xml:space="preserve">Only through proactive and data-driven urban management approaches, such as this Random Forest-based prediction model, can Juba effectively navigate the complexities of its rapid growth trajectory. This </w:t>
      </w:r>
      <w:r w:rsidRPr="00571085">
        <w:rPr>
          <w:rFonts w:ascii="Times New Roman" w:hAnsi="Times New Roman" w:cs="Times New Roman"/>
          <w:color w:val="000000"/>
          <w:sz w:val="24"/>
          <w:szCs w:val="24"/>
        </w:rPr>
        <w:t>study will contribute to</w:t>
      </w:r>
      <w:r w:rsidRPr="00571085">
        <w:rPr>
          <w:rFonts w:ascii="Times New Roman" w:hAnsi="Times New Roman" w:cs="Times New Roman"/>
          <w:color w:val="000000"/>
          <w:sz w:val="24"/>
          <w:szCs w:val="24"/>
        </w:rPr>
        <w:t xml:space="preserve"> creating resilient, sustainable, and economically viable urban environments, ensuring that Juba can emerge as a </w:t>
      </w:r>
      <w:r w:rsidRPr="00571085">
        <w:rPr>
          <w:rFonts w:ascii="Times New Roman" w:hAnsi="Times New Roman" w:cs="Times New Roman"/>
          <w:color w:val="000000"/>
          <w:sz w:val="24"/>
          <w:szCs w:val="24"/>
        </w:rPr>
        <w:lastRenderedPageBreak/>
        <w:t>model for future cities in the region.</w:t>
      </w:r>
    </w:p>
    <w:p w14:paraId="1CEAD0E1" w14:textId="77777777" w:rsidR="00BE3DCB" w:rsidRPr="00571085" w:rsidRDefault="00000000" w:rsidP="00AE5E64">
      <w:pPr>
        <w:pStyle w:val="Heading3"/>
        <w:widowControl w:val="0"/>
        <w:spacing w:before="387" w:line="360" w:lineRule="auto"/>
        <w:ind w:left="16"/>
        <w:jc w:val="both"/>
      </w:pPr>
      <w:r w:rsidRPr="00571085">
        <w:t xml:space="preserve">1.3 Objectives of the Study </w:t>
      </w:r>
    </w:p>
    <w:p w14:paraId="775C0EC4" w14:textId="77777777" w:rsidR="00BE3DCB" w:rsidRPr="00571085" w:rsidRDefault="00000000" w:rsidP="00AE5E64">
      <w:pPr>
        <w:pStyle w:val="Heading4"/>
        <w:widowControl w:val="0"/>
        <w:spacing w:before="358" w:line="360" w:lineRule="auto"/>
        <w:ind w:left="16"/>
        <w:jc w:val="both"/>
        <w:rPr>
          <w:rFonts w:ascii="Times New Roman" w:eastAsia="Times New Roman" w:hAnsi="Times New Roman" w:cs="Times New Roman"/>
        </w:rPr>
      </w:pPr>
      <w:bookmarkStart w:id="5" w:name="_22bc5lgjmmkd" w:colFirst="0" w:colLast="0"/>
      <w:bookmarkEnd w:id="5"/>
      <w:r w:rsidRPr="00571085">
        <w:rPr>
          <w:rFonts w:ascii="Times New Roman" w:eastAsia="Times New Roman" w:hAnsi="Times New Roman" w:cs="Times New Roman"/>
        </w:rPr>
        <w:t xml:space="preserve">1.3.1 Primary objective </w:t>
      </w:r>
    </w:p>
    <w:p w14:paraId="21AF7CE7" w14:textId="37938359" w:rsidR="00BE3DCB" w:rsidRPr="00571085" w:rsidRDefault="00000000" w:rsidP="00AE5E64">
      <w:pPr>
        <w:widowControl w:val="0"/>
        <w:pBdr>
          <w:top w:val="nil"/>
          <w:left w:val="nil"/>
          <w:bottom w:val="nil"/>
          <w:right w:val="nil"/>
          <w:between w:val="nil"/>
        </w:pBdr>
        <w:spacing w:before="362" w:line="360" w:lineRule="auto"/>
        <w:ind w:right="2" w:firstLine="3"/>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In this study, </w:t>
      </w:r>
      <w:r w:rsidR="00BA45DF" w:rsidRPr="00571085">
        <w:rPr>
          <w:rFonts w:ascii="Times New Roman" w:eastAsia="Times New Roman" w:hAnsi="Times New Roman" w:cs="Times New Roman"/>
          <w:sz w:val="24"/>
          <w:szCs w:val="24"/>
        </w:rPr>
        <w:t>we</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seek to develop a comprehensive understanding of both historical and future</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 xml:space="preserve">urban growth patterns in Juba, South Sudan, by analyzing past trends from </w:t>
      </w:r>
      <w:r w:rsidR="00BA45DF" w:rsidRPr="00571085">
        <w:rPr>
          <w:rFonts w:ascii="Times New Roman" w:eastAsia="Times New Roman" w:hAnsi="Times New Roman" w:cs="Times New Roman"/>
          <w:sz w:val="24"/>
          <w:szCs w:val="24"/>
        </w:rPr>
        <w:t>1994</w:t>
      </w:r>
      <w:r w:rsidRPr="00571085">
        <w:rPr>
          <w:rFonts w:ascii="Times New Roman" w:eastAsia="Times New Roman" w:hAnsi="Times New Roman" w:cs="Times New Roman"/>
          <w:color w:val="000000"/>
          <w:sz w:val="24"/>
          <w:szCs w:val="24"/>
        </w:rPr>
        <w:t xml:space="preserve"> to </w:t>
      </w:r>
      <w:r w:rsidRPr="00571085">
        <w:rPr>
          <w:rFonts w:ascii="Times New Roman" w:eastAsia="Times New Roman" w:hAnsi="Times New Roman" w:cs="Times New Roman"/>
          <w:sz w:val="24"/>
          <w:szCs w:val="24"/>
        </w:rPr>
        <w:t>202</w:t>
      </w:r>
      <w:r w:rsidR="00BA45DF" w:rsidRPr="00571085">
        <w:rPr>
          <w:rFonts w:ascii="Times New Roman" w:eastAsia="Times New Roman" w:hAnsi="Times New Roman" w:cs="Times New Roman"/>
          <w:sz w:val="24"/>
          <w:szCs w:val="24"/>
        </w:rPr>
        <w:t>3</w:t>
      </w:r>
      <w:r w:rsidRPr="00571085">
        <w:rPr>
          <w:rFonts w:ascii="Times New Roman" w:eastAsia="Times New Roman" w:hAnsi="Times New Roman" w:cs="Times New Roman"/>
          <w:color w:val="000000"/>
          <w:sz w:val="24"/>
          <w:szCs w:val="24"/>
        </w:rPr>
        <w:t xml:space="preserve"> and</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predicting future expansion from 202</w:t>
      </w:r>
      <w:r w:rsidR="00BA45DF" w:rsidRPr="00571085">
        <w:rPr>
          <w:rFonts w:ascii="Times New Roman" w:eastAsia="Times New Roman" w:hAnsi="Times New Roman" w:cs="Times New Roman"/>
          <w:color w:val="000000"/>
          <w:sz w:val="24"/>
          <w:szCs w:val="24"/>
        </w:rPr>
        <w:t>4</w:t>
      </w:r>
      <w:r w:rsidRPr="00571085">
        <w:rPr>
          <w:rFonts w:ascii="Times New Roman" w:eastAsia="Times New Roman" w:hAnsi="Times New Roman" w:cs="Times New Roman"/>
          <w:color w:val="000000"/>
          <w:sz w:val="24"/>
          <w:szCs w:val="24"/>
        </w:rPr>
        <w:t xml:space="preserve"> up to the year 20</w:t>
      </w:r>
      <w:r w:rsidR="00BA45DF" w:rsidRPr="00571085">
        <w:rPr>
          <w:rFonts w:ascii="Times New Roman" w:eastAsia="Times New Roman" w:hAnsi="Times New Roman" w:cs="Times New Roman"/>
          <w:color w:val="000000"/>
          <w:sz w:val="24"/>
          <w:szCs w:val="24"/>
        </w:rPr>
        <w:t>33</w:t>
      </w:r>
      <w:r w:rsidRPr="00571085">
        <w:rPr>
          <w:rFonts w:ascii="Times New Roman" w:eastAsia="Times New Roman" w:hAnsi="Times New Roman" w:cs="Times New Roman"/>
          <w:color w:val="000000"/>
          <w:sz w:val="24"/>
          <w:szCs w:val="24"/>
        </w:rPr>
        <w:t xml:space="preserve">. This includes utilizing advanced predictive </w:t>
      </w:r>
      <w:r w:rsidRPr="00571085">
        <w:rPr>
          <w:rFonts w:ascii="Times New Roman" w:eastAsia="Times New Roman" w:hAnsi="Times New Roman" w:cs="Times New Roman"/>
          <w:sz w:val="24"/>
          <w:szCs w:val="24"/>
        </w:rPr>
        <w:t>models</w:t>
      </w:r>
      <w:r w:rsidR="004B7B60" w:rsidRPr="00571085">
        <w:rPr>
          <w:rFonts w:ascii="Times New Roman" w:eastAsia="Times New Roman" w:hAnsi="Times New Roman" w:cs="Times New Roman"/>
          <w:sz w:val="24"/>
          <w:szCs w:val="24"/>
        </w:rPr>
        <w:t>, specifically Machine Learning’s Random Forest</w:t>
      </w:r>
      <w:r w:rsidRPr="00571085">
        <w:rPr>
          <w:rFonts w:ascii="Times New Roman" w:eastAsia="Times New Roman" w:hAnsi="Times New Roman" w:cs="Times New Roman"/>
          <w:color w:val="000000"/>
          <w:sz w:val="24"/>
          <w:szCs w:val="24"/>
        </w:rPr>
        <w:t xml:space="preserve"> and </w:t>
      </w:r>
      <w:r w:rsidR="004B7B60" w:rsidRPr="00571085">
        <w:rPr>
          <w:rFonts w:ascii="Times New Roman" w:eastAsia="Times New Roman" w:hAnsi="Times New Roman" w:cs="Times New Roman"/>
          <w:color w:val="000000"/>
          <w:sz w:val="24"/>
          <w:szCs w:val="24"/>
        </w:rPr>
        <w:t>advanced geospatial pre-processing techniques</w:t>
      </w:r>
      <w:r w:rsidRPr="00571085">
        <w:rPr>
          <w:rFonts w:ascii="Times New Roman" w:eastAsia="Times New Roman" w:hAnsi="Times New Roman" w:cs="Times New Roman"/>
          <w:color w:val="000000"/>
          <w:sz w:val="24"/>
          <w:szCs w:val="24"/>
        </w:rPr>
        <w:t xml:space="preserve"> </w:t>
      </w:r>
      <w:r w:rsidR="004B7B60" w:rsidRPr="00571085">
        <w:rPr>
          <w:rFonts w:ascii="Times New Roman" w:eastAsia="Times New Roman" w:hAnsi="Times New Roman" w:cs="Times New Roman"/>
          <w:color w:val="000000"/>
          <w:sz w:val="24"/>
          <w:szCs w:val="24"/>
        </w:rPr>
        <w:t xml:space="preserve">such as cloud masking and ground control points (GCPs) </w:t>
      </w:r>
      <w:r w:rsidRPr="00571085">
        <w:rPr>
          <w:rFonts w:ascii="Times New Roman" w:eastAsia="Times New Roman" w:hAnsi="Times New Roman" w:cs="Times New Roman"/>
          <w:color w:val="000000"/>
          <w:sz w:val="24"/>
          <w:szCs w:val="24"/>
        </w:rPr>
        <w:t xml:space="preserve">to </w:t>
      </w:r>
      <w:r w:rsidR="004B7B60" w:rsidRPr="00571085">
        <w:rPr>
          <w:rFonts w:ascii="Times New Roman" w:eastAsia="Times New Roman" w:hAnsi="Times New Roman" w:cs="Times New Roman"/>
          <w:color w:val="000000"/>
          <w:sz w:val="24"/>
          <w:szCs w:val="24"/>
        </w:rPr>
        <w:t xml:space="preserve">collect, extract, and manipulate data to </w:t>
      </w:r>
      <w:r w:rsidRPr="00571085">
        <w:rPr>
          <w:rFonts w:ascii="Times New Roman" w:eastAsia="Times New Roman" w:hAnsi="Times New Roman" w:cs="Times New Roman"/>
          <w:color w:val="000000"/>
          <w:sz w:val="24"/>
          <w:szCs w:val="24"/>
        </w:rPr>
        <w:t xml:space="preserve">inform urban planning and development strategies. </w:t>
      </w:r>
    </w:p>
    <w:p w14:paraId="64575B98" w14:textId="77777777" w:rsidR="00BE3DCB" w:rsidRPr="00571085" w:rsidRDefault="00000000" w:rsidP="00AE5E64">
      <w:pPr>
        <w:pStyle w:val="Heading4"/>
        <w:widowControl w:val="0"/>
        <w:spacing w:before="347" w:line="360" w:lineRule="auto"/>
        <w:ind w:left="16"/>
        <w:jc w:val="both"/>
        <w:rPr>
          <w:rFonts w:ascii="Times New Roman" w:eastAsia="Times New Roman" w:hAnsi="Times New Roman" w:cs="Times New Roman"/>
        </w:rPr>
      </w:pPr>
      <w:bookmarkStart w:id="6" w:name="_burtsbqjmgx6" w:colFirst="0" w:colLast="0"/>
      <w:bookmarkEnd w:id="6"/>
      <w:commentRangeStart w:id="7"/>
      <w:r w:rsidRPr="00571085">
        <w:rPr>
          <w:rFonts w:ascii="Times New Roman" w:eastAsia="Times New Roman" w:hAnsi="Times New Roman" w:cs="Times New Roman"/>
        </w:rPr>
        <w:t xml:space="preserve">1.3.2 Specific objectives </w:t>
      </w:r>
      <w:commentRangeEnd w:id="7"/>
      <w:r w:rsidRPr="00571085">
        <w:rPr>
          <w:rFonts w:ascii="Times New Roman" w:hAnsi="Times New Roman" w:cs="Times New Roman"/>
        </w:rPr>
        <w:commentReference w:id="7"/>
      </w:r>
    </w:p>
    <w:p w14:paraId="48267444" w14:textId="2E2C0C5B" w:rsidR="004B7B60" w:rsidRPr="00571085" w:rsidRDefault="004B7B60" w:rsidP="00AE5E64">
      <w:pPr>
        <w:widowControl w:val="0"/>
        <w:numPr>
          <w:ilvl w:val="0"/>
          <w:numId w:val="7"/>
        </w:numPr>
        <w:pBdr>
          <w:top w:val="nil"/>
          <w:left w:val="nil"/>
          <w:bottom w:val="nil"/>
          <w:right w:val="nil"/>
          <w:between w:val="nil"/>
        </w:pBdr>
        <w:spacing w:before="122" w:line="360" w:lineRule="auto"/>
        <w:ind w:right="3"/>
        <w:jc w:val="both"/>
        <w:rPr>
          <w:rFonts w:ascii="Times New Roman" w:eastAsia="Times New Roman" w:hAnsi="Times New Roman" w:cs="Times New Roman"/>
          <w:sz w:val="24"/>
          <w:szCs w:val="24"/>
        </w:rPr>
      </w:pPr>
      <w:r w:rsidRPr="00571085">
        <w:rPr>
          <w:rFonts w:ascii="Times New Roman" w:eastAsia="Times New Roman" w:hAnsi="Times New Roman" w:cs="Times New Roman"/>
          <w:color w:val="000000"/>
          <w:sz w:val="24"/>
          <w:szCs w:val="24"/>
        </w:rPr>
        <w:t xml:space="preserve">To collect historical time series data from Landsat 5 and 7 </w:t>
      </w:r>
      <w:r w:rsidR="00630675" w:rsidRPr="00571085">
        <w:rPr>
          <w:rFonts w:ascii="Times New Roman" w:eastAsia="Times New Roman" w:hAnsi="Times New Roman" w:cs="Times New Roman"/>
          <w:color w:val="000000"/>
          <w:sz w:val="24"/>
          <w:szCs w:val="24"/>
        </w:rPr>
        <w:t>spanning</w:t>
      </w:r>
      <w:r w:rsidRPr="00571085">
        <w:rPr>
          <w:rFonts w:ascii="Times New Roman" w:eastAsia="Times New Roman" w:hAnsi="Times New Roman" w:cs="Times New Roman"/>
          <w:color w:val="000000"/>
          <w:sz w:val="24"/>
          <w:szCs w:val="24"/>
        </w:rPr>
        <w:t xml:space="preserve"> 1994 to 2023</w:t>
      </w:r>
      <w:r w:rsidR="00000000" w:rsidRPr="00571085">
        <w:rPr>
          <w:rFonts w:ascii="Times New Roman" w:eastAsia="Times New Roman" w:hAnsi="Times New Roman" w:cs="Times New Roman"/>
          <w:sz w:val="24"/>
          <w:szCs w:val="24"/>
        </w:rPr>
        <w:t xml:space="preserve">. </w:t>
      </w:r>
    </w:p>
    <w:p w14:paraId="0661C079" w14:textId="5777FD82" w:rsidR="00BE3DCB" w:rsidRPr="00571085" w:rsidRDefault="00000000" w:rsidP="00AE5E64">
      <w:pPr>
        <w:widowControl w:val="0"/>
        <w:numPr>
          <w:ilvl w:val="0"/>
          <w:numId w:val="7"/>
        </w:numPr>
        <w:pBdr>
          <w:top w:val="nil"/>
          <w:left w:val="nil"/>
          <w:bottom w:val="nil"/>
          <w:right w:val="nil"/>
          <w:between w:val="nil"/>
        </w:pBdr>
        <w:spacing w:before="122" w:line="360" w:lineRule="auto"/>
        <w:ind w:right="3"/>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t xml:space="preserve">To develop a </w:t>
      </w:r>
      <w:r w:rsidR="00630675" w:rsidRPr="00571085">
        <w:rPr>
          <w:rFonts w:ascii="Times New Roman" w:eastAsia="Times New Roman" w:hAnsi="Times New Roman" w:cs="Times New Roman"/>
          <w:sz w:val="24"/>
          <w:szCs w:val="24"/>
        </w:rPr>
        <w:t xml:space="preserve">Random Forest </w:t>
      </w:r>
      <w:r w:rsidRPr="00571085">
        <w:rPr>
          <w:rFonts w:ascii="Times New Roman" w:eastAsia="Times New Roman" w:hAnsi="Times New Roman" w:cs="Times New Roman"/>
          <w:sz w:val="24"/>
          <w:szCs w:val="24"/>
        </w:rPr>
        <w:t xml:space="preserve">machine learning model </w:t>
      </w:r>
      <w:r w:rsidR="00630675" w:rsidRPr="00571085">
        <w:rPr>
          <w:rFonts w:ascii="Times New Roman" w:eastAsia="Times New Roman" w:hAnsi="Times New Roman" w:cs="Times New Roman"/>
          <w:sz w:val="24"/>
          <w:szCs w:val="24"/>
        </w:rPr>
        <w:t>that identifies</w:t>
      </w:r>
      <w:r w:rsidRPr="00571085">
        <w:rPr>
          <w:rFonts w:ascii="Times New Roman" w:eastAsia="Times New Roman" w:hAnsi="Times New Roman" w:cs="Times New Roman"/>
          <w:sz w:val="24"/>
          <w:szCs w:val="24"/>
        </w:rPr>
        <w:t xml:space="preserve"> historical </w:t>
      </w:r>
      <w:r w:rsidR="00630675" w:rsidRPr="00571085">
        <w:rPr>
          <w:rFonts w:ascii="Times New Roman" w:eastAsia="Times New Roman" w:hAnsi="Times New Roman" w:cs="Times New Roman"/>
          <w:sz w:val="24"/>
          <w:szCs w:val="24"/>
        </w:rPr>
        <w:t xml:space="preserve">urban growth </w:t>
      </w:r>
      <w:r w:rsidRPr="00571085">
        <w:rPr>
          <w:rFonts w:ascii="Times New Roman" w:eastAsia="Times New Roman" w:hAnsi="Times New Roman" w:cs="Times New Roman"/>
          <w:sz w:val="24"/>
          <w:szCs w:val="24"/>
        </w:rPr>
        <w:t xml:space="preserve">trends </w:t>
      </w:r>
      <w:r w:rsidR="00630675" w:rsidRPr="00571085">
        <w:rPr>
          <w:rFonts w:ascii="Times New Roman" w:eastAsia="Times New Roman" w:hAnsi="Times New Roman" w:cs="Times New Roman"/>
          <w:sz w:val="24"/>
          <w:szCs w:val="24"/>
        </w:rPr>
        <w:t xml:space="preserve">in </w:t>
      </w:r>
      <w:r w:rsidRPr="00571085">
        <w:rPr>
          <w:rFonts w:ascii="Times New Roman" w:eastAsia="Times New Roman" w:hAnsi="Times New Roman" w:cs="Times New Roman"/>
          <w:sz w:val="24"/>
          <w:szCs w:val="24"/>
        </w:rPr>
        <w:t>Juba from 199</w:t>
      </w:r>
      <w:r w:rsidR="00630675" w:rsidRPr="00571085">
        <w:rPr>
          <w:rFonts w:ascii="Times New Roman" w:eastAsia="Times New Roman" w:hAnsi="Times New Roman" w:cs="Times New Roman"/>
          <w:sz w:val="24"/>
          <w:szCs w:val="24"/>
        </w:rPr>
        <w:t>4</w:t>
      </w:r>
      <w:r w:rsidRPr="00571085">
        <w:rPr>
          <w:rFonts w:ascii="Times New Roman" w:eastAsia="Times New Roman" w:hAnsi="Times New Roman" w:cs="Times New Roman"/>
          <w:sz w:val="24"/>
          <w:szCs w:val="24"/>
        </w:rPr>
        <w:t xml:space="preserve"> to </w:t>
      </w:r>
      <w:r w:rsidR="00630675" w:rsidRPr="00571085">
        <w:rPr>
          <w:rFonts w:ascii="Times New Roman" w:eastAsia="Times New Roman" w:hAnsi="Times New Roman" w:cs="Times New Roman"/>
          <w:sz w:val="24"/>
          <w:szCs w:val="24"/>
        </w:rPr>
        <w:t>2023, focusing on changes in land use and land cover</w:t>
      </w:r>
      <w:r w:rsidRPr="00571085">
        <w:rPr>
          <w:rFonts w:ascii="Times New Roman" w:eastAsia="Times New Roman" w:hAnsi="Times New Roman" w:cs="Times New Roman"/>
          <w:sz w:val="24"/>
          <w:szCs w:val="24"/>
        </w:rPr>
        <w:t xml:space="preserve">. </w:t>
      </w:r>
    </w:p>
    <w:p w14:paraId="5B575FBC" w14:textId="0333F954" w:rsidR="004B7B60" w:rsidRPr="00571085" w:rsidRDefault="00630675" w:rsidP="00AE5E64">
      <w:pPr>
        <w:widowControl w:val="0"/>
        <w:numPr>
          <w:ilvl w:val="0"/>
          <w:numId w:val="7"/>
        </w:numPr>
        <w:pBdr>
          <w:top w:val="nil"/>
          <w:left w:val="nil"/>
          <w:bottom w:val="nil"/>
          <w:right w:val="nil"/>
          <w:between w:val="nil"/>
        </w:pBdr>
        <w:spacing w:line="360" w:lineRule="auto"/>
        <w:ind w:right="3"/>
        <w:jc w:val="both"/>
        <w:rPr>
          <w:rFonts w:ascii="Times New Roman" w:eastAsia="Times New Roman" w:hAnsi="Times New Roman" w:cs="Times New Roman"/>
          <w:sz w:val="24"/>
          <w:szCs w:val="24"/>
        </w:rPr>
      </w:pPr>
      <w:r w:rsidRPr="00571085">
        <w:rPr>
          <w:rFonts w:ascii="Times New Roman" w:eastAsia="Times New Roman" w:hAnsi="Times New Roman" w:cs="Times New Roman"/>
          <w:color w:val="000000"/>
          <w:sz w:val="24"/>
          <w:szCs w:val="24"/>
        </w:rPr>
        <w:t>To t</w:t>
      </w:r>
      <w:r w:rsidR="00000000" w:rsidRPr="00571085">
        <w:rPr>
          <w:rFonts w:ascii="Times New Roman" w:eastAsia="Times New Roman" w:hAnsi="Times New Roman" w:cs="Times New Roman"/>
          <w:sz w:val="24"/>
          <w:szCs w:val="24"/>
        </w:rPr>
        <w:t xml:space="preserve">rain </w:t>
      </w:r>
      <w:r w:rsidRPr="00571085">
        <w:rPr>
          <w:rFonts w:ascii="Times New Roman" w:eastAsia="Times New Roman" w:hAnsi="Times New Roman" w:cs="Times New Roman"/>
          <w:sz w:val="24"/>
          <w:szCs w:val="24"/>
        </w:rPr>
        <w:t>the</w:t>
      </w:r>
      <w:r w:rsidR="00000000" w:rsidRPr="00571085">
        <w:rPr>
          <w:rFonts w:ascii="Times New Roman" w:eastAsia="Times New Roman" w:hAnsi="Times New Roman" w:cs="Times New Roman"/>
          <w:sz w:val="24"/>
          <w:szCs w:val="24"/>
        </w:rPr>
        <w:t xml:space="preserve"> model</w:t>
      </w:r>
      <w:r w:rsidRPr="00571085">
        <w:rPr>
          <w:rFonts w:ascii="Times New Roman" w:eastAsia="Times New Roman" w:hAnsi="Times New Roman" w:cs="Times New Roman"/>
          <w:sz w:val="24"/>
          <w:szCs w:val="24"/>
        </w:rPr>
        <w:t xml:space="preserve"> </w:t>
      </w:r>
      <w:r w:rsidR="00000000" w:rsidRPr="00571085">
        <w:rPr>
          <w:rFonts w:ascii="Times New Roman" w:eastAsia="Times New Roman" w:hAnsi="Times New Roman" w:cs="Times New Roman"/>
          <w:sz w:val="24"/>
          <w:szCs w:val="24"/>
        </w:rPr>
        <w:t xml:space="preserve">to </w:t>
      </w:r>
      <w:r w:rsidR="004B7B60" w:rsidRPr="00571085">
        <w:rPr>
          <w:rFonts w:ascii="Times New Roman" w:eastAsia="Times New Roman" w:hAnsi="Times New Roman" w:cs="Times New Roman"/>
          <w:sz w:val="24"/>
          <w:szCs w:val="24"/>
        </w:rPr>
        <w:t>generate visible historical</w:t>
      </w:r>
      <w:r w:rsidR="00000000" w:rsidRPr="00571085">
        <w:rPr>
          <w:rFonts w:ascii="Times New Roman" w:eastAsia="Times New Roman" w:hAnsi="Times New Roman" w:cs="Times New Roman"/>
          <w:sz w:val="24"/>
          <w:szCs w:val="24"/>
        </w:rPr>
        <w:t xml:space="preserve"> urban growth patterns</w:t>
      </w:r>
      <w:r w:rsidR="004B7B60" w:rsidRPr="00571085">
        <w:rPr>
          <w:rFonts w:ascii="Times New Roman" w:eastAsia="Times New Roman" w:hAnsi="Times New Roman" w:cs="Times New Roman"/>
          <w:sz w:val="24"/>
          <w:szCs w:val="24"/>
        </w:rPr>
        <w:t xml:space="preserve"> merged for the years 1994-2003, 2004-2013 and 2014-2023</w:t>
      </w:r>
      <w:r w:rsidR="00000000" w:rsidRPr="00571085">
        <w:rPr>
          <w:rFonts w:ascii="Times New Roman" w:eastAsia="Times New Roman" w:hAnsi="Times New Roman" w:cs="Times New Roman"/>
          <w:sz w:val="24"/>
          <w:szCs w:val="24"/>
        </w:rPr>
        <w:t xml:space="preserve">. </w:t>
      </w:r>
    </w:p>
    <w:p w14:paraId="2F5FE1DE" w14:textId="2B7544FE" w:rsidR="004B7B60" w:rsidRPr="00571085" w:rsidRDefault="00630675" w:rsidP="00AE5E64">
      <w:pPr>
        <w:widowControl w:val="0"/>
        <w:numPr>
          <w:ilvl w:val="0"/>
          <w:numId w:val="7"/>
        </w:numPr>
        <w:pBdr>
          <w:top w:val="nil"/>
          <w:left w:val="nil"/>
          <w:bottom w:val="nil"/>
          <w:right w:val="nil"/>
          <w:between w:val="nil"/>
        </w:pBdr>
        <w:spacing w:line="360" w:lineRule="auto"/>
        <w:ind w:right="3"/>
        <w:jc w:val="both"/>
        <w:rPr>
          <w:rFonts w:ascii="Times New Roman" w:eastAsia="Times New Roman" w:hAnsi="Times New Roman" w:cs="Times New Roman"/>
          <w:sz w:val="24"/>
          <w:szCs w:val="24"/>
        </w:rPr>
      </w:pPr>
      <w:r w:rsidRPr="00571085">
        <w:rPr>
          <w:rFonts w:ascii="Times New Roman" w:eastAsia="Times New Roman" w:hAnsi="Times New Roman" w:cs="Times New Roman"/>
          <w:color w:val="000000"/>
          <w:sz w:val="24"/>
          <w:szCs w:val="24"/>
        </w:rPr>
        <w:t>To evaluate</w:t>
      </w:r>
      <w:r w:rsidR="004B7B60" w:rsidRPr="00571085">
        <w:rPr>
          <w:rFonts w:ascii="Times New Roman" w:eastAsia="Times New Roman" w:hAnsi="Times New Roman" w:cs="Times New Roman"/>
          <w:color w:val="000000"/>
          <w:sz w:val="24"/>
          <w:szCs w:val="24"/>
        </w:rPr>
        <w:t xml:space="preserve"> the performance of the trained model (Random Forest) using </w:t>
      </w:r>
      <w:r w:rsidRPr="00571085">
        <w:rPr>
          <w:rFonts w:ascii="Times New Roman" w:eastAsia="Times New Roman" w:hAnsi="Times New Roman" w:cs="Times New Roman"/>
          <w:color w:val="000000"/>
          <w:sz w:val="24"/>
          <w:szCs w:val="24"/>
        </w:rPr>
        <w:t>a confusion matrix as a metric.</w:t>
      </w:r>
    </w:p>
    <w:p w14:paraId="6F2184CC" w14:textId="7A6E60C4" w:rsidR="00BE3DCB" w:rsidRPr="00571085" w:rsidRDefault="00000000" w:rsidP="00AE5E64">
      <w:pPr>
        <w:widowControl w:val="0"/>
        <w:numPr>
          <w:ilvl w:val="0"/>
          <w:numId w:val="7"/>
        </w:numPr>
        <w:pBdr>
          <w:top w:val="nil"/>
          <w:left w:val="nil"/>
          <w:bottom w:val="nil"/>
          <w:right w:val="nil"/>
          <w:between w:val="nil"/>
        </w:pBdr>
        <w:spacing w:line="360" w:lineRule="auto"/>
        <w:ind w:right="3"/>
        <w:jc w:val="both"/>
        <w:rPr>
          <w:rFonts w:ascii="Times New Roman" w:eastAsia="Times New Roman" w:hAnsi="Times New Roman" w:cs="Times New Roman"/>
          <w:sz w:val="24"/>
          <w:szCs w:val="24"/>
        </w:rPr>
      </w:pPr>
      <w:r w:rsidRPr="00571085">
        <w:rPr>
          <w:rFonts w:ascii="Times New Roman" w:eastAsia="Times New Roman" w:hAnsi="Times New Roman" w:cs="Times New Roman"/>
          <w:color w:val="000000"/>
          <w:sz w:val="24"/>
          <w:szCs w:val="24"/>
        </w:rPr>
        <w:t xml:space="preserve">To </w:t>
      </w:r>
      <w:r w:rsidR="004B7B60" w:rsidRPr="00571085">
        <w:rPr>
          <w:rFonts w:ascii="Times New Roman" w:eastAsia="Times New Roman" w:hAnsi="Times New Roman" w:cs="Times New Roman"/>
          <w:color w:val="000000"/>
          <w:sz w:val="24"/>
          <w:szCs w:val="24"/>
        </w:rPr>
        <w:t>predict</w:t>
      </w:r>
      <w:r w:rsidRPr="00571085">
        <w:rPr>
          <w:rFonts w:ascii="Times New Roman" w:eastAsia="Times New Roman" w:hAnsi="Times New Roman" w:cs="Times New Roman"/>
          <w:color w:val="000000"/>
          <w:sz w:val="24"/>
          <w:szCs w:val="24"/>
        </w:rPr>
        <w:t xml:space="preserve"> </w:t>
      </w:r>
      <w:r w:rsidR="00630675" w:rsidRPr="00571085">
        <w:rPr>
          <w:rFonts w:ascii="Times New Roman" w:eastAsia="Times New Roman" w:hAnsi="Times New Roman" w:cs="Times New Roman"/>
          <w:color w:val="000000"/>
          <w:sz w:val="24"/>
          <w:szCs w:val="24"/>
        </w:rPr>
        <w:t>future urban growth</w:t>
      </w:r>
      <w:r w:rsidRPr="00571085">
        <w:rPr>
          <w:rFonts w:ascii="Times New Roman" w:eastAsia="Times New Roman" w:hAnsi="Times New Roman" w:cs="Times New Roman"/>
          <w:color w:val="000000"/>
          <w:sz w:val="24"/>
          <w:szCs w:val="24"/>
        </w:rPr>
        <w:t xml:space="preserve"> patterns in Juba </w:t>
      </w:r>
      <w:r w:rsidR="00630675" w:rsidRPr="00571085">
        <w:rPr>
          <w:rFonts w:ascii="Times New Roman" w:eastAsia="Times New Roman" w:hAnsi="Times New Roman" w:cs="Times New Roman"/>
          <w:color w:val="000000"/>
          <w:sz w:val="24"/>
          <w:szCs w:val="24"/>
        </w:rPr>
        <w:t>for the period</w:t>
      </w:r>
      <w:r w:rsidR="004B7B60" w:rsidRPr="00571085">
        <w:rPr>
          <w:rFonts w:ascii="Times New Roman" w:eastAsia="Times New Roman" w:hAnsi="Times New Roman" w:cs="Times New Roman"/>
          <w:color w:val="000000"/>
          <w:sz w:val="24"/>
          <w:szCs w:val="24"/>
        </w:rPr>
        <w:t xml:space="preserve"> 2024-2033 using the trained model</w:t>
      </w:r>
      <w:r w:rsidRPr="00571085">
        <w:rPr>
          <w:rFonts w:ascii="Times New Roman" w:eastAsia="Times New Roman" w:hAnsi="Times New Roman" w:cs="Times New Roman"/>
          <w:color w:val="000000"/>
          <w:sz w:val="24"/>
          <w:szCs w:val="24"/>
        </w:rPr>
        <w:t xml:space="preserve">. </w:t>
      </w:r>
    </w:p>
    <w:p w14:paraId="73F071B4" w14:textId="77777777" w:rsidR="00BE3DCB" w:rsidRPr="00571085" w:rsidRDefault="00000000" w:rsidP="00AE5E64">
      <w:pPr>
        <w:pStyle w:val="Heading3"/>
        <w:widowControl w:val="0"/>
        <w:spacing w:before="372" w:line="360" w:lineRule="auto"/>
        <w:ind w:left="16"/>
        <w:jc w:val="both"/>
      </w:pPr>
      <w:bookmarkStart w:id="8" w:name="_8l5fpj9f5boj" w:colFirst="0" w:colLast="0"/>
      <w:bookmarkEnd w:id="8"/>
      <w:r w:rsidRPr="00571085">
        <w:t xml:space="preserve">1.4 Significance of the study </w:t>
      </w:r>
    </w:p>
    <w:p w14:paraId="5CFF3DB8" w14:textId="1F0595D3" w:rsidR="00630675" w:rsidRPr="00571085" w:rsidRDefault="00630675" w:rsidP="00AE5E64">
      <w:pPr>
        <w:widowControl w:val="0"/>
        <w:pBdr>
          <w:top w:val="nil"/>
          <w:left w:val="nil"/>
          <w:bottom w:val="nil"/>
          <w:right w:val="nil"/>
          <w:between w:val="nil"/>
        </w:pBdr>
        <w:spacing w:before="160"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Urbanization in Juba, South Sudan, is rapidly transforming the city</w:t>
      </w:r>
      <w:r w:rsidRPr="00571085">
        <w:rPr>
          <w:rFonts w:ascii="Times New Roman" w:eastAsia="Times New Roman" w:hAnsi="Times New Roman" w:cs="Times New Roman"/>
          <w:color w:val="000000"/>
          <w:sz w:val="24"/>
          <w:szCs w:val="24"/>
        </w:rPr>
        <w:t xml:space="preserve"> and the</w:t>
      </w:r>
      <w:r w:rsidRPr="00571085">
        <w:rPr>
          <w:rFonts w:ascii="Times New Roman" w:eastAsia="Times New Roman" w:hAnsi="Times New Roman" w:cs="Times New Roman"/>
          <w:color w:val="000000"/>
          <w:sz w:val="24"/>
          <w:szCs w:val="24"/>
        </w:rPr>
        <w:t xml:space="preserve"> landscape</w:t>
      </w:r>
      <w:r w:rsidRPr="00571085">
        <w:rPr>
          <w:rFonts w:ascii="Times New Roman" w:eastAsia="Times New Roman" w:hAnsi="Times New Roman" w:cs="Times New Roman"/>
          <w:color w:val="000000"/>
          <w:sz w:val="24"/>
          <w:szCs w:val="24"/>
        </w:rPr>
        <w:t xml:space="preserve"> of its neighborhood</w:t>
      </w:r>
      <w:r w:rsidRPr="00571085">
        <w:rPr>
          <w:rFonts w:ascii="Times New Roman" w:eastAsia="Times New Roman" w:hAnsi="Times New Roman" w:cs="Times New Roman"/>
          <w:color w:val="000000"/>
          <w:sz w:val="24"/>
          <w:szCs w:val="24"/>
        </w:rPr>
        <w:t xml:space="preserve">, presenting both opportunities for economic development and challenges related to infrastructure, environmental sustainability, and resource management. Understanding past trends and forecasting future urban expansion </w:t>
      </w:r>
      <w:r w:rsidRPr="00571085">
        <w:rPr>
          <w:rFonts w:ascii="Times New Roman" w:eastAsia="Times New Roman" w:hAnsi="Times New Roman" w:cs="Times New Roman"/>
          <w:color w:val="000000"/>
          <w:sz w:val="24"/>
          <w:szCs w:val="24"/>
        </w:rPr>
        <w:t xml:space="preserve">will be vital </w:t>
      </w:r>
      <w:r w:rsidRPr="00571085">
        <w:rPr>
          <w:rFonts w:ascii="Times New Roman" w:eastAsia="Times New Roman" w:hAnsi="Times New Roman" w:cs="Times New Roman"/>
          <w:color w:val="000000"/>
          <w:sz w:val="24"/>
          <w:szCs w:val="24"/>
        </w:rPr>
        <w:t>for informed decision-making and sustainable urban planning.</w:t>
      </w:r>
    </w:p>
    <w:p w14:paraId="38499628" w14:textId="2A7DC117" w:rsidR="00630675" w:rsidRPr="00571085" w:rsidRDefault="00630675" w:rsidP="00AE5E64">
      <w:pPr>
        <w:widowControl w:val="0"/>
        <w:pBdr>
          <w:top w:val="nil"/>
          <w:left w:val="nil"/>
          <w:bottom w:val="nil"/>
          <w:right w:val="nil"/>
          <w:between w:val="nil"/>
        </w:pBdr>
        <w:spacing w:before="160"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lastRenderedPageBreak/>
        <w:t>T</w:t>
      </w:r>
      <w:r w:rsidRPr="00571085">
        <w:rPr>
          <w:rFonts w:ascii="Times New Roman" w:eastAsia="Times New Roman" w:hAnsi="Times New Roman" w:cs="Times New Roman"/>
          <w:color w:val="000000"/>
          <w:sz w:val="24"/>
          <w:szCs w:val="24"/>
        </w:rPr>
        <w:t>his study is significant as it leverages Machine Learning’s Random Forest and advanced</w:t>
      </w:r>
      <w:r w:rsidR="00980748" w:rsidRPr="00571085">
        <w:rPr>
          <w:rFonts w:ascii="Times New Roman" w:eastAsia="Times New Roman" w:hAnsi="Times New Roman" w:cs="Times New Roman"/>
          <w:color w:val="000000"/>
          <w:sz w:val="24"/>
          <w:szCs w:val="24"/>
        </w:rPr>
        <w:t xml:space="preserve"> open-source</w:t>
      </w:r>
      <w:r w:rsidRPr="00571085">
        <w:rPr>
          <w:rFonts w:ascii="Times New Roman" w:eastAsia="Times New Roman" w:hAnsi="Times New Roman" w:cs="Times New Roman"/>
          <w:color w:val="000000"/>
          <w:sz w:val="24"/>
          <w:szCs w:val="24"/>
        </w:rPr>
        <w:t xml:space="preserve"> geospatial pre-processing techniques</w:t>
      </w:r>
      <w:r w:rsidR="00980748" w:rsidRPr="00571085">
        <w:rPr>
          <w:rFonts w:ascii="Times New Roman" w:eastAsia="Times New Roman" w:hAnsi="Times New Roman" w:cs="Times New Roman"/>
          <w:color w:val="000000"/>
          <w:sz w:val="24"/>
          <w:szCs w:val="24"/>
        </w:rPr>
        <w:t xml:space="preserve"> using both Google Earth Engine (GEE) and Quantum Geographic Information System (GIS)</w:t>
      </w:r>
      <w:r w:rsidRPr="00571085">
        <w:rPr>
          <w:rFonts w:ascii="Times New Roman" w:eastAsia="Times New Roman" w:hAnsi="Times New Roman" w:cs="Times New Roman"/>
          <w:color w:val="000000"/>
          <w:sz w:val="24"/>
          <w:szCs w:val="24"/>
        </w:rPr>
        <w:t xml:space="preserve">, including cloud masking and ground control points (GCPs), to analyze urban growth patterns. By utilizing Landsat 5 and 7 data from 1994 to 2023, this research provides </w:t>
      </w:r>
      <w:r w:rsidR="00980748" w:rsidRPr="00571085">
        <w:rPr>
          <w:rFonts w:ascii="Times New Roman" w:eastAsia="Times New Roman" w:hAnsi="Times New Roman" w:cs="Times New Roman"/>
          <w:color w:val="000000"/>
          <w:sz w:val="24"/>
          <w:szCs w:val="24"/>
        </w:rPr>
        <w:t xml:space="preserve">an Informatics-informed </w:t>
      </w:r>
      <w:r w:rsidRPr="00571085">
        <w:rPr>
          <w:rFonts w:ascii="Times New Roman" w:eastAsia="Times New Roman" w:hAnsi="Times New Roman" w:cs="Times New Roman"/>
          <w:color w:val="000000"/>
          <w:sz w:val="24"/>
          <w:szCs w:val="24"/>
        </w:rPr>
        <w:t>data-driven foundation for predicting Juba’s urban expansion from 2024 to 2033. The findings will enable urban planners, policymakers, and researchers to:</w:t>
      </w:r>
    </w:p>
    <w:p w14:paraId="53E7D6A1" w14:textId="4F1D8CD5" w:rsidR="00980748" w:rsidRPr="00571085" w:rsidRDefault="00980748" w:rsidP="00AE5E64">
      <w:pPr>
        <w:pStyle w:val="ListParagraph"/>
        <w:widowControl w:val="0"/>
        <w:numPr>
          <w:ilvl w:val="0"/>
          <w:numId w:val="9"/>
        </w:numPr>
        <w:pBdr>
          <w:top w:val="nil"/>
          <w:left w:val="nil"/>
          <w:bottom w:val="nil"/>
          <w:right w:val="nil"/>
          <w:between w:val="nil"/>
        </w:pBdr>
        <w:spacing w:before="160"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Enhance Urban Planning: By identifying historical land-use trends and forecasting future urban growth, </w:t>
      </w:r>
      <w:r w:rsidRPr="00571085">
        <w:rPr>
          <w:rFonts w:ascii="Times New Roman" w:eastAsia="Times New Roman" w:hAnsi="Times New Roman" w:cs="Times New Roman"/>
          <w:color w:val="000000"/>
          <w:sz w:val="24"/>
          <w:szCs w:val="24"/>
        </w:rPr>
        <w:t xml:space="preserve">national, state, and </w:t>
      </w:r>
      <w:r w:rsidRPr="00571085">
        <w:rPr>
          <w:rFonts w:ascii="Times New Roman" w:eastAsia="Times New Roman" w:hAnsi="Times New Roman" w:cs="Times New Roman"/>
          <w:color w:val="000000"/>
          <w:sz w:val="24"/>
          <w:szCs w:val="24"/>
        </w:rPr>
        <w:t>city planners</w:t>
      </w:r>
      <w:r w:rsidR="003A07C7" w:rsidRPr="00571085">
        <w:rPr>
          <w:rFonts w:ascii="Times New Roman" w:eastAsia="Times New Roman" w:hAnsi="Times New Roman" w:cs="Times New Roman"/>
          <w:color w:val="000000"/>
          <w:sz w:val="24"/>
          <w:szCs w:val="24"/>
        </w:rPr>
        <w:t xml:space="preserve"> and policy makers</w:t>
      </w:r>
      <w:r w:rsidRPr="00571085">
        <w:rPr>
          <w:rFonts w:ascii="Times New Roman" w:eastAsia="Times New Roman" w:hAnsi="Times New Roman" w:cs="Times New Roman"/>
          <w:color w:val="000000"/>
          <w:sz w:val="24"/>
          <w:szCs w:val="24"/>
        </w:rPr>
        <w:t xml:space="preserve"> can implement data-driven policies that promote sustainable development and efficient land management.</w:t>
      </w:r>
    </w:p>
    <w:p w14:paraId="284D4454" w14:textId="44618122" w:rsidR="00980748" w:rsidRPr="00571085" w:rsidRDefault="00980748" w:rsidP="00AE5E64">
      <w:pPr>
        <w:pStyle w:val="ListParagraph"/>
        <w:widowControl w:val="0"/>
        <w:numPr>
          <w:ilvl w:val="0"/>
          <w:numId w:val="9"/>
        </w:numPr>
        <w:pBdr>
          <w:top w:val="nil"/>
          <w:left w:val="nil"/>
          <w:bottom w:val="nil"/>
          <w:right w:val="nil"/>
          <w:between w:val="nil"/>
        </w:pBdr>
        <w:spacing w:before="160"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Support Infrastructure Development: Accurate predictions of </w:t>
      </w:r>
      <w:r w:rsidR="003A07C7" w:rsidRPr="00571085">
        <w:rPr>
          <w:rFonts w:ascii="Times New Roman" w:eastAsia="Times New Roman" w:hAnsi="Times New Roman" w:cs="Times New Roman"/>
          <w:color w:val="000000"/>
          <w:sz w:val="24"/>
          <w:szCs w:val="24"/>
        </w:rPr>
        <w:t xml:space="preserve">Juba’s </w:t>
      </w:r>
      <w:r w:rsidRPr="00571085">
        <w:rPr>
          <w:rFonts w:ascii="Times New Roman" w:eastAsia="Times New Roman" w:hAnsi="Times New Roman" w:cs="Times New Roman"/>
          <w:color w:val="000000"/>
          <w:sz w:val="24"/>
          <w:szCs w:val="24"/>
        </w:rPr>
        <w:t xml:space="preserve">urban expansion can inform the strategic placement of roads, utilities, housing, </w:t>
      </w:r>
      <w:r w:rsidR="003A07C7" w:rsidRPr="00571085">
        <w:rPr>
          <w:rFonts w:ascii="Times New Roman" w:eastAsia="Times New Roman" w:hAnsi="Times New Roman" w:cs="Times New Roman"/>
          <w:color w:val="000000"/>
          <w:sz w:val="24"/>
          <w:szCs w:val="24"/>
        </w:rPr>
        <w:t xml:space="preserve">disaster preparedness, </w:t>
      </w:r>
      <w:r w:rsidRPr="00571085">
        <w:rPr>
          <w:rFonts w:ascii="Times New Roman" w:eastAsia="Times New Roman" w:hAnsi="Times New Roman" w:cs="Times New Roman"/>
          <w:color w:val="000000"/>
          <w:sz w:val="24"/>
          <w:szCs w:val="24"/>
        </w:rPr>
        <w:t>and public services, ensuring that infrastructure development aligns with population growth.</w:t>
      </w:r>
    </w:p>
    <w:p w14:paraId="22897D24" w14:textId="79E33591" w:rsidR="00980748" w:rsidRPr="00571085" w:rsidRDefault="00980748" w:rsidP="00AE5E64">
      <w:pPr>
        <w:pStyle w:val="ListParagraph"/>
        <w:widowControl w:val="0"/>
        <w:numPr>
          <w:ilvl w:val="0"/>
          <w:numId w:val="9"/>
        </w:numPr>
        <w:pBdr>
          <w:top w:val="nil"/>
          <w:left w:val="nil"/>
          <w:bottom w:val="nil"/>
          <w:right w:val="nil"/>
          <w:between w:val="nil"/>
        </w:pBdr>
        <w:spacing w:before="160"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Mitigate Environmental and Social Risks: Understanding patterns of urbanization allows stakeholders to anticipate and address potential challenges, such as deforestation, loss of green spaces, </w:t>
      </w:r>
      <w:r w:rsidR="003A07C7" w:rsidRPr="00571085">
        <w:rPr>
          <w:rFonts w:ascii="Times New Roman" w:eastAsia="Times New Roman" w:hAnsi="Times New Roman" w:cs="Times New Roman"/>
          <w:color w:val="000000"/>
          <w:sz w:val="24"/>
          <w:szCs w:val="24"/>
        </w:rPr>
        <w:t xml:space="preserve">flood planning, </w:t>
      </w:r>
      <w:r w:rsidRPr="00571085">
        <w:rPr>
          <w:rFonts w:ascii="Times New Roman" w:eastAsia="Times New Roman" w:hAnsi="Times New Roman" w:cs="Times New Roman"/>
          <w:color w:val="000000"/>
          <w:sz w:val="24"/>
          <w:szCs w:val="24"/>
        </w:rPr>
        <w:t>and informal settlements, which can impact climate resilience and socio-economic stability.</w:t>
      </w:r>
    </w:p>
    <w:p w14:paraId="051058C7" w14:textId="7942219A" w:rsidR="00980748" w:rsidRPr="00571085" w:rsidRDefault="00980748" w:rsidP="00AE5E64">
      <w:pPr>
        <w:pStyle w:val="ListParagraph"/>
        <w:widowControl w:val="0"/>
        <w:numPr>
          <w:ilvl w:val="0"/>
          <w:numId w:val="9"/>
        </w:numPr>
        <w:pBdr>
          <w:top w:val="nil"/>
          <w:left w:val="nil"/>
          <w:bottom w:val="nil"/>
          <w:right w:val="nil"/>
          <w:between w:val="nil"/>
        </w:pBdr>
        <w:spacing w:before="160"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Advance Geospatial and Machine Learning Applications: This study contributes to the growing field of geospatial machine learning by demonstrating the effectiveness of Random Forest in modeling and predicting urban growth, setting a benchmark for future studies in the region.</w:t>
      </w:r>
    </w:p>
    <w:p w14:paraId="0AD29F42" w14:textId="5F2A6A70" w:rsidR="00980748" w:rsidRPr="00571085" w:rsidRDefault="00980748" w:rsidP="00AE5E64">
      <w:pPr>
        <w:pStyle w:val="ListParagraph"/>
        <w:widowControl w:val="0"/>
        <w:numPr>
          <w:ilvl w:val="0"/>
          <w:numId w:val="9"/>
        </w:numPr>
        <w:pBdr>
          <w:top w:val="nil"/>
          <w:left w:val="nil"/>
          <w:bottom w:val="nil"/>
          <w:right w:val="nil"/>
          <w:between w:val="nil"/>
        </w:pBdr>
        <w:spacing w:before="160"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Provide a Decision-Support Tool: The predictive model developed in this study can serve as a decision-support system, enabling government agencies, urban developers, and policymakers to make proactive, evidence-based choices for Juba’s future growth.</w:t>
      </w:r>
    </w:p>
    <w:p w14:paraId="2D7D7E13" w14:textId="255D7803" w:rsidR="00BE3DCB" w:rsidRPr="00571085" w:rsidRDefault="00000000" w:rsidP="00AE5E64">
      <w:pPr>
        <w:widowControl w:val="0"/>
        <w:pBdr>
          <w:top w:val="nil"/>
          <w:left w:val="nil"/>
          <w:bottom w:val="nil"/>
          <w:right w:val="nil"/>
          <w:between w:val="nil"/>
        </w:pBdr>
        <w:spacing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 </w:t>
      </w:r>
      <w:r w:rsidR="003A07C7" w:rsidRPr="00571085">
        <w:rPr>
          <w:rFonts w:ascii="Times New Roman" w:eastAsia="Times New Roman" w:hAnsi="Times New Roman" w:cs="Times New Roman"/>
          <w:color w:val="000000"/>
          <w:sz w:val="24"/>
          <w:szCs w:val="24"/>
        </w:rPr>
        <w:t>By combining historical analysis with predictive modeling, this research will not only deepen the understanding of Juba’s urban transformation but also provide practical insights for managing its expansion in a sustainable and resilient manner.</w:t>
      </w:r>
    </w:p>
    <w:p w14:paraId="425A72D2" w14:textId="77777777" w:rsidR="00BE3DCB" w:rsidRPr="00571085" w:rsidRDefault="00000000" w:rsidP="00AE5E64">
      <w:pPr>
        <w:pStyle w:val="Heading3"/>
        <w:widowControl w:val="0"/>
        <w:spacing w:before="373" w:line="360" w:lineRule="auto"/>
        <w:ind w:left="16"/>
        <w:jc w:val="both"/>
      </w:pPr>
      <w:bookmarkStart w:id="9" w:name="_8peioa982rgo" w:colFirst="0" w:colLast="0"/>
      <w:bookmarkEnd w:id="9"/>
      <w:r w:rsidRPr="00571085">
        <w:t xml:space="preserve">1.5 Research Questions </w:t>
      </w:r>
    </w:p>
    <w:p w14:paraId="22F3CCEA" w14:textId="77777777" w:rsidR="00BE3DCB" w:rsidRPr="00571085" w:rsidRDefault="00000000" w:rsidP="00AE5E64">
      <w:pPr>
        <w:widowControl w:val="0"/>
        <w:pBdr>
          <w:top w:val="nil"/>
          <w:left w:val="nil"/>
          <w:bottom w:val="nil"/>
          <w:right w:val="nil"/>
          <w:between w:val="nil"/>
        </w:pBdr>
        <w:spacing w:before="161" w:line="360" w:lineRule="auto"/>
        <w:ind w:left="365" w:right="520" w:hanging="362"/>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To achieve the research objectives, the study shall address two (2) key questions. These are:</w:t>
      </w:r>
    </w:p>
    <w:p w14:paraId="7E08F2B0" w14:textId="0E90042D" w:rsidR="00BE3DCB" w:rsidRPr="00571085" w:rsidRDefault="00000000" w:rsidP="00AE5E64">
      <w:pPr>
        <w:widowControl w:val="0"/>
        <w:numPr>
          <w:ilvl w:val="0"/>
          <w:numId w:val="4"/>
        </w:numPr>
        <w:pBdr>
          <w:top w:val="nil"/>
          <w:left w:val="nil"/>
          <w:bottom w:val="nil"/>
          <w:right w:val="nil"/>
          <w:between w:val="nil"/>
        </w:pBdr>
        <w:spacing w:before="161" w:line="360" w:lineRule="auto"/>
        <w:ind w:right="520"/>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What are the historical trends and patterns of urban growth in Juba from </w:t>
      </w:r>
      <w:r w:rsidR="00700655" w:rsidRPr="00571085">
        <w:rPr>
          <w:rFonts w:ascii="Times New Roman" w:eastAsia="Times New Roman" w:hAnsi="Times New Roman" w:cs="Times New Roman"/>
          <w:sz w:val="24"/>
          <w:szCs w:val="24"/>
        </w:rPr>
        <w:t>1994</w:t>
      </w:r>
      <w:r w:rsidRPr="00571085">
        <w:rPr>
          <w:rFonts w:ascii="Times New Roman" w:eastAsia="Times New Roman" w:hAnsi="Times New Roman" w:cs="Times New Roman"/>
          <w:color w:val="000000"/>
          <w:sz w:val="24"/>
          <w:szCs w:val="24"/>
        </w:rPr>
        <w:t xml:space="preserve"> to </w:t>
      </w:r>
      <w:r w:rsidR="00700655" w:rsidRPr="00571085">
        <w:rPr>
          <w:rFonts w:ascii="Times New Roman" w:eastAsia="Times New Roman" w:hAnsi="Times New Roman" w:cs="Times New Roman"/>
          <w:color w:val="000000"/>
          <w:sz w:val="24"/>
          <w:szCs w:val="24"/>
        </w:rPr>
        <w:t xml:space="preserve">the </w:t>
      </w:r>
      <w:r w:rsidR="00700655" w:rsidRPr="00571085">
        <w:rPr>
          <w:rFonts w:ascii="Times New Roman" w:eastAsia="Times New Roman" w:hAnsi="Times New Roman" w:cs="Times New Roman"/>
          <w:color w:val="000000"/>
          <w:sz w:val="24"/>
          <w:szCs w:val="24"/>
        </w:rPr>
        <w:lastRenderedPageBreak/>
        <w:t>present (2023)</w:t>
      </w:r>
      <w:r w:rsidR="00E90F40" w:rsidRPr="00571085">
        <w:rPr>
          <w:rFonts w:ascii="Times New Roman" w:eastAsia="Times New Roman" w:hAnsi="Times New Roman" w:cs="Times New Roman"/>
          <w:color w:val="000000"/>
          <w:sz w:val="24"/>
          <w:szCs w:val="24"/>
        </w:rPr>
        <w:t xml:space="preserve"> based on Landsat 5 and 7 data</w:t>
      </w:r>
      <w:r w:rsidRPr="00571085">
        <w:rPr>
          <w:rFonts w:ascii="Times New Roman" w:eastAsia="Times New Roman" w:hAnsi="Times New Roman" w:cs="Times New Roman"/>
          <w:color w:val="000000"/>
          <w:sz w:val="24"/>
          <w:szCs w:val="24"/>
        </w:rPr>
        <w:t xml:space="preserve">? </w:t>
      </w:r>
    </w:p>
    <w:p w14:paraId="112F2B28" w14:textId="0453022B" w:rsidR="00E90F40" w:rsidRPr="00571085" w:rsidRDefault="00E90F40" w:rsidP="00AE5E64">
      <w:pPr>
        <w:widowControl w:val="0"/>
        <w:numPr>
          <w:ilvl w:val="0"/>
          <w:numId w:val="4"/>
        </w:numPr>
        <w:pBdr>
          <w:top w:val="nil"/>
          <w:left w:val="nil"/>
          <w:bottom w:val="nil"/>
          <w:right w:val="nil"/>
          <w:between w:val="nil"/>
        </w:pBdr>
        <w:spacing w:before="161" w:line="360" w:lineRule="auto"/>
        <w:ind w:right="520"/>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How well does the trained Random Forest model perform in detecting historical urban growth trends in Juba from 1994-2003?</w:t>
      </w:r>
    </w:p>
    <w:p w14:paraId="3853474B" w14:textId="2A5A37BC" w:rsidR="00BE3DCB" w:rsidRPr="00571085" w:rsidRDefault="00000000" w:rsidP="00AE5E64">
      <w:pPr>
        <w:widowControl w:val="0"/>
        <w:numPr>
          <w:ilvl w:val="0"/>
          <w:numId w:val="4"/>
        </w:numPr>
        <w:pBdr>
          <w:top w:val="nil"/>
          <w:left w:val="nil"/>
          <w:bottom w:val="nil"/>
          <w:right w:val="nil"/>
          <w:between w:val="nil"/>
        </w:pBdr>
        <w:spacing w:line="360" w:lineRule="auto"/>
        <w:ind w:right="520"/>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What are the anticipated</w:t>
      </w:r>
      <w:r w:rsidR="00DF7CB2" w:rsidRPr="00571085">
        <w:rPr>
          <w:rFonts w:ascii="Times New Roman" w:eastAsia="Times New Roman" w:hAnsi="Times New Roman" w:cs="Times New Roman"/>
          <w:color w:val="000000"/>
          <w:sz w:val="24"/>
          <w:szCs w:val="24"/>
        </w:rPr>
        <w:t xml:space="preserve"> (predicted)</w:t>
      </w:r>
      <w:r w:rsidRPr="00571085">
        <w:rPr>
          <w:rFonts w:ascii="Times New Roman" w:eastAsia="Times New Roman" w:hAnsi="Times New Roman" w:cs="Times New Roman"/>
          <w:color w:val="000000"/>
          <w:sz w:val="24"/>
          <w:szCs w:val="24"/>
        </w:rPr>
        <w:t xml:space="preserve"> future patterns of urban growth in Juba </w:t>
      </w:r>
      <w:r w:rsidR="00DF7CB2" w:rsidRPr="00571085">
        <w:rPr>
          <w:rFonts w:ascii="Times New Roman" w:eastAsia="Times New Roman" w:hAnsi="Times New Roman" w:cs="Times New Roman"/>
          <w:color w:val="000000"/>
          <w:sz w:val="24"/>
          <w:szCs w:val="24"/>
        </w:rPr>
        <w:t>from 2024-2033</w:t>
      </w:r>
      <w:r w:rsidRPr="00571085">
        <w:rPr>
          <w:rFonts w:ascii="Times New Roman" w:eastAsia="Times New Roman" w:hAnsi="Times New Roman" w:cs="Times New Roman"/>
          <w:color w:val="000000"/>
          <w:sz w:val="24"/>
          <w:szCs w:val="24"/>
        </w:rPr>
        <w:t xml:space="preserve">? </w:t>
      </w:r>
    </w:p>
    <w:p w14:paraId="7048672F" w14:textId="36C72F7C" w:rsidR="00DF7CB2" w:rsidRPr="00571085" w:rsidRDefault="00DF7CB2" w:rsidP="00AE5E64">
      <w:pPr>
        <w:widowControl w:val="0"/>
        <w:numPr>
          <w:ilvl w:val="0"/>
          <w:numId w:val="4"/>
        </w:numPr>
        <w:pBdr>
          <w:top w:val="nil"/>
          <w:left w:val="nil"/>
          <w:bottom w:val="nil"/>
          <w:right w:val="nil"/>
          <w:between w:val="nil"/>
        </w:pBdr>
        <w:spacing w:line="360" w:lineRule="auto"/>
        <w:ind w:right="520"/>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How can predictive urban growth modeling support decision-making for sustainable land management and infrastructure planning in Juba?</w:t>
      </w:r>
    </w:p>
    <w:p w14:paraId="77ED0107" w14:textId="77777777" w:rsidR="00DF7CB2" w:rsidRPr="00571085" w:rsidRDefault="00DF7CB2" w:rsidP="00AE5E64">
      <w:pPr>
        <w:pStyle w:val="Heading2"/>
        <w:widowControl w:val="0"/>
        <w:spacing w:before="640" w:line="360" w:lineRule="auto"/>
        <w:ind w:left="13"/>
        <w:jc w:val="both"/>
        <w:rPr>
          <w:rFonts w:ascii="Times New Roman" w:eastAsia="Times New Roman" w:hAnsi="Times New Roman" w:cs="Times New Roman"/>
          <w:sz w:val="24"/>
          <w:szCs w:val="24"/>
        </w:rPr>
      </w:pPr>
      <w:bookmarkStart w:id="10" w:name="_5jd24vw8b1d5" w:colFirst="0" w:colLast="0"/>
      <w:bookmarkStart w:id="11" w:name="_80nlpwq2fxla" w:colFirst="0" w:colLast="0"/>
      <w:bookmarkEnd w:id="10"/>
      <w:bookmarkEnd w:id="11"/>
    </w:p>
    <w:p w14:paraId="3A149A08" w14:textId="77777777" w:rsidR="00DF7CB2" w:rsidRPr="00571085" w:rsidRDefault="00DF7CB2" w:rsidP="00AE5E64">
      <w:pPr>
        <w:pStyle w:val="Heading2"/>
        <w:widowControl w:val="0"/>
        <w:spacing w:before="640" w:line="360" w:lineRule="auto"/>
        <w:ind w:left="13"/>
        <w:jc w:val="both"/>
        <w:rPr>
          <w:rFonts w:ascii="Times New Roman" w:eastAsia="Times New Roman" w:hAnsi="Times New Roman" w:cs="Times New Roman"/>
          <w:sz w:val="24"/>
          <w:szCs w:val="24"/>
        </w:rPr>
      </w:pPr>
    </w:p>
    <w:p w14:paraId="596FF4C7" w14:textId="77777777" w:rsidR="00DF7CB2" w:rsidRPr="00571085" w:rsidRDefault="00DF7CB2" w:rsidP="00AE5E64">
      <w:pPr>
        <w:spacing w:line="360" w:lineRule="auto"/>
        <w:jc w:val="both"/>
        <w:rPr>
          <w:rFonts w:ascii="Times New Roman" w:eastAsia="Times New Roman" w:hAnsi="Times New Roman" w:cs="Times New Roman"/>
          <w:b/>
          <w:sz w:val="24"/>
          <w:szCs w:val="24"/>
        </w:rPr>
      </w:pPr>
      <w:r w:rsidRPr="00571085">
        <w:rPr>
          <w:rFonts w:ascii="Times New Roman" w:eastAsia="Times New Roman" w:hAnsi="Times New Roman" w:cs="Times New Roman"/>
          <w:sz w:val="24"/>
          <w:szCs w:val="24"/>
        </w:rPr>
        <w:br w:type="page"/>
      </w:r>
    </w:p>
    <w:p w14:paraId="70C455AB" w14:textId="27FE14C8" w:rsidR="00BE3DCB" w:rsidRPr="00571085" w:rsidRDefault="00000000" w:rsidP="00AE5E64">
      <w:pPr>
        <w:pStyle w:val="Heading2"/>
        <w:widowControl w:val="0"/>
        <w:spacing w:before="640" w:line="360" w:lineRule="auto"/>
        <w:ind w:left="13"/>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lastRenderedPageBreak/>
        <w:t xml:space="preserve">Chapter 2: Literature review. </w:t>
      </w:r>
    </w:p>
    <w:p w14:paraId="371773FD" w14:textId="77777777" w:rsidR="00BE3DCB" w:rsidRPr="00571085" w:rsidRDefault="00000000" w:rsidP="00AE5E64">
      <w:pPr>
        <w:pStyle w:val="Heading3"/>
        <w:widowControl w:val="0"/>
        <w:spacing w:before="411" w:line="360" w:lineRule="auto"/>
        <w:ind w:left="4"/>
        <w:jc w:val="both"/>
      </w:pPr>
      <w:bookmarkStart w:id="12" w:name="_cvxj9jn5ximg" w:colFirst="0" w:colLast="0"/>
      <w:bookmarkEnd w:id="12"/>
      <w:r w:rsidRPr="00571085">
        <w:t xml:space="preserve">2.1 Introduction  </w:t>
      </w:r>
    </w:p>
    <w:p w14:paraId="19C975EC" w14:textId="39114C3F" w:rsidR="00BE3DCB" w:rsidRPr="00571085" w:rsidRDefault="00000000" w:rsidP="00AE5E64">
      <w:pPr>
        <w:widowControl w:val="0"/>
        <w:pBdr>
          <w:top w:val="nil"/>
          <w:left w:val="nil"/>
          <w:bottom w:val="nil"/>
          <w:right w:val="nil"/>
          <w:between w:val="nil"/>
        </w:pBdr>
        <w:spacing w:before="253" w:line="360" w:lineRule="auto"/>
        <w:ind w:right="1" w:firstLine="2"/>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Urban growth prediction is a</w:t>
      </w:r>
      <w:r w:rsidR="003B56D5" w:rsidRPr="00571085">
        <w:rPr>
          <w:rFonts w:ascii="Times New Roman" w:eastAsia="Times New Roman" w:hAnsi="Times New Roman" w:cs="Times New Roman"/>
          <w:color w:val="000000"/>
          <w:sz w:val="24"/>
          <w:szCs w:val="24"/>
        </w:rPr>
        <w:t xml:space="preserve">n important </w:t>
      </w:r>
      <w:r w:rsidRPr="00571085">
        <w:rPr>
          <w:rFonts w:ascii="Times New Roman" w:eastAsia="Times New Roman" w:hAnsi="Times New Roman" w:cs="Times New Roman"/>
          <w:color w:val="000000"/>
          <w:sz w:val="24"/>
          <w:szCs w:val="24"/>
        </w:rPr>
        <w:t xml:space="preserve">component of urban planning and sustainable development,  particularly in rapidly urbanizing regions such as Juba, the </w:t>
      </w:r>
      <w:r w:rsidR="003B56D5" w:rsidRPr="00571085">
        <w:rPr>
          <w:rFonts w:ascii="Times New Roman" w:eastAsia="Times New Roman" w:hAnsi="Times New Roman" w:cs="Times New Roman"/>
          <w:color w:val="000000"/>
          <w:sz w:val="24"/>
          <w:szCs w:val="24"/>
        </w:rPr>
        <w:t>capital of Central Equatoria State that doubles as the C</w:t>
      </w:r>
      <w:r w:rsidRPr="00571085">
        <w:rPr>
          <w:rFonts w:ascii="Times New Roman" w:eastAsia="Times New Roman" w:hAnsi="Times New Roman" w:cs="Times New Roman"/>
          <w:color w:val="000000"/>
          <w:sz w:val="24"/>
          <w:szCs w:val="24"/>
        </w:rPr>
        <w:t>apital city of South Sudan. Juba has</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experienced significant changes in land use and land cover (LULC) over the past few decades</w:t>
      </w:r>
      <w:r w:rsidR="003B56D5" w:rsidRPr="00571085">
        <w:rPr>
          <w:rFonts w:ascii="Times New Roman" w:eastAsia="Times New Roman" w:hAnsi="Times New Roman" w:cs="Times New Roman"/>
          <w:color w:val="000000"/>
          <w:sz w:val="24"/>
          <w:szCs w:val="24"/>
        </w:rPr>
        <w:t xml:space="preserve"> as noted by </w:t>
      </w:r>
      <w:r w:rsidR="003B56D5" w:rsidRPr="00571085">
        <w:rPr>
          <w:rFonts w:ascii="Times New Roman" w:eastAsia="Times New Roman" w:hAnsi="Times New Roman" w:cs="Times New Roman"/>
          <w:color w:val="000000"/>
          <w:sz w:val="24"/>
          <w:szCs w:val="24"/>
        </w:rPr>
        <w:fldChar w:fldCharType="begin"/>
      </w:r>
      <w:r w:rsidR="00EE5313" w:rsidRPr="00571085">
        <w:rPr>
          <w:rFonts w:ascii="Times New Roman" w:eastAsia="Times New Roman" w:hAnsi="Times New Roman" w:cs="Times New Roman"/>
          <w:color w:val="000000"/>
          <w:sz w:val="24"/>
          <w:szCs w:val="24"/>
        </w:rPr>
        <w:instrText xml:space="preserve"> ADDIN ZOTERO_ITEM CSL_CITATION {"citationID":"B8zrg8nI","properties":{"formattedCitation":"(Gudo, Deng and Qureshi, 2022a; UN-HABITAT {\\i{}et al.}, 2023)","plainCitation":"(Gudo, Deng and Qureshi, 2022a; UN-HABITAT et al., 2023)","noteIndex":0},"citationItems":[{"id":"izuXWwAi/RDNNYU5M","uris":["http://zotero.org/users/16803167/items/CVJWRBRK"],"itemData":{"id":77,"type":"article-journal","abstract":"The Republic of South Sudan lacks adequate data to support decision-makers in planning. Therefore, a land use land cover (LULC) study was conducted in Jubek State for 17 years (2000–2017). It was divided into three time intervals, using remote sensing (RS), geographic information system (GIS), Landsat TM, Landsat ETM+, and Landsat 8 OLI approaches. A transition matrix for the total change was developed to generate spatiotemporal and quantitative indicators to analyze LULC spatiotemporal dynamics for better developmental decisions. Overall accuracy assessment results were 97.41% (kappa 0.96), 90.45% (kappa 0.85), and 91.5% (kappa 0.89) for years 2000, 2009, and 2017, respectively. Furthermore, quantitative and spatiotemporal results show that built up areas drastically increase, especially from 2009 to 2017. The most dominant class in the study area was grassland, 9929.9 km2 (54.22%), followed by forest, 5555 km2 (30.33%), barren land, 2497.3 km2 (13.64%), built up areas, 166.7 km2 (0.9%), farmland, 128.31 km2 (0.71%), and water bodies, 35.91 km2 (0.96%). The outcomes of the analysis show that since 1955 Jubek State (Juba) has been the preferable place for the local citizens’ settlement in South Sudan. Unfortunately, agricultural production was insufficient due to the limited cultivated area; on the other hand, the study area is rich in natural resources and could meet local people’s demand if a proper strategy such as LULC transformation is well implemented.","container-title":"Sustainability","DOI":"10.3390/su141710753","ISSN":"2071-1050","issue":"17","journalAbbreviation":"Sustainability","language":"en","license":"https://creativecommons.org/licenses/by/4.0/","page":"10753","source":"DOI.org (Crossref)","title":"Analysis of Spatiotemporal Dynamics of Land Use/Cover Changes in Jubek State, South Sudan","volume":"14","author":[{"family":"Gudo","given":"Adam Juma Abdallah"},{"family":"Deng","given":"Jinsong"},{"family":"Qureshi","given":"Asad Sarwar"}],"issued":{"date-parts":[["2022",8,29]]}}},{"id":46,"uris":["http://zotero.org/users/16803167/items/FCK9LEVF"],"itemData":{"id":46,"type":"webpage","title":"Juba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3B56D5" w:rsidRPr="00571085">
        <w:rPr>
          <w:rFonts w:ascii="Times New Roman" w:eastAsia="Times New Roman" w:hAnsi="Times New Roman" w:cs="Times New Roman"/>
          <w:color w:val="000000"/>
          <w:sz w:val="24"/>
          <w:szCs w:val="24"/>
        </w:rPr>
        <w:fldChar w:fldCharType="separate"/>
      </w:r>
      <w:r w:rsidR="003B56D5" w:rsidRPr="00C95A56">
        <w:rPr>
          <w:rFonts w:ascii="Times New Roman" w:hAnsi="Times New Roman" w:cs="Times New Roman"/>
          <w:color w:val="87CEEB"/>
          <w:sz w:val="24"/>
          <w:szCs w:val="24"/>
          <w:u w:val="single"/>
        </w:rPr>
        <w:t xml:space="preserve">(Gudo, Deng and Qureshi, 2022a; UN-HABITAT </w:t>
      </w:r>
      <w:r w:rsidR="003B56D5" w:rsidRPr="00C95A56">
        <w:rPr>
          <w:rFonts w:ascii="Times New Roman" w:hAnsi="Times New Roman" w:cs="Times New Roman"/>
          <w:i/>
          <w:iCs/>
          <w:color w:val="87CEEB"/>
          <w:sz w:val="24"/>
          <w:szCs w:val="24"/>
          <w:u w:val="single"/>
        </w:rPr>
        <w:t>et al.</w:t>
      </w:r>
      <w:r w:rsidR="003B56D5" w:rsidRPr="00C95A56">
        <w:rPr>
          <w:rFonts w:ascii="Times New Roman" w:hAnsi="Times New Roman" w:cs="Times New Roman"/>
          <w:color w:val="87CEEB"/>
          <w:sz w:val="24"/>
          <w:szCs w:val="24"/>
          <w:u w:val="single"/>
        </w:rPr>
        <w:t>, 2023)</w:t>
      </w:r>
      <w:r w:rsidR="003B56D5"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driven by factors such as population growth, civil unrest, and economic development. This literature review explores the methodologies and findings of recent studies on urban growth prediction</w:t>
      </w:r>
      <w:r w:rsidR="003B56D5" w:rsidRPr="00571085">
        <w:rPr>
          <w:rFonts w:ascii="Times New Roman" w:eastAsia="Times New Roman" w:hAnsi="Times New Roman" w:cs="Times New Roman"/>
          <w:color w:val="000000"/>
          <w:sz w:val="24"/>
          <w:szCs w:val="24"/>
        </w:rPr>
        <w:t xml:space="preserve"> in general and</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Juba</w:t>
      </w:r>
      <w:r w:rsidR="003B56D5" w:rsidRPr="00571085">
        <w:rPr>
          <w:rFonts w:ascii="Times New Roman" w:eastAsia="Times New Roman" w:hAnsi="Times New Roman" w:cs="Times New Roman"/>
          <w:color w:val="000000"/>
          <w:sz w:val="24"/>
          <w:szCs w:val="24"/>
        </w:rPr>
        <w:t xml:space="preserve"> in particular</w:t>
      </w:r>
      <w:r w:rsidRPr="00571085">
        <w:rPr>
          <w:rFonts w:ascii="Times New Roman" w:eastAsia="Times New Roman" w:hAnsi="Times New Roman" w:cs="Times New Roman"/>
          <w:color w:val="000000"/>
          <w:sz w:val="24"/>
          <w:szCs w:val="24"/>
        </w:rPr>
        <w:t xml:space="preserve">. </w:t>
      </w:r>
    </w:p>
    <w:p w14:paraId="60BD9D5F" w14:textId="77777777" w:rsidR="00BE3DCB" w:rsidRPr="00571085" w:rsidRDefault="00BE3DCB" w:rsidP="00AE5E64">
      <w:pPr>
        <w:widowControl w:val="0"/>
        <w:pBdr>
          <w:top w:val="nil"/>
          <w:left w:val="nil"/>
          <w:bottom w:val="nil"/>
          <w:right w:val="nil"/>
          <w:between w:val="nil"/>
        </w:pBdr>
        <w:spacing w:before="29" w:line="360" w:lineRule="auto"/>
        <w:ind w:left="3"/>
        <w:jc w:val="both"/>
        <w:rPr>
          <w:rFonts w:ascii="Times New Roman" w:eastAsia="Times New Roman" w:hAnsi="Times New Roman" w:cs="Times New Roman"/>
          <w:b/>
          <w:sz w:val="24"/>
          <w:szCs w:val="24"/>
        </w:rPr>
      </w:pPr>
    </w:p>
    <w:p w14:paraId="4F3ECBE1" w14:textId="77777777" w:rsidR="00BE3DCB" w:rsidRPr="00571085" w:rsidRDefault="00BE3DCB" w:rsidP="00AE5E64">
      <w:pPr>
        <w:spacing w:line="360" w:lineRule="auto"/>
        <w:jc w:val="both"/>
        <w:rPr>
          <w:rFonts w:ascii="Times New Roman" w:hAnsi="Times New Roman" w:cs="Times New Roman"/>
          <w:sz w:val="24"/>
          <w:szCs w:val="24"/>
        </w:rPr>
      </w:pPr>
      <w:bookmarkStart w:id="13" w:name="_hiulm9squgqg" w:colFirst="0" w:colLast="0"/>
      <w:bookmarkEnd w:id="13"/>
    </w:p>
    <w:p w14:paraId="0D513031" w14:textId="3EE156D9" w:rsidR="002C1399" w:rsidRPr="00571085" w:rsidRDefault="00000000" w:rsidP="00AE5E64">
      <w:pPr>
        <w:pStyle w:val="Heading3"/>
        <w:widowControl w:val="0"/>
        <w:spacing w:line="360" w:lineRule="auto"/>
        <w:jc w:val="both"/>
      </w:pPr>
      <w:bookmarkStart w:id="14" w:name="_79wegpvqf4mw" w:colFirst="0" w:colLast="0"/>
      <w:bookmarkEnd w:id="14"/>
      <w:r w:rsidRPr="00571085">
        <w:t xml:space="preserve">2.4 Methodologies for Urban Growth Prediction </w:t>
      </w:r>
    </w:p>
    <w:p w14:paraId="7E99F094" w14:textId="50CBB4DB" w:rsidR="002C1399" w:rsidRPr="00571085" w:rsidRDefault="002C1399"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Urban growth prediction methodologies employ a variety of models and technologies to simulate future urban expansion patterns. These approaches aim to generate accurate forecasts that support urban planning, infrastructure development, and </w:t>
      </w:r>
      <w:proofErr w:type="gramStart"/>
      <w:r w:rsidRPr="00571085">
        <w:rPr>
          <w:rFonts w:ascii="Times New Roman" w:eastAsia="Times New Roman" w:hAnsi="Times New Roman" w:cs="Times New Roman"/>
          <w:color w:val="000000"/>
          <w:sz w:val="24"/>
          <w:szCs w:val="24"/>
        </w:rPr>
        <w:t>policy-making</w:t>
      </w:r>
      <w:proofErr w:type="gramEnd"/>
      <w:r w:rsidRPr="00571085">
        <w:rPr>
          <w:rFonts w:ascii="Times New Roman" w:eastAsia="Times New Roman" w:hAnsi="Times New Roman" w:cs="Times New Roman"/>
          <w:color w:val="000000"/>
          <w:sz w:val="24"/>
          <w:szCs w:val="24"/>
        </w:rPr>
        <w:t>, ensuring sustainable urban growth. By analyzing historical trends and incorporating spatial and statistical data, these methodologies provide insights into the drivers of urbanization and help stakeholders make informed decisions.</w:t>
      </w:r>
    </w:p>
    <w:p w14:paraId="3CEC085F" w14:textId="77777777" w:rsidR="00CE074E" w:rsidRPr="00571085" w:rsidRDefault="00CE074E"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p>
    <w:p w14:paraId="086414E3" w14:textId="77777777" w:rsidR="00CE074E" w:rsidRPr="00571085" w:rsidRDefault="00CE074E"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p>
    <w:p w14:paraId="1DB35753" w14:textId="05A54A83" w:rsidR="0035345A" w:rsidRPr="00571085" w:rsidRDefault="0035345A"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Machine Learning Models (Random Forest)</w:t>
      </w:r>
    </w:p>
    <w:p w14:paraId="7CD0EBBD" w14:textId="7FEF62EF" w:rsidR="00CE074E" w:rsidRPr="00571085" w:rsidRDefault="00CE074E"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Machine learning models have become indispensable tools in urban growth prediction, offering the capability to analyze complex patterns in large spatial datasets. Among these, Random Forest (RF) has gained significant traction for land use classification due to its ability to leverage historical remote sensing data and spatial attributes to identify urban expansion trends</w:t>
      </w:r>
      <w:r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fldChar w:fldCharType="begin"/>
      </w:r>
      <w:r w:rsidR="0035345A" w:rsidRPr="00571085">
        <w:rPr>
          <w:rFonts w:ascii="Times New Roman" w:eastAsia="Times New Roman" w:hAnsi="Times New Roman" w:cs="Times New Roman"/>
          <w:color w:val="000000"/>
          <w:sz w:val="24"/>
          <w:szCs w:val="24"/>
        </w:rPr>
        <w:instrText xml:space="preserve"> ADDIN ZOTERO_ITEM CSL_CITATION {"citationID":"QHF0iLKH","properties":{"formattedCitation":"(Balzter {\\i{}et al.}, 2015; Ouma {\\i{}et al.}, 2024; Sulistiyono {\\i{}et al.}, 2024)","plainCitation":"(Balzter et al., 2015; Ouma et al., 2024; Sulistiyono et al., 2024)","noteIndex":0},"citationItems":[{"id":84,"uris":["http://zotero.org/users/16803167/items/K5A36DKS"],"itemData":{"id":84,"type":"article-journal","abstract":"The European CORINE land cover mapping scheme is a standardized classification system with 44 land cover and land use classes. It is used by the European Environment Agency to report large-scale land cover change with a minimum mapping unit of 5 ha every six years and operationally mapped by its member states. The most commonly applied method to map CORINE land cover change is by visual interpretation of optical/near-infrared satellite imagery. The Sentinel-1A satellite carries a C-band Synthetic Aperture Radar (SAR) and was launched in 2014 by the European Space Agency as the first operational Copernicus mission. This study is the first investigation of Sentinel-1A for CORINE land cover mapping. Two of the first Sentinel-1A images acquired during its ramp-up phase in May and December 2014 over Thuringia in Germany are analysed. 27 hybrid level 2/3 CORINE classes are defined. 17 of these were present at the study site and classified based on a stratified random sample of training pixels from the polygon-eroded CORINE 2006 map. Sentinel-1A logarithmic radar backscatter at HH and HV polarisation (May acquisition), VV and VH polarisation (December acquisition), and the HH image texture are used as input bands to the classification. In addition, a Digital Terrain Model (DTM), a Canopy Height Model (CHM) and slope and aspect maps from the Shuttle Radar Topography Mission (SRTM) are used as input bands to account for geomorphological features of the landscape. In future, elevation data will be delivered for areas with sufficiently high coherence from the Sentinel-1A Interferometric Wide-Swath Mode itself. When augmented by elevation data from radar interferometry, Sentinel-1A is able to discriminate several CORINE land cover classes, making it useful for monitoring of  cloud-covered regions. A bistatic Sentinel-1 Convoy mission would enable single-pass interferometric acquisitions without temporal decorrelation.","container-title":"Remote Sensing","DOI":"10.3390/rs71114876","ISSN":"2072-4292","issue":"11","journalAbbreviation":"Remote Sensing","language":"en","license":"https://creativecommons.org/licenses/by/4.0/","page":"14876-14898","source":"DOI.org (Crossref)","title":"Mapping CORINE Land Cover from Sentinel-1A SAR and SRTM Digital Elevation Model Data using Random Forests","volume":"7","author":[{"family":"Balzter","given":"Heiko"},{"family":"Cole","given":"Beth"},{"family":"Thiel","given":"Christian"},{"family":"Schmullius","given":"Christiane"}],"issued":{"date-parts":[["2015",11,6]]}}},{"id":82,"uris":["http://zotero.org/users/16803167/items/KFF7TIZD"],"itemData":{"id":82,"type":"article-journal","abstract":"For sustainable water resource management within dam catchments, accurate knowledge of land-use and land-cover change (LULCC) and the relationships with dam water variability is necessary. To improve LULCC prediction, this study proposes the use of a random forest regression (RFR) model, in comparison with logistic regression–cellular automata (LR-CA) and artificial neural network–cellular automata (ANN-CA), for the prediction of LULCC (2019–2030) in the Gaborone dam catchment (Botswana). RFR is proposed as it is able to capture the existing and potential interactions between the LULC intensity and their nonlinear interactions with the change-driving factors. For LULCC forecasting, the driving factors comprised physiographic variables (elevation, slope and aspect) and proximity-neighborhood factors (distances to water bodies, roads and urban areas). In simulating the historical LULC (1986–2019) at 5-year time steps, RFR outperformed ANN-CA and LR-CA models with respective percentage accuracies of 84.9%, 62.1% and 60.7%. Using the RFR model, the predicted LULCCs were determined as vegetation (−8.9%), bare soil (+8.9%), built-up (+2.49%) and cropland (−2.8%), with water bodies exhibiting insignificant change. The correlation between land use (built-up areas) and water depicted an increasing population against decreasing dam water capacity. The study approach has the potential for deriving the catchment land–water nexus, which can aid in the formulation of sustainable catchment monitoring and development strategies.","container-title":"Sustainability","DOI":"10.3390/su16041699","ISSN":"2071-1050","issue":"4","language":"en","license":"http://creativecommons.org/licenses/by/3.0/","note":"number: 4\npublisher: Multidisciplinary Digital Publishing Institute","page":"1699","source":"www.mdpi.com","title":"Land-Use Change Prediction in Dam Catchment Using Logistic Regression-CA, ANN-CA and Random Forest Regression and Implications for Sustainable Land–Water Nexus","volume":"16","author":[{"family":"Ouma","given":"Yashon O."},{"family":"Nkwae","given":"Boipuso"},{"family":"Odirile","given":"Phillimon"},{"family":"Moalafhi","given":"Ditiro B."},{"family":"Anderson","given":"George"},{"family":"Parida","given":"Bhagabat"},{"family":"Qi","given":"Jiaguo"}],"issued":{"date-parts":[["2024",1]]}}},{"id":86,"uris":["http://zotero.org/users/16803167/items/X6QVCFWF"],"itemData":{"id":86,"type":"article-journal","abstract":"Abstract\n            Mangroves are a forest ecosystem tolerant to salt (halophytic) and influenced by sea tides. Mangrove forests are producers of ecosystem services that all living things need. The use of remote sensing can be used to identify mangrove forests in large areas in a short time. Sentinel-1 is a satellite prod</w:instrText>
      </w:r>
      <w:r w:rsidR="0035345A" w:rsidRPr="00C95A56">
        <w:rPr>
          <w:rFonts w:ascii="Times New Roman" w:eastAsia="Times New Roman" w:hAnsi="Times New Roman" w:cs="Times New Roman"/>
          <w:color w:val="000000"/>
          <w:sz w:val="24"/>
          <w:szCs w:val="24"/>
        </w:rPr>
        <w:instrText>uct widely used to monitor land cover, including mangrove fo</w:instrText>
      </w:r>
      <w:r w:rsidR="0035345A" w:rsidRPr="00571085">
        <w:rPr>
          <w:rFonts w:ascii="Times New Roman" w:eastAsia="Times New Roman" w:hAnsi="Times New Roman" w:cs="Times New Roman"/>
          <w:color w:val="000000"/>
          <w:sz w:val="24"/>
          <w:szCs w:val="24"/>
        </w:rPr>
        <w:instrText xml:space="preserve">rests. The research objective was to identify mangrove forests in the Medan Belawan District using Sentinel-1 satellite imagery. Land cover classification in digital images was done using supervised classification with the maximum likelihood and random forest method. The results showed that random forest methods are more accurate than the maximum likelihood of identifying mangrove forests in Medan Belawan. The kappa accuracy value of the digital satellite image classification using the random forest method is 85.09%, and the maximum likelihood method is 77.4%. Based on the random forest method, the mangrove forest area is 1,325.81 hectares or 43.64% of the Belawan District area.","container-title":"IOP Conference Series: Earth and Environmental Science","DOI":"10.1088/1755-1315/1352/1/012051","ISSN":"1755-1307, 1755-1315","issue":"1","journalAbbreviation":"IOP Conf. Ser.: Earth Environ. Sci.","page":"012051","source":"DOI.org (Crossref)","title":"Identification of mangrove forests using Sentinel-1 Synthetic Aperture Radar (SAR) satellite imagery in Medan Belawan District, Medan City","volume":"1352","author":[{"family":"Sulistiyono","given":"N"},{"family":"Tarigan","given":"C P"},{"family":"Daulay","given":"A F"},{"family":"Hudjimartsu","given":"S A"},{"family":"Putri","given":"Y U"}],"issued":{"date-parts":[["2024",5,1]]}}}],"schema":"https://github.com/citation-style-language/schema/raw/master/csl-citation.json"}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0035345A" w:rsidRPr="00C95A56">
        <w:rPr>
          <w:rFonts w:ascii="Times New Roman" w:hAnsi="Times New Roman" w:cs="Times New Roman"/>
          <w:color w:val="87CEEB"/>
          <w:sz w:val="24"/>
          <w:szCs w:val="24"/>
          <w:u w:val="single"/>
        </w:rPr>
        <w:t>(</w:t>
      </w:r>
      <w:proofErr w:type="spellStart"/>
      <w:r w:rsidR="0035345A" w:rsidRPr="00C95A56">
        <w:rPr>
          <w:rFonts w:ascii="Times New Roman" w:hAnsi="Times New Roman" w:cs="Times New Roman"/>
          <w:color w:val="87CEEB"/>
          <w:sz w:val="24"/>
          <w:szCs w:val="24"/>
          <w:u w:val="single"/>
        </w:rPr>
        <w:t>Balzter</w:t>
      </w:r>
      <w:proofErr w:type="spellEnd"/>
      <w:r w:rsidR="0035345A" w:rsidRPr="00C95A56">
        <w:rPr>
          <w:rFonts w:ascii="Times New Roman" w:hAnsi="Times New Roman" w:cs="Times New Roman"/>
          <w:color w:val="87CEEB"/>
          <w:sz w:val="24"/>
          <w:szCs w:val="24"/>
          <w:u w:val="single"/>
        </w:rPr>
        <w:t xml:space="preserve">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xml:space="preserve">, 2015; Ouma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xml:space="preserve">, 2024; Sulistiyono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2024)</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Similarly, Support Vector Machines (SVM) have proven effective in distinguishing land cover types and detecting urbanization dynamics by identifying decision boundaries in high-dimensional feature spaces</w:t>
      </w:r>
      <w:r w:rsidR="0035345A" w:rsidRPr="00571085">
        <w:rPr>
          <w:rFonts w:ascii="Times New Roman" w:eastAsia="Times New Roman" w:hAnsi="Times New Roman" w:cs="Times New Roman"/>
          <w:color w:val="000000"/>
          <w:sz w:val="24"/>
          <w:szCs w:val="24"/>
        </w:rPr>
        <w:t xml:space="preserve"> </w:t>
      </w:r>
      <w:r w:rsidR="0035345A" w:rsidRPr="00571085">
        <w:rPr>
          <w:rFonts w:ascii="Times New Roman" w:eastAsia="Times New Roman" w:hAnsi="Times New Roman" w:cs="Times New Roman"/>
          <w:color w:val="000000"/>
          <w:sz w:val="24"/>
          <w:szCs w:val="24"/>
        </w:rPr>
        <w:fldChar w:fldCharType="begin"/>
      </w:r>
      <w:r w:rsidR="0035345A" w:rsidRPr="00571085">
        <w:rPr>
          <w:rFonts w:ascii="Times New Roman" w:eastAsia="Times New Roman" w:hAnsi="Times New Roman" w:cs="Times New Roman"/>
          <w:color w:val="000000"/>
          <w:sz w:val="24"/>
          <w:szCs w:val="24"/>
        </w:rPr>
        <w:instrText xml:space="preserve"> ADDIN ZOTERO_ITEM CSL_CITATION {"citationID":"AYjWSCJ5","properties":{"formattedCitation":"(Bouaziz, Eisold and Guermazi, 2017; Trabelsi {\\i{}et al.}, 2023)","plainCitation":"(Bouaziz, Eisold and Guermazi, 2017; Trabelsi et al., 2023)","noteIndex":0},"citationItems":[{"id":88,"uris":["http://zotero.org/users/16803167/items/5Q3GF2SS"],"itemData":{"id":88,"type":"article-journal","container-title":"Euro-Mediterranean Journal for Environmental Integration","DOI":"10.1007/s41207-017-0036-7","ISSN":"2365-6433, 2365-7448","issue":"1","journalAbbreviation":"Euro-Mediterr J Environ Integr","language":"en","page":"24","source":"DOI.org (Crossref)","title":"Semiautomatic approach for land cover classification: a remote sensing study for arid climate in southeastern Tunisia","title-short":"Semiautomatic approach for land cover classification","volume":"2","author":[{"family":"Bouaziz","given":"Moncef"},{"family":"Eisold","given":"Stefanie"},{"family":"Guermazi","given":"Emna"}],"issued":{"date-parts":[["2017",10]]}}},{"id":90,"uris":["http://zotero.org/users/16803167/items/SWAVUBJS"],"itemData":{"id":90,"type":"article-journal","container-title":"Journal of Geographic Information System","DOI":"10.4236/jgis.2023.156033","ISSN":"2151-1950, 2151-1969","issue":"06","journalAbbreviation":"JGIS","page":"652-668","source":"DOI.org (Crossref)","title":"Classification and Spatio-Temporal Change Detection of Land Use/Land Cover Using Remote Sensing and Geographic Information System in the Manouba Region, NE Tunisia","volume":"15","author":[{"family":"Trabelsi","given":"Nadia"},{"family":"Triki","given":"Ibtissem"},{"family":"Hentati","given":"Imen"},{"family":"Rachdi","given":"Nizar"}],"issued":{"date-parts":[["2023"]]}}}],"schema":"https://github.com/citation-style-language/schema/raw/master/csl-citation.json"} </w:instrText>
      </w:r>
      <w:r w:rsidR="0035345A" w:rsidRPr="00571085">
        <w:rPr>
          <w:rFonts w:ascii="Times New Roman" w:eastAsia="Times New Roman" w:hAnsi="Times New Roman" w:cs="Times New Roman"/>
          <w:color w:val="000000"/>
          <w:sz w:val="24"/>
          <w:szCs w:val="24"/>
        </w:rPr>
        <w:fldChar w:fldCharType="separate"/>
      </w:r>
      <w:r w:rsidR="0035345A" w:rsidRPr="00C95A56">
        <w:rPr>
          <w:rFonts w:ascii="Times New Roman" w:hAnsi="Times New Roman" w:cs="Times New Roman"/>
          <w:color w:val="87CEEB"/>
          <w:sz w:val="24"/>
          <w:szCs w:val="24"/>
          <w:u w:val="single"/>
        </w:rPr>
        <w:t xml:space="preserve">(Bouaziz, Eisold and </w:t>
      </w:r>
      <w:proofErr w:type="spellStart"/>
      <w:r w:rsidR="0035345A" w:rsidRPr="00C95A56">
        <w:rPr>
          <w:rFonts w:ascii="Times New Roman" w:hAnsi="Times New Roman" w:cs="Times New Roman"/>
          <w:color w:val="87CEEB"/>
          <w:sz w:val="24"/>
          <w:szCs w:val="24"/>
          <w:u w:val="single"/>
        </w:rPr>
        <w:t>Guermazi</w:t>
      </w:r>
      <w:proofErr w:type="spellEnd"/>
      <w:r w:rsidR="0035345A" w:rsidRPr="00C95A56">
        <w:rPr>
          <w:rFonts w:ascii="Times New Roman" w:hAnsi="Times New Roman" w:cs="Times New Roman"/>
          <w:color w:val="87CEEB"/>
          <w:sz w:val="24"/>
          <w:szCs w:val="24"/>
          <w:u w:val="single"/>
        </w:rPr>
        <w:t xml:space="preserve">, </w:t>
      </w:r>
      <w:r w:rsidR="0035345A" w:rsidRPr="00C95A56">
        <w:rPr>
          <w:rFonts w:ascii="Times New Roman" w:hAnsi="Times New Roman" w:cs="Times New Roman"/>
          <w:color w:val="87CEEB"/>
          <w:sz w:val="24"/>
          <w:szCs w:val="24"/>
          <w:u w:val="single"/>
        </w:rPr>
        <w:lastRenderedPageBreak/>
        <w:t xml:space="preserve">2017; Trabelsi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2023)</w:t>
      </w:r>
      <w:r w:rsidR="0035345A"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Meanwhile, Artificial Neural Networks (ANNs), with their capacity to model nonlinear relationships, have been increasingly employed to enhance predictive accuracy in urban growth forecasting </w:t>
      </w:r>
      <w:r w:rsidR="0035345A" w:rsidRPr="00571085">
        <w:rPr>
          <w:rFonts w:ascii="Times New Roman" w:eastAsia="Times New Roman" w:hAnsi="Times New Roman" w:cs="Times New Roman"/>
          <w:color w:val="000000"/>
          <w:sz w:val="24"/>
          <w:szCs w:val="24"/>
        </w:rPr>
        <w:fldChar w:fldCharType="begin"/>
      </w:r>
      <w:r w:rsidR="0035345A" w:rsidRPr="00571085">
        <w:rPr>
          <w:rFonts w:ascii="Times New Roman" w:eastAsia="Times New Roman" w:hAnsi="Times New Roman" w:cs="Times New Roman"/>
          <w:color w:val="000000"/>
          <w:sz w:val="24"/>
          <w:szCs w:val="24"/>
        </w:rPr>
        <w:instrText xml:space="preserve"> ADDIN ZOTERO_ITEM CSL_CITATION {"citationID":"3EPKXpDK","properties":{"formattedCitation":"(Feng {\\i{}et al.}, 2011)","plainCitation":"(Feng et al., 2011)","noteIndex":0},"citationItems":[{"id":92,"uris":["http://zotero.org/users/16803167/items/EXL5NB8E"],"itemData":{"id":92,"type":"article-journal","container-title":"Landscape and Urban Planning","DOI":"10.1016/j.landurbplan.2011.04.004","ISSN":"01692046","issue":"3","journalAbbreviation":"Landscape and Urban Planning","language":"en","license":"https://www.elsevier.com/tdm/userlicense/1.0/","page":"188-196","source":"DOI.org (Crossref)","title":"Modeling dynamic urban growth using cellular automata and particle swarm optimization rules","volume":"102","author":[{"family":"Feng","given":"Yongjiu"},{"family":"Liu","given":"Yan"},{"family":"Tong","given":"Xiaohua"},{"family":"Liu","given":"Miaolong"},{"family":"Deng","given":"Susu"}],"issued":{"date-parts":[["2011",9]]}}}],"schema":"https://github.com/citation-style-language/schema/raw/master/csl-citation.json"} </w:instrText>
      </w:r>
      <w:r w:rsidR="0035345A" w:rsidRPr="00571085">
        <w:rPr>
          <w:rFonts w:ascii="Times New Roman" w:eastAsia="Times New Roman" w:hAnsi="Times New Roman" w:cs="Times New Roman"/>
          <w:color w:val="000000"/>
          <w:sz w:val="24"/>
          <w:szCs w:val="24"/>
        </w:rPr>
        <w:fldChar w:fldCharType="separate"/>
      </w:r>
      <w:r w:rsidR="0035345A" w:rsidRPr="00C95A56">
        <w:rPr>
          <w:rFonts w:ascii="Times New Roman" w:hAnsi="Times New Roman" w:cs="Times New Roman"/>
          <w:color w:val="87CEEB"/>
          <w:sz w:val="24"/>
          <w:szCs w:val="24"/>
          <w:u w:val="single"/>
        </w:rPr>
        <w:t xml:space="preserve">(Feng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2011)</w:t>
      </w:r>
      <w:r w:rsidR="0035345A" w:rsidRPr="00571085">
        <w:rPr>
          <w:rFonts w:ascii="Times New Roman" w:eastAsia="Times New Roman" w:hAnsi="Times New Roman" w:cs="Times New Roman"/>
          <w:color w:val="000000"/>
          <w:sz w:val="24"/>
          <w:szCs w:val="24"/>
        </w:rPr>
        <w:fldChar w:fldCharType="end"/>
      </w:r>
      <w:r w:rsidR="0035345A" w:rsidRPr="00571085">
        <w:rPr>
          <w:rFonts w:ascii="Times New Roman" w:eastAsia="Times New Roman" w:hAnsi="Times New Roman" w:cs="Times New Roman"/>
          <w:color w:val="000000"/>
          <w:sz w:val="24"/>
          <w:szCs w:val="24"/>
        </w:rPr>
        <w:t>.</w:t>
      </w:r>
    </w:p>
    <w:p w14:paraId="2A8E8385" w14:textId="6E53CE0A" w:rsidR="00CE074E" w:rsidRPr="00571085" w:rsidRDefault="00CE074E"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Ensemble learning techniques, particularly Random Forest, have been instrumental in improving predictive performance and robustness in urban expansion modeling. Introduced by </w:t>
      </w:r>
      <w:proofErr w:type="spellStart"/>
      <w:r w:rsidRPr="00571085">
        <w:rPr>
          <w:rFonts w:ascii="Times New Roman" w:eastAsia="Times New Roman" w:hAnsi="Times New Roman" w:cs="Times New Roman"/>
          <w:color w:val="000000"/>
          <w:sz w:val="24"/>
          <w:szCs w:val="24"/>
        </w:rPr>
        <w:t>Breiman</w:t>
      </w:r>
      <w:proofErr w:type="spellEnd"/>
      <w:r w:rsidRPr="00571085">
        <w:rPr>
          <w:rFonts w:ascii="Times New Roman" w:eastAsia="Times New Roman" w:hAnsi="Times New Roman" w:cs="Times New Roman"/>
          <w:color w:val="000000"/>
          <w:sz w:val="24"/>
          <w:szCs w:val="24"/>
        </w:rPr>
        <w:t xml:space="preserve"> (2001), Random Forest is a powerful ensemble method that constructs multiple decision trees during training, each trained on a random subset of the dataset</w:t>
      </w:r>
      <w:r w:rsidR="0035345A" w:rsidRPr="00571085">
        <w:rPr>
          <w:rFonts w:ascii="Times New Roman" w:eastAsia="Times New Roman" w:hAnsi="Times New Roman" w:cs="Times New Roman"/>
          <w:color w:val="000000"/>
          <w:sz w:val="24"/>
          <w:szCs w:val="24"/>
        </w:rPr>
        <w:t xml:space="preserve"> </w:t>
      </w:r>
      <w:r w:rsidR="0035345A" w:rsidRPr="00571085">
        <w:rPr>
          <w:rFonts w:ascii="Times New Roman" w:eastAsia="Times New Roman" w:hAnsi="Times New Roman" w:cs="Times New Roman"/>
          <w:color w:val="000000"/>
          <w:sz w:val="24"/>
          <w:szCs w:val="24"/>
        </w:rPr>
        <w:fldChar w:fldCharType="begin"/>
      </w:r>
      <w:r w:rsidR="0035345A" w:rsidRPr="00571085">
        <w:rPr>
          <w:rFonts w:ascii="Times New Roman" w:eastAsia="Times New Roman" w:hAnsi="Times New Roman" w:cs="Times New Roman"/>
          <w:color w:val="000000"/>
          <w:sz w:val="24"/>
          <w:szCs w:val="24"/>
        </w:rPr>
        <w:instrText xml:space="preserve"> ADDIN ZOTERO_ITEM CSL_CITATION {"citationID":"cqzaUAkz","properties":{"formattedCitation":"(Breiman, 2001)","plainCitation":"(Breiman, 2001)","noteIndex":0},"citationItems":[{"id":109,"uris":["http://zotero.org/users/16803167/items/QTHFEW7I"],"itemData":{"id":109,"type":"article-journal","abstract":"Random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35345A" w:rsidRPr="00571085">
        <w:rPr>
          <w:rFonts w:ascii="Times New Roman" w:eastAsia="Times New Roman" w:hAnsi="Times New Roman" w:cs="Times New Roman"/>
          <w:color w:val="000000"/>
          <w:sz w:val="24"/>
          <w:szCs w:val="24"/>
        </w:rPr>
        <w:fldChar w:fldCharType="separate"/>
      </w:r>
      <w:r w:rsidR="0035345A" w:rsidRPr="00C95A56">
        <w:rPr>
          <w:rFonts w:ascii="Times New Roman" w:hAnsi="Times New Roman" w:cs="Times New Roman"/>
          <w:color w:val="87CEEB"/>
          <w:sz w:val="24"/>
          <w:szCs w:val="24"/>
          <w:u w:val="single"/>
        </w:rPr>
        <w:t>(</w:t>
      </w:r>
      <w:proofErr w:type="spellStart"/>
      <w:r w:rsidR="0035345A" w:rsidRPr="00C95A56">
        <w:rPr>
          <w:rFonts w:ascii="Times New Roman" w:hAnsi="Times New Roman" w:cs="Times New Roman"/>
          <w:color w:val="87CEEB"/>
          <w:sz w:val="24"/>
          <w:szCs w:val="24"/>
          <w:u w:val="single"/>
        </w:rPr>
        <w:t>Breiman</w:t>
      </w:r>
      <w:proofErr w:type="spellEnd"/>
      <w:r w:rsidR="0035345A" w:rsidRPr="00C95A56">
        <w:rPr>
          <w:rFonts w:ascii="Times New Roman" w:hAnsi="Times New Roman" w:cs="Times New Roman"/>
          <w:color w:val="87CEEB"/>
          <w:sz w:val="24"/>
          <w:szCs w:val="24"/>
          <w:u w:val="single"/>
        </w:rPr>
        <w:t>, 2001)</w:t>
      </w:r>
      <w:r w:rsidR="0035345A"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This bagging (bootstrap aggregating) approach reduces model variance and enhances generalizability, making RF especially effective for noisy or high-dimensional datasets. Unlike traditional decision trees, which are prone to overfitting, RF leverages randomness at multiple stages—both in bootstrap sampling and feature selection—to generate de-correlated trees. At each node, only a subset of features is considered for splitting, allowing the model to uncover complex interactions between spatial and socio-economic factors influencing urbanization </w:t>
      </w:r>
      <w:r w:rsidR="0035345A" w:rsidRPr="00571085">
        <w:rPr>
          <w:rFonts w:ascii="Times New Roman" w:eastAsia="Times New Roman" w:hAnsi="Times New Roman" w:cs="Times New Roman"/>
          <w:color w:val="000000"/>
          <w:sz w:val="24"/>
          <w:szCs w:val="24"/>
        </w:rPr>
        <w:fldChar w:fldCharType="begin"/>
      </w:r>
      <w:r w:rsidR="0035345A" w:rsidRPr="00571085">
        <w:rPr>
          <w:rFonts w:ascii="Times New Roman" w:eastAsia="Times New Roman" w:hAnsi="Times New Roman" w:cs="Times New Roman"/>
          <w:color w:val="000000"/>
          <w:sz w:val="24"/>
          <w:szCs w:val="24"/>
        </w:rPr>
        <w:instrText xml:space="preserve"> ADDIN ZOTERO_ITEM CSL_CITATION {"citationID":"meutAdRJ","properties":{"formattedCitation":"(Balzter {\\i{}et al.}, 2015; Sulistiyono {\\i{}et al.}, 2024)","plainCitation":"(Balzter et al., 2015; Sulistiyono et al., 2024)","noteIndex":0},"citationItems":[{"id":84,"uris":["http://zotero.org/users/16803167/items/K5A36DKS"],"itemData":{"id":84,"type":"article-journal","abstract":"The European CORINE land cover mapping scheme is a standardized classification system with 44 land cover and land use classes. It is used by the European Environment Agency to report large-scale land cover change with a minimum mapping unit of 5 ha every six years and operationally mapped by its member states. The most commonly applied method to map CORINE land cover change is by visual interpretation of optical/near-infrared satellite imagery. The Sentinel-1A satellite carries a C-band Synthetic Aperture Radar (SAR) and was launched in 2014 by the European Space Agency as the first operational Copernicus mission. This study is the first investigation of Sentinel-1A for CORINE land cover mapping. Two of the first Sentinel-1A images acquired during its ramp-up phase in May and December 2014 over Thuringia in Germany are analysed. 27 hybrid level 2/3 CORINE classes are defined. 17 of these were present at the study site and classified based on a stratified random sample of training pixels from the polygon-eroded CORINE 2006 map. Sentinel-1A logarithmic radar backscatter at HH and HV polarisation (May acquisition), VV and VH polarisation (December acquisition), and the HH image texture are used as input bands to the classification. In addition, a Digital Terrain Model (DTM), a Canopy Height Model (CHM) and slope and aspect maps from the Shuttle Radar Topography Mission (SRTM) are used as input bands to account for geomorphological features of the landscape. In future, elevation data will be delivered for areas with sufficiently high coherence from the Sentinel-1A Interferometric Wide-Swath Mode itself. When augmented by elevation data from radar interferometry, Sentinel-1A is able to discriminate several CORINE land cover classes, making it useful for monitoring of  cloud-covered regions. A bistatic Sentinel-1 Convoy mission would enable single-pass interferometric acquisitions without temporal decorrelation.","container-title":"Remote Sensing","DOI":"10.3390/rs71114876","ISSN":"2072-4292","issue":"11","journalAbbreviation":"Remote Sensing","language":"en","license":"https://creativecommons.org/licenses/by/4.0/","page":"14876-14898","source":"DOI.org (Crossref)","title":"Mapping CORINE Land Cover from Sentinel-1A SAR and SRTM Digital Elevation Model Data using Random Forests","volume":"7","author":[{"family":"Balzter","given":"Heiko"},{"family":"Cole","given":"Beth"},{"family":"Thiel","given":"Christian"},{"family":"Schmullius","given":"Christiane"}],"issued":{"date-parts":[["2015",11,6]]}}},{"id":86,"uris":["http://zotero.org/users/16803167/items/X6QVCFWF"],"itemData":{"id":86,"type":"article-journal","abstract":"Abstract\n            Mangroves are a forest ecosystem tolerant to salt (halophytic) and influenced by sea tides. Mangrove forests are producers of ecosystem services that all living things need. The use of remote sensing can be used to identify mangrove forests in large areas in a short time. Sentinel-1 is a satellite product widely used to monitor land cover, including mangrove forests. The research objective was to identify mangrove forests in the Medan Belawan District using Sentinel-1 satellite imagery. Land cover classification in digital images was done using supervised classification with the maximum likelihood and random forest method. The results showed that random forest methods are more accurate than the maximum likelihood of identifying mangrove forests in Medan Belawan. The kappa accuracy value of the digital satellite image classification using the random forest method is 85.09%, and the maximum likelihood method is 77.4%. Based on the random forest method, the mangrove forest area is 1,325.81 hectares or 43.64% of the Belawan District area.","container-title":"IOP Conference Series: Earth and Environmental Science","DOI":"10.1088/1755-1315/1352/1/012051","ISSN":"1755-1307, 1755-1315","issue":"1","journalAbbreviation":"IOP Conf. Ser.: Earth Environ. Sci.","page":"012051","source":"DOI.org (Crossref)","title":"Identification of mangrove forests using Sentinel-1 Synthetic Aperture Radar (SAR) satellite imagery in Medan Belawan District, Medan City","volume":"1352","author":[{"family":"Sulistiyono","given":"N"},{"family":"Tarigan","given":"C P"},{"family":"Daulay","given":"A F"},{"family":"Hudjimartsu","given":"S A"},{"family":"Putri","given":"Y U"}],"issued":{"date-parts":[["2024",5,1]]}}}],"schema":"https://github.com/citation-style-language/schema/raw/master/csl-citation.json"} </w:instrText>
      </w:r>
      <w:r w:rsidR="0035345A" w:rsidRPr="00571085">
        <w:rPr>
          <w:rFonts w:ascii="Times New Roman" w:eastAsia="Times New Roman" w:hAnsi="Times New Roman" w:cs="Times New Roman"/>
          <w:color w:val="000000"/>
          <w:sz w:val="24"/>
          <w:szCs w:val="24"/>
        </w:rPr>
        <w:fldChar w:fldCharType="separate"/>
      </w:r>
      <w:r w:rsidR="0035345A" w:rsidRPr="00C95A56">
        <w:rPr>
          <w:rFonts w:ascii="Times New Roman" w:hAnsi="Times New Roman" w:cs="Times New Roman"/>
          <w:color w:val="87CEEB"/>
          <w:sz w:val="24"/>
          <w:szCs w:val="24"/>
          <w:u w:val="single"/>
        </w:rPr>
        <w:t>(</w:t>
      </w:r>
      <w:proofErr w:type="spellStart"/>
      <w:r w:rsidR="0035345A" w:rsidRPr="00C95A56">
        <w:rPr>
          <w:rFonts w:ascii="Times New Roman" w:hAnsi="Times New Roman" w:cs="Times New Roman"/>
          <w:color w:val="87CEEB"/>
          <w:sz w:val="24"/>
          <w:szCs w:val="24"/>
          <w:u w:val="single"/>
        </w:rPr>
        <w:t>Balzter</w:t>
      </w:r>
      <w:proofErr w:type="spellEnd"/>
      <w:r w:rsidR="0035345A" w:rsidRPr="00C95A56">
        <w:rPr>
          <w:rFonts w:ascii="Times New Roman" w:hAnsi="Times New Roman" w:cs="Times New Roman"/>
          <w:color w:val="87CEEB"/>
          <w:sz w:val="24"/>
          <w:szCs w:val="24"/>
          <w:u w:val="single"/>
        </w:rPr>
        <w:t xml:space="preserve">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xml:space="preserve">, 2015; Sulistiyono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2024)</w:t>
      </w:r>
      <w:r w:rsidR="0035345A"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5212428C" w14:textId="07A63FAF" w:rsidR="00CE074E" w:rsidRPr="00571085" w:rsidRDefault="00CE074E"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A key advantage of RF is its built-in mechanism for estimating model accuracy through Out-of-Bag (OOB) error. In each iteration, approximately one-third of the data is left out of the bootstrap sample, allowing for internal cross-validation without the need for a separate test set</w:t>
      </w:r>
      <w:r w:rsidR="0035345A" w:rsidRPr="00571085">
        <w:rPr>
          <w:rFonts w:ascii="Times New Roman" w:eastAsia="Times New Roman" w:hAnsi="Times New Roman" w:cs="Times New Roman"/>
          <w:color w:val="000000"/>
          <w:sz w:val="24"/>
          <w:szCs w:val="24"/>
        </w:rPr>
        <w:t xml:space="preserve"> </w:t>
      </w:r>
      <w:r w:rsidR="0035345A" w:rsidRPr="00571085">
        <w:rPr>
          <w:rFonts w:ascii="Times New Roman" w:eastAsia="Times New Roman" w:hAnsi="Times New Roman" w:cs="Times New Roman"/>
          <w:color w:val="000000"/>
          <w:sz w:val="24"/>
          <w:szCs w:val="24"/>
        </w:rPr>
        <w:fldChar w:fldCharType="begin"/>
      </w:r>
      <w:r w:rsidR="0035345A" w:rsidRPr="00571085">
        <w:rPr>
          <w:rFonts w:ascii="Times New Roman" w:eastAsia="Times New Roman" w:hAnsi="Times New Roman" w:cs="Times New Roman"/>
          <w:color w:val="000000"/>
          <w:sz w:val="24"/>
          <w:szCs w:val="24"/>
        </w:rPr>
        <w:instrText xml:space="preserve"> ADDIN ZOTERO_ITEM CSL_CITATION {"citationID":"eMpBifjI","properties":{"formattedCitation":"(Sulistiyono {\\i{}et al.}, 2024)","plainCitation":"(Sulistiyono et al., 2024)","noteIndex":0},"citationItems":[{"id":86,"uris":["http://zotero.org/users/16803167/items/X6QVCFWF"],"itemData":{"id":86,"type":"article-journal","abstract":"Abstract\n            Mangroves are a forest ecosystem tolerant to salt (halophytic) and influenced by sea tides. Mangrove forests are producers of ecosystem services that all living things need. The use of remote sensing can be used to identify mangrove forests in large areas in a short time. Sentinel-1 is a satellite product widely used to monitor land cover, including mangrove forests. The research objective was to identify mangrove forests in the Medan Belawan District using Sentinel-1 satellite imagery. Land cover classification in digital images was done using supervised classification with the maximum likelihood and random forest method. The results showed that random forest methods are more accurate than the maximum likelihood of identifying mangrove forests in Medan Belawan. The kappa accuracy value of the digital satellite image classification using the random forest method is 85.09%, and the maximum likelihood method is 77.4%. Based on the random forest method, the mangrove forest area is 1,325.81 hectares or 43.64% of the Belawan District area.","container-title":"IOP Conference Series: Earth and Environmental Science","DOI":"10.1088/1755-1315/1352/1/012051","ISSN":"1755-1307, 1755-1315","issue":"1","journalAbbreviation":"IOP Conf. Ser.: Earth Environ. Sci.","page":"012051","source":"DOI.org (Crossref)","title":"Identification of mangrove forests using Sentinel-1 Synthetic Aperture Radar (SAR) satellite imagery in Medan Belawan District, Medan City","volume":"1352","author":[{"family":"Sulistiyono","given":"N"},{"family":"Tarigan","given":"C P"},{"family":"Daulay","given":"A F"},{"family":"Hudjimartsu","given":"S A"},{"family":"Putri","given":"Y U"}],"issued":{"date-parts":[["2024",5,1]]}}}],"schema":"https://github.com/citation-style-language/schema/raw/master/csl-citation.json"} </w:instrText>
      </w:r>
      <w:r w:rsidR="0035345A" w:rsidRPr="00571085">
        <w:rPr>
          <w:rFonts w:ascii="Times New Roman" w:eastAsia="Times New Roman" w:hAnsi="Times New Roman" w:cs="Times New Roman"/>
          <w:color w:val="000000"/>
          <w:sz w:val="24"/>
          <w:szCs w:val="24"/>
        </w:rPr>
        <w:fldChar w:fldCharType="separate"/>
      </w:r>
      <w:r w:rsidR="0035345A" w:rsidRPr="00C95A56">
        <w:rPr>
          <w:rFonts w:ascii="Times New Roman" w:hAnsi="Times New Roman" w:cs="Times New Roman"/>
          <w:color w:val="87CEEB"/>
          <w:sz w:val="24"/>
          <w:szCs w:val="24"/>
          <w:u w:val="single"/>
        </w:rPr>
        <w:t xml:space="preserve">(Sulistiyono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2024)</w:t>
      </w:r>
      <w:r w:rsidR="0035345A"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This feature makes RF a robust and efficient choice for LULCC modeling, particularly in scenarios where data availability is limited</w:t>
      </w:r>
      <w:r w:rsidR="0035345A" w:rsidRPr="00571085">
        <w:rPr>
          <w:rFonts w:ascii="Times New Roman" w:eastAsia="Times New Roman" w:hAnsi="Times New Roman" w:cs="Times New Roman"/>
          <w:color w:val="000000"/>
          <w:sz w:val="24"/>
          <w:szCs w:val="24"/>
        </w:rPr>
        <w:t xml:space="preserve"> </w:t>
      </w:r>
      <w:r w:rsidR="0035345A" w:rsidRPr="00571085">
        <w:rPr>
          <w:rFonts w:ascii="Times New Roman" w:eastAsia="Times New Roman" w:hAnsi="Times New Roman" w:cs="Times New Roman"/>
          <w:color w:val="000000"/>
          <w:sz w:val="24"/>
          <w:szCs w:val="24"/>
        </w:rPr>
        <w:fldChar w:fldCharType="begin"/>
      </w:r>
      <w:r w:rsidR="0035345A" w:rsidRPr="00571085">
        <w:rPr>
          <w:rFonts w:ascii="Times New Roman" w:eastAsia="Times New Roman" w:hAnsi="Times New Roman" w:cs="Times New Roman"/>
          <w:color w:val="000000"/>
          <w:sz w:val="24"/>
          <w:szCs w:val="24"/>
        </w:rPr>
        <w:instrText xml:space="preserve"> ADDIN ZOTERO_ITEM CSL_CITATION {"citationID":"9DHEOcoQ","properties":{"formattedCitation":"(Breiman, 2001)","plainCitation":"(Breiman, 2001)","noteIndex":0},"citationItems":[{"id":109,"uris":["http://zotero.org/users/16803167/items/QTHFEW7I"],"itemData":{"id":109,"type":"article-journal","abstract":"Random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35345A" w:rsidRPr="00571085">
        <w:rPr>
          <w:rFonts w:ascii="Times New Roman" w:eastAsia="Times New Roman" w:hAnsi="Times New Roman" w:cs="Times New Roman"/>
          <w:color w:val="000000"/>
          <w:sz w:val="24"/>
          <w:szCs w:val="24"/>
        </w:rPr>
        <w:fldChar w:fldCharType="separate"/>
      </w:r>
      <w:r w:rsidR="0035345A" w:rsidRPr="00C95A56">
        <w:rPr>
          <w:rFonts w:ascii="Times New Roman" w:hAnsi="Times New Roman" w:cs="Times New Roman"/>
          <w:color w:val="87CEEB"/>
          <w:sz w:val="24"/>
          <w:szCs w:val="24"/>
          <w:u w:val="single"/>
        </w:rPr>
        <w:t>(</w:t>
      </w:r>
      <w:proofErr w:type="spellStart"/>
      <w:r w:rsidR="0035345A" w:rsidRPr="00C95A56">
        <w:rPr>
          <w:rFonts w:ascii="Times New Roman" w:hAnsi="Times New Roman" w:cs="Times New Roman"/>
          <w:color w:val="87CEEB"/>
          <w:sz w:val="24"/>
          <w:szCs w:val="24"/>
          <w:u w:val="single"/>
        </w:rPr>
        <w:t>Breiman</w:t>
      </w:r>
      <w:proofErr w:type="spellEnd"/>
      <w:r w:rsidR="0035345A" w:rsidRPr="00C95A56">
        <w:rPr>
          <w:rFonts w:ascii="Times New Roman" w:hAnsi="Times New Roman" w:cs="Times New Roman"/>
          <w:color w:val="87CEEB"/>
          <w:sz w:val="24"/>
          <w:szCs w:val="24"/>
          <w:u w:val="single"/>
        </w:rPr>
        <w:t>, 2001)</w:t>
      </w:r>
      <w:r w:rsidR="0035345A"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Given its ability to capture spatial heterogeneity and account for uncertainties, Random Forest remains a preferred machine learning model for urban growth prediction, aiding policymakers and urban planners in making data-driven decisions for sustainable development.</w:t>
      </w:r>
    </w:p>
    <w:p w14:paraId="0E01C157" w14:textId="16F756E1" w:rsidR="00152235" w:rsidRPr="00571085" w:rsidRDefault="00152235" w:rsidP="00AE5E64">
      <w:pPr>
        <w:widowControl w:val="0"/>
        <w:pBdr>
          <w:top w:val="nil"/>
          <w:left w:val="nil"/>
          <w:bottom w:val="nil"/>
          <w:right w:val="nil"/>
          <w:between w:val="nil"/>
        </w:pBdr>
        <w:spacing w:before="133" w:line="360" w:lineRule="auto"/>
        <w:ind w:right="6"/>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Cellular Automata (CA)</w:t>
      </w:r>
    </w:p>
    <w:p w14:paraId="0F216BA2" w14:textId="6C5D756F" w:rsidR="00152235" w:rsidRPr="00571085" w:rsidRDefault="00152235"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Cellular Automata (CA) models are widely used in Land Use and Land Cover Change (LULCC) studies due to their ability to simulate spatial dynamics through local interactions. CA is a mathematical modeling approach that represents landscapes as grids of interacting cells, where each cell's state evolves based on predefined transition rules and the states of its neighboring cells. This method effectively captures the self-organizing behavior of urban systems, producing self-similar patterns and highlighting both spatial and quantitative changes over time</w:t>
      </w:r>
      <w:r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{"citationID":"8SXUSlN9","properties":{"formattedCitation":"(Khawaldah, Farhan and Alzboun, 2020; Das and Angadi, 2022)","plainCitation":"(Khawaldah, Farhan and Alzboun, 2020; Das and Angadi, 2022)","noteIndex":0},"citationItems":[{"id":58,"uris":["http://zotero.org/users/16803167/items/VHRA8JUR"],"itemData":{"id":58,"type":"article-journal","abstract":"This study analyzes the characteristics of land use/land cover change in Jordan's Irbid governorate, 1984-2018, and predicts future land use/land cover for 2030 and 2050 using a cellular automata-Markov model. The results inform planners and decision makers of past and current spatial dynamics of land use/land cover change and predicted urban expansion, for a better understanding and successful planning. Satellite images of Landsat 5-thematic mapper and Landsat 8 operational land imager for the years 1984, 1994, 2004, 2015 and 2018 were used to explore the characteristics of land use/land cover for this study. The results indicate that the built-up area expanded by 386.9% during the study period and predict further expansion by 19.5% and 64.6% from 2015 to 2030 and 2050 respectively. The areas around the central and eastern parts of the governorate are predicted to have significant expansion of the built-up area by these dates, which should be taken into consideration in future plans. Land use/land cover change and urban expansion in Irbid are primarily caused by the high rate of population growth rate as a direct result of receiving large numbers of immigrants from Syria and Palestine in addition to the natural increase of population and other socioeconomic changes.","container-title":"Global Journal of Environmental Science and Management","DOI":"10.22034/gjesm.2020.02.07","journalAbbreviation":"Global Journal of Environmental Science and Management","page":"215-232","source":"ResearchGate","title":"Simulation and prediction of land use and land cover change using GIS, remote sensing and CA-Markov model","volume":"6","author":[{"family":"Khawaldah","given":"Hamzah"},{"family":"Farhan","given":"Ibrahim"},{"family":"Alzboun","given":"Nidal"}],"issued":{"date-parts":[["2020",2,1]]}}},{"id":107,"uris":["http://zotero.org/users/16803167/items/3SNR2TCM"],"itemData":{"id":107,"type":"article-journal","abstract":"Accurate information on the rate of land-use pattern changes and urban expansion is essential for the sustainable development and management of natural resources. The rapid urban growth is a major challenge for local government and urban planners in small cities of India due to an insufficient database and inadequate analysis of chaotic urban expansion. The present paper has evaluated the land use/land cover change (LULCC) dynamics of the Barrackpore Subdivision area, India using remote sensing data and utilized the urban growth. Multi-temporal Landsat images with the maximum likelihood classifier (MLC) method were applied to generate the land use land cover maps. The spatiotemporal changes were performed by the “from-to” change matrix identifier to study land transformation. LULCC matrix demonstrated that vegetation cover, agricultural/cropland, wetland, and water bodies have decreased area under 23%, 7%, 6%, 1.7%, while the area under built-up and fallow lands have increased by 32.2% and 6.3% during 1972–2016. The results also revealed marked variation in the growth of built-up areas. The positive correlation between population and built-up land growth indicated that the impact of population pressure has contributed to faster growth of built-up land in the study area. The study calls for policies for proper land use management and sustainable urban development.","container-title":"GeoJournal","DOI":"10.1007/s10708-020-10359-1","ISSN":"1572-9893","issue":"3","journalAbbreviation":"GeoJournal","language":"en","page":"2101-2123","source":"Springer Link","title":"Land use land cover change detection and monitoring of urban growth using remote sensing and GIS techniques: a micro-level study","title-short":"Land use land cover change detection and monitoring of urban growth using remote sensing and GIS techniques","volume":"87","author":[{"family":"Das","given":"Sandipta"},{"family":"Angadi","given":"Dasharatha P."}],"issued":{"date-parts":[["2022",6,1]]}}}],"schema":"https://github.com/citation-style-language/schema/raw/master/csl-citation.json"}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Khawaldah</w:t>
      </w:r>
      <w:proofErr w:type="spellEnd"/>
      <w:r w:rsidRPr="00C95A56">
        <w:rPr>
          <w:rFonts w:ascii="Times New Roman" w:hAnsi="Times New Roman" w:cs="Times New Roman"/>
          <w:color w:val="87CEEB"/>
          <w:sz w:val="24"/>
          <w:szCs w:val="24"/>
          <w:u w:val="single"/>
        </w:rPr>
        <w:t xml:space="preserve">, Farhan and </w:t>
      </w:r>
      <w:proofErr w:type="spellStart"/>
      <w:r w:rsidRPr="00C95A56">
        <w:rPr>
          <w:rFonts w:ascii="Times New Roman" w:hAnsi="Times New Roman" w:cs="Times New Roman"/>
          <w:color w:val="87CEEB"/>
          <w:sz w:val="24"/>
          <w:szCs w:val="24"/>
          <w:u w:val="single"/>
        </w:rPr>
        <w:t>Alzboun</w:t>
      </w:r>
      <w:proofErr w:type="spellEnd"/>
      <w:r w:rsidRPr="00C95A56">
        <w:rPr>
          <w:rFonts w:ascii="Times New Roman" w:hAnsi="Times New Roman" w:cs="Times New Roman"/>
          <w:color w:val="87CEEB"/>
          <w:sz w:val="24"/>
          <w:szCs w:val="24"/>
          <w:u w:val="single"/>
        </w:rPr>
        <w:t>, 2020; Das and Angadi, 2022)</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w:t>
      </w:r>
    </w:p>
    <w:p w14:paraId="394B7408" w14:textId="4BF830D0" w:rsidR="00152235" w:rsidRPr="00571085" w:rsidRDefault="00152235"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lastRenderedPageBreak/>
        <w:t>In the context of urban expansion, CA models simulate land use changes by integrating various influencing factors such as population density, infrastructure development, road networks, and exclusion zones. These models are particularly effective in capturing the nonlinear nature of urban growth, where small-scale local interactions contribute to large-scale spatial transformations</w:t>
      </w:r>
      <w:r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{"citationID":"dLpuTAoi","properties":{"formattedCitation":"(Khawaldah, Farhan and Alzboun, 2020; Das and Angadi, 2022)","plainCitation":"(Khawaldah, Farhan and Alzboun, 2020; Das and Angadi, 2022)","noteIndex":0},"citationItems":[{"id":58,"uris":["http://zotero.org/users/16803167/items/VHRA8JUR"],"itemData":{"id":58,"type":"article-journal","abstract":"This study analyzes the characteristics of land use/land cover change in Jordan's Irbid governorate, 1984-2018, and predicts future land use/land cover for 2030 and 2050 using a cellular automata-Markov model. The results inform planners and decision makers of past and current spatial dynamics of land use/land cover change and predicted urban expansion, for a better understanding and successful planning. Satellite images of Landsat 5-thematic mapper and Landsat 8 operational land imager for the years 1984, 1994, 2004, 2015 and 2018 were used to explore the characteristics of land use/land cover for this study. The results indicate that the built-up area expanded by 386.9% during the study period and predict further expansion by 19.5% and 64.6% from 2015 to 2030 and 2050 respectively. The areas around the central and eastern parts of the governorate are predicted to have significant expansion of the built-up area by these dates, which should be taken into consideration in future plans. Land use/land cover change and urban expansion in Irbid are primarily caused by the high rate of population growth rate as a direct result of receiving large numbers of immigrants from Syria and Palestine in addition to the natural increase of population and other socioeconomic changes.","container-title":"Global Journal of Environmental Science and Management","DOI":"10.22034/gjesm.2020.02.07","journalAbbreviation":"Global Journal of Environmental Science and Management","page":"215-232","source":"ResearchGate","title":"Simulation and prediction of land use and land cover change using GIS, remote sensing and CA-Markov model","volume":"6","author":[{"family":"Khawaldah","given":"Hamzah"},{"family":"Farhan","given":"Ibrahim"},{"family":"Alzboun","given":"Nidal"}],"issued":{"date-parts":[["2020",2,1]]}}},{"id":107,"uris":["http://zotero.org/users/16803167/items/3SNR2TCM"],"itemData":{"id":107,"type":"article-journal","abstract":"Accurate information on the rate of land-use pattern changes and urban expansion is essential for the sustainable development and management of natural resources. The rapid urban growth is a major challenge for local government and urban planners in small cities of India due to an insufficient database and inadequate analysis of chaotic urban expansion. The present paper has evaluated the land use/land cover change (LULCC) dynamics of the Barrackpore Subdivision area, India using remote sensing data and utilized the urban growth. Multi-temporal Landsat images with the maximum likelihood classifier (MLC) method were applied to generate the land use land cover maps. The spatiotemporal changes were performed by the “from-to” change matrix identifier to study land transformation. LULCC matrix demonstrated that vegetation cover, agricultural/cropland, wetland, and water bodies have decreased area under 23%, 7%, 6%, 1.7%, while the area under built-up and fallow lands have increased by 32.2% and 6.3% during 1972–2016. The results also revealed marked variation in the growth of built-up areas. The positive correlation between population and built-up land growth indicated that the impact of population pressure has contributed to faster growth of built-up land in the study area. The study calls for policies for proper land use management and sustainable urban development.","container-title":"GeoJournal","DOI":"10.1007/s10708-020-10359-1","ISSN":"1572-9893","issue":"3","journalAbbreviation":"GeoJournal","language":"en","page":"2101-2123","source":"Springer Link","title":"Land use land cover change detection and monitoring of urban growth using remote sensing and GIS techniques: a micro-level study","title-short":"Land use land cover change detection and monitoring of urban growth using remote sensing and GIS techniques","volume":"87","author":[{"family":"Das","given":"Sandipta"},{"family":"Angadi","given":"Dasharatha P."}],"issued":{"date-parts":[["2022",6,1]]}}}],"schema":"https://github.com/citation-style-language/schema/raw/master/csl-citation.json"}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Khawaldah</w:t>
      </w:r>
      <w:proofErr w:type="spellEnd"/>
      <w:r w:rsidRPr="00C95A56">
        <w:rPr>
          <w:rFonts w:ascii="Times New Roman" w:hAnsi="Times New Roman" w:cs="Times New Roman"/>
          <w:color w:val="87CEEB"/>
          <w:sz w:val="24"/>
          <w:szCs w:val="24"/>
          <w:u w:val="single"/>
        </w:rPr>
        <w:t xml:space="preserve">, Farhan and </w:t>
      </w:r>
      <w:proofErr w:type="spellStart"/>
      <w:r w:rsidRPr="00C95A56">
        <w:rPr>
          <w:rFonts w:ascii="Times New Roman" w:hAnsi="Times New Roman" w:cs="Times New Roman"/>
          <w:color w:val="87CEEB"/>
          <w:sz w:val="24"/>
          <w:szCs w:val="24"/>
          <w:u w:val="single"/>
        </w:rPr>
        <w:t>Alzboun</w:t>
      </w:r>
      <w:proofErr w:type="spellEnd"/>
      <w:r w:rsidRPr="00C95A56">
        <w:rPr>
          <w:rFonts w:ascii="Times New Roman" w:hAnsi="Times New Roman" w:cs="Times New Roman"/>
          <w:color w:val="87CEEB"/>
          <w:sz w:val="24"/>
          <w:szCs w:val="24"/>
          <w:u w:val="single"/>
        </w:rPr>
        <w:t>, 2020; Das and Angadi, 2022)</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1F701AF5" w14:textId="52BD64BB" w:rsidR="00152235" w:rsidRPr="00571085" w:rsidRDefault="00152235"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Variants of CA, such as Logistic Regression–Cellular Automata (LR-CA) and Artificial Neural Network–Cellular Automata (ANN-CA), enhance prediction accuracy by incorporating statistical and deep learning techniques</w:t>
      </w:r>
      <w:r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{"citationID":"OT8fBNeH","properties":{"formattedCitation":"(Feng {\\i{}et al.}, 2011)","plainCitation":"(Feng et al., 2011)","noteIndex":0},"citationItems":[{"id":92,"uris":["http://zotero.org/users/16803167/items/EXL5NB8E"],"itemData":{"id":92,"type":"article-journal","container-title":"Landscape and Urban Planning","DOI":"10.1016/j.landurbplan.2011.04.004","ISSN":"01692046","issue":"3","journalAbbreviation":"Landscape and Urban Planning","language":"en","license":"https://www.elsevier.com/tdm/userlicense/1.0/","page":"188-196","source":"DOI.org (Crossref)","title":"Modeling dynamic urban growth using cellular automata and particle swarm optimization rules","volume":"102","author":[{"family":"Feng","given":"Yongjiu"},{"family":"Liu","given":"Yan"},{"family":"Tong","given":"Xiaohua"},{"family":"Liu","given":"Miaolong"},{"family":"Deng","given":"Susu"}],"issued":{"date-parts":[["2011",9]]}}}],"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 xml:space="preserve">(Feng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2011)</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(Feng et al., 2011; Justin and De Vries, 2019). By leveraging historical land cover changes and spatial constraints, these hybrid models refine urban growth simulations and provide more accurate projections for future development.</w:t>
      </w:r>
    </w:p>
    <w:p w14:paraId="566D425C" w14:textId="2AC6DDFB" w:rsidR="00152235" w:rsidRPr="00571085" w:rsidRDefault="00152235"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CA-based models have been successfully applied to predict urban growth patterns in various cities, demonstrating their ability to replicate real-world spatial dynamics. Their adaptability and capacity to integrate diverse data sources make them valuable tools in urban planning and LULCC studies.</w:t>
      </w:r>
    </w:p>
    <w:p w14:paraId="1F39C25D" w14:textId="77777777" w:rsidR="000A07E5" w:rsidRPr="00571085" w:rsidRDefault="000A07E5" w:rsidP="00AE5E64">
      <w:pPr>
        <w:pStyle w:val="Heading4"/>
        <w:widowControl w:val="0"/>
        <w:spacing w:before="29" w:line="360" w:lineRule="auto"/>
        <w:jc w:val="both"/>
        <w:rPr>
          <w:rFonts w:ascii="Times New Roman" w:eastAsia="Times New Roman" w:hAnsi="Times New Roman" w:cs="Times New Roman"/>
        </w:rPr>
      </w:pPr>
      <w:r w:rsidRPr="00571085">
        <w:rPr>
          <w:rFonts w:ascii="Times New Roman" w:eastAsia="Times New Roman" w:hAnsi="Times New Roman" w:cs="Times New Roman"/>
        </w:rPr>
        <w:t xml:space="preserve">Markov Chain Models </w:t>
      </w:r>
    </w:p>
    <w:p w14:paraId="05E232D8" w14:textId="77777777" w:rsidR="000A07E5" w:rsidRPr="00571085" w:rsidRDefault="000A07E5" w:rsidP="00AE5E64">
      <w:pPr>
        <w:widowControl w:val="0"/>
        <w:pBdr>
          <w:top w:val="nil"/>
          <w:left w:val="nil"/>
          <w:bottom w:val="nil"/>
          <w:right w:val="nil"/>
          <w:between w:val="nil"/>
        </w:pBdr>
        <w:spacing w:before="134" w:line="360" w:lineRule="auto"/>
        <w:ind w:left="1" w:right="1"/>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Markov Chain models are widely utilized for predicting land-use and land-cover change (LULCC) by estimating the probability of transition from one land-use type to another over a given </w:t>
      </w:r>
      <w:proofErr w:type="gramStart"/>
      <w:r w:rsidRPr="00571085">
        <w:rPr>
          <w:rFonts w:ascii="Times New Roman" w:eastAsia="Times New Roman" w:hAnsi="Times New Roman" w:cs="Times New Roman"/>
          <w:color w:val="000000"/>
          <w:sz w:val="24"/>
          <w:szCs w:val="24"/>
        </w:rPr>
        <w:t>time period</w:t>
      </w:r>
      <w:proofErr w:type="gramEnd"/>
      <w:r w:rsidRPr="00571085">
        <w:rPr>
          <w:rFonts w:ascii="Times New Roman" w:eastAsia="Times New Roman" w:hAnsi="Times New Roman" w:cs="Times New Roman"/>
          <w:color w:val="000000"/>
          <w:sz w:val="24"/>
          <w:szCs w:val="24"/>
        </w:rPr>
        <w:t xml:space="preserve">. These models analyze historical land-use data to determine the likelihood of changes occurring in the future, making them particularly effective for assessing long-term urban growth patterns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{"citationID":"mWyzGbh6","properties":{"formattedCitation":"(Somvanshi {\\i{}et al.}, 2020; Al-Hameedi {\\i{}et al.}, 2021; Das and Angadi, 2022)","plainCitation":"(Somvanshi et al., 2020; Al-Hameedi et al., 2021; Das and Angadi, 2022)","dontUpdate":true,"noteIndex":0},"citationItems":[{"id":111,"uris":["http://zotero.org/users/16803167/items/RX5LRW3J"],"itemData":{"id":111,"type":"article-journal","abstract":"It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modeling results from 2030 to 2050 show that agriculture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id":107,"uris":["http://zotero.org/users/16803167/items/3SNR2TCM"],"itemData":{"id":107,"type":"article-journal","abstract":"Accurate information on the rate of land-use pattern changes and urban expansion is essential for the sustainable development and management of natural resources. The rapid urban growth is a major challenge for local government and urban planners in small cities of India due to an insufficient database and inadequate analysis of chaotic urban expansion. The present paper has evaluated the land use/land cover change (LULCC) dynamics of the Barrackpore Subdivision area, India using remote sensing data and utilized the urban growth. Multi-temporal Landsat images with the maximum likelihood classifier (MLC) method were applied to generate the land use land cover maps. The spatiotemporal changes were performed by the “from-to” change matrix identifier to study land transformation. LULCC matrix demonstrated that vegetation cover, agricultural/cropland, wetland, and water bodies have decreased area under 23%, 7%, 6%, 1.7%, while the area under built-up and fallow lands have increased by 32.2% and 6.3% during 1972–2016. The results also revealed marked variation in the growth of built-up areas. The positive correlation between population and built-up land growth indicated that the impact of population pressure has contributed to faster growth of built-up land in the study area. The study calls for policies for proper land use management and sustainable urban development.","container-title":"GeoJournal","DOI":"10.1007/s10708-020-10359-1","ISSN":"1572-9893","issue":"3","journalAbbreviation":"GeoJournal","language":"en","page":"2101-2123","source":"Springer Link","title":"Land use land cover change detection and monitoring of urban growth using remote sensing and GIS techniques: a micro-level study","title-short":"Land use land cover change detection and monitoring of urban growth using remote sensing and GIS techniques","volume":"87","author":[{"family":"Das","given":"Sandipta"},{"family":"Angadi","given":"Dasharatha P."}],"issued":{"date-parts":[["2022",6,1]]}}}],"schema":"https://github.com/citation-style-language/schema/raw/master/csl-citation.json"}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(Al-</w:t>
      </w:r>
      <w:proofErr w:type="spellStart"/>
      <w:r w:rsidRPr="00C95A56">
        <w:rPr>
          <w:rFonts w:ascii="Times New Roman" w:hAnsi="Times New Roman" w:cs="Times New Roman"/>
          <w:color w:val="87CEEB"/>
          <w:sz w:val="24"/>
          <w:szCs w:val="24"/>
          <w:u w:val="single"/>
        </w:rPr>
        <w:t>Hameedi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By computing transition matrices, Markov Chain models can identify areas with a high probability of urban expansion and forecast potential land-use distributions.  </w:t>
      </w:r>
    </w:p>
    <w:p w14:paraId="51C53FC4" w14:textId="77777777" w:rsidR="000A07E5" w:rsidRPr="00571085" w:rsidRDefault="000A07E5" w:rsidP="00AE5E64">
      <w:pPr>
        <w:widowControl w:val="0"/>
        <w:pBdr>
          <w:top w:val="nil"/>
          <w:left w:val="nil"/>
          <w:bottom w:val="nil"/>
          <w:right w:val="nil"/>
          <w:between w:val="nil"/>
        </w:pBdr>
        <w:spacing w:before="134" w:line="360" w:lineRule="auto"/>
        <w:ind w:left="1" w:right="1"/>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One of the key strengths of Markov Chain models is their ability to provide quantitative insights into urbanization trends, allowing planners to anticipate spatial transformations and make informed policy decisions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{"citationID":"RXSXxg34","properties":{"formattedCitation":"(Somvanshi {\\i{}et al.}, 2020; Al-Hameedi {\\i{}et al.}, 2021; Das and Angadi, 2022)","plainCitation":"(Somvanshi et al., 2020; Al-Hameedi et al., 2021; Das and Angadi, 2022)","dontUpdate":true,"noteIndex":0},"citationItems":[{"id":111,"uris":["http://zotero.org/users/16803167/items/RX5LRW3J"],"itemData":{"id":111,"type":"article-journal","abstract":"It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modeling results from 2030 to 2050 show that agriculture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id":107,"uris":["http://zotero.org/users/16803167/items/3SNR2TCM"],"itemData":{"id":107,"type":"article-journal","abstract":"Accurate information on the rate of land-use pattern changes and urban expansion is essential for the sustainable development and management of natural resources. The rapid urban growth is a major challenge for local government and urban planners in small cities of India due to an insufficient database and inadequate analysis of chaotic urban expansion. The present paper has evaluated the land use/land cover change (LULCC) dynamics of the Barrackpore Subdivision area, India using remote sensing data and utilized the urban growth. Multi-temporal Landsat images with the maximum likelihood classifier (MLC) method were applied to generate the land use land cover maps. The spatiotemporal changes were performed by the “from-to” change matrix identifier to study land transformation. LULCC matrix demonstrated that vegetation cover, agricultural/cropland, wetland, and water bodies have decreased area under 23%, 7%, 6%, 1.7%, while the area under built-up and fallow lands have increased by 32.2% and 6.3% during 1972–2016. The results also revealed marked variation in the growth of built-up areas. The positive correlation between population and built-up land growth indicated that the impact of population pressure has contributed to faster growth of built-up land in the study area. The study calls for policies for proper land use management and sustainable urban development.","container-title":"GeoJournal","DOI":"10.1007/s10708-020-10359-1","ISSN":"1572-9893","issue":"3","journalAbbreviation":"GeoJournal","language":"en","page":"2101-2123","source":"Springer Link","title":"Land use land cover change detection and monitoring of urban growth using remote sensing and GIS techniques: a micro-level study","title-short":"Land use land cover change detection and monitoring of urban growth using remote sensing and GIS techniques","volume":"87","author":[{"family":"Das","given":"Sandipta"},{"family":"Angadi","given":"Dasharatha P."}],"issued":{"date-parts":[["2022",6,1]]}}}],"schema":"https://github.com/citation-style-language/schema/raw/master/csl-citation.json"}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(Das and Angadi, 2022)</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However, because Markov models rely solely on historical transition probabilities, they do not inherently account for spatial constraints, environmental factors, or socioeconomic influences. To address this limitation, they are often integrated with Cellular Automata (CA) models, which introduce spatial dynamics by simulating interactions between neighboring land parcels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{"citationID":"00tx6YEx","properties":{"formattedCitation":"(Somvanshi {\\i{}et al.}, 2020; Al-Hameedi {\\i{}et al.}, 2021; Das and Angadi, 2022)","plainCitation":"(Somvanshi et al., 2020; Al-Hameedi et al., 2021; Das and Angadi, 2022)","noteIndex":0},"citationItems":[{"id":111,"uris":["http://zotero.org/users/16803167/items/RX5LRW3J"],"itemData":{"id":111,"type":"article-journal","abstract":"It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modeling results from 2030 to 2050 show that agriculture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id":107,"uris":["http://zotero.org/users/16803167/items/3SNR2TCM"],"itemData":{"id":107,"type":"article-journal","abstract":"Accurate information on the rate of land-use pattern changes and urban expansion is essential for the sustainable development and management of natural resources. The rapid urban growth is a major challenge for local government and urban planners in small cities of India due to an insufficient database and inadequate analysis of chaotic urban expansion. The present paper has evaluated the land use/land cover change (LULCC) dynamics of the Barrackpore Subdivision area, India using remote sensing data and utilized the urban growth. Multi-temporal Landsat images with the maximum likelihood classifier (MLC) method were applied to generate the land use land cover maps. The spatiotemporal changes were performed by the “from-to” change matrix identifier to study land transformation. LULCC matrix demonstrated that vegetation cover, agricultural/cropland, wetland, and water bodies have decreased area under 23%, 7%, 6%, 1.7%, while the area under built-up and fallow lands have increased by 32.2% and 6.3% during 1972–2016. The results also revealed marked variation in the growth of built-up areas. The positive correlation between population and built-up land growth indicated that the impact of population pressure has contributed to faster growth of built-up land in the study area. The study calls for policies for proper land use management and sustainable urban development.","container-title":"GeoJournal","DOI":"10.1007/s10708-020-10359-1","ISSN":"1572-9893","issue":"3","journalAbbreviation":"GeoJournal","language":"en","page":"2101-2123","source":"Springer Link","title":"Land use land cover change detection and monitoring of urban growth using remote sensing and GIS techniques: a micro-level study","title-short":"Land use land cover change detection and monitoring of urban growth using remote sensing and GIS techniques","volume":"87","author":[{"family":"Das","given":"Sandipta"},{"family":"Angadi","given":"Dasharatha P."}],"issued":{"date-parts":[["2022",6,1]]}}}],"schema":"https://github.com/citation-style-language/schema/raw/master/csl-citation.json"}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Somvanshi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2020; Al-</w:t>
      </w:r>
      <w:proofErr w:type="spellStart"/>
      <w:r w:rsidRPr="00C95A56">
        <w:rPr>
          <w:rFonts w:ascii="Times New Roman" w:hAnsi="Times New Roman" w:cs="Times New Roman"/>
          <w:color w:val="87CEEB"/>
          <w:sz w:val="24"/>
          <w:szCs w:val="24"/>
          <w:u w:val="single"/>
        </w:rPr>
        <w:t>Hameedi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 Das and Angadi, 2022)</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This hybrid approach enhances the predictive accuracy of urban growth models by incorporating both probabilistic and spatial elements.  </w:t>
      </w:r>
    </w:p>
    <w:p w14:paraId="172C1DFE" w14:textId="77777777" w:rsidR="000A07E5" w:rsidRPr="00571085" w:rsidRDefault="000A07E5" w:rsidP="00AE5E64">
      <w:pPr>
        <w:widowControl w:val="0"/>
        <w:pBdr>
          <w:top w:val="nil"/>
          <w:left w:val="nil"/>
          <w:bottom w:val="nil"/>
          <w:right w:val="nil"/>
          <w:between w:val="nil"/>
        </w:pBdr>
        <w:spacing w:before="134" w:line="360" w:lineRule="auto"/>
        <w:ind w:left="1" w:right="1"/>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lastRenderedPageBreak/>
        <w:t xml:space="preserve">Markov Chain models have been successfully applied in various urban settings to forecast future expansion scenarios and assess land-use sustainability. Studies have demonstrated their effectiveness in identifying high-risk zones for urban sprawl, enabling proactive planning interventions to mitigate adverse environmental impacts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{"citationID":"sfYInT4r","properties":{"formattedCitation":"(Somvanshi {\\i{}et al.}, 2020; Al-Hameedi {\\i{}et al.}, 2021; Das and Angadi, 2022)","plainCitation":"(Somvanshi et al., 2020; Al-Hameedi et al., 2021; Das and Angadi, 2022)","noteIndex":0},"citationItems":[{"id":111,"uris":["http://zotero.org/users/16803167/items/RX5LRW3J"],"itemData":{"id":111,"type":"article-journal","abstract":"It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modeling results from 2030 to 2050 show that agriculture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id":107,"uris":["http://zotero.org/users/16803167/items/3SNR2TCM"],"itemData":{"id":107,"type":"article-journal","abstract":"Accurate information on the rate of land-use pattern changes and urban expansion is essential for the sustainable development and management of natural resources. The rapid urban growth is a major challenge for local government and urban planners in small cities of India due to an insufficient database and inadequate analysis of chaotic urban expansion. The present paper has evaluated the land use/land cover change (LULCC) dynamics of the Barrackpore Subdivision area, India using remote sensing data and utilized the urban growth. Multi-temporal Landsat images with the maximum likelihood classifier (MLC) method were applied to generate the land use land cover maps. The spatiotemporal changes were performed by the “from-to” change matrix identifier to study land transformation. LULCC matrix demonstrated that vegetation cover, agricultural/cropland, wetland, and water bodies have decreased area under 23%, 7%, 6%, 1.7%, while the area under built-up and fallow lands have increased by 32.2% and 6.3% during 1972–2016. The results also revealed marked variation in the growth of built-up areas. The positive correlation between population and built-up land growth indicated that the impact of population pressure has contributed to faster growth of built-up land in the study area. The study calls for policies for proper land use management and sustainable urban development.","container-title":"GeoJournal","DOI":"10.1007/s10708-020-10359-1","ISSN":"1572-9893","issue":"3","journalAbbreviation":"GeoJournal","language":"en","page":"2101-2123","source":"Springer Link","title":"Land use land cover change detection and monitoring of urban growth using remote sensing and GIS techniques: a micro-level study","title-short":"Land use land cover change detection and monitoring of urban growth using remote sensing and GIS techniques","volume":"87","author":[{"family":"Das","given":"Sandipta"},{"family":"Angadi","given":"Dasharatha P."}],"issued":{"date-parts":[["2022",6,1]]}}}],"schema":"https://github.com/citation-style-language/schema/raw/master/csl-citation.json"}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Somvanshi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2020; Al-</w:t>
      </w:r>
      <w:proofErr w:type="spellStart"/>
      <w:r w:rsidRPr="00C95A56">
        <w:rPr>
          <w:rFonts w:ascii="Times New Roman" w:hAnsi="Times New Roman" w:cs="Times New Roman"/>
          <w:color w:val="87CEEB"/>
          <w:sz w:val="24"/>
          <w:szCs w:val="24"/>
          <w:u w:val="single"/>
        </w:rPr>
        <w:t>Hameedi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 Das and Angadi, 2022)</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By simulating different urban growth scenarios, these models contribute to strategic land-use planning, infrastructure development, and environmental conservation efforts, ensuring a more sustainable and resilient approach to urban expansion.</w:t>
      </w:r>
      <w:bookmarkStart w:id="15" w:name="_gab2q5gyk6ne" w:colFirst="0" w:colLast="0"/>
      <w:bookmarkEnd w:id="15"/>
    </w:p>
    <w:p w14:paraId="1287604F" w14:textId="77777777" w:rsidR="000A07E5" w:rsidRPr="00571085" w:rsidRDefault="000A07E5" w:rsidP="00AE5E64">
      <w:pPr>
        <w:widowControl w:val="0"/>
        <w:pBdr>
          <w:top w:val="nil"/>
          <w:left w:val="nil"/>
          <w:bottom w:val="nil"/>
          <w:right w:val="nil"/>
          <w:between w:val="nil"/>
        </w:pBdr>
        <w:spacing w:before="134" w:line="360" w:lineRule="auto"/>
        <w:ind w:left="1" w:right="1"/>
        <w:jc w:val="both"/>
        <w:rPr>
          <w:rFonts w:ascii="Times New Roman" w:eastAsia="Times New Roman" w:hAnsi="Times New Roman" w:cs="Times New Roman"/>
          <w:color w:val="000000"/>
          <w:sz w:val="24"/>
          <w:szCs w:val="24"/>
        </w:rPr>
      </w:pPr>
    </w:p>
    <w:p w14:paraId="6E8671AA" w14:textId="77777777" w:rsidR="000A07E5" w:rsidRPr="00571085" w:rsidRDefault="000A07E5" w:rsidP="00AE5E64">
      <w:pPr>
        <w:pStyle w:val="Heading4"/>
        <w:widowControl w:val="0"/>
        <w:spacing w:before="29" w:line="360" w:lineRule="auto"/>
        <w:ind w:left="1"/>
        <w:jc w:val="both"/>
        <w:rPr>
          <w:rFonts w:ascii="Times New Roman" w:eastAsia="Times New Roman" w:hAnsi="Times New Roman" w:cs="Times New Roman"/>
        </w:rPr>
      </w:pPr>
      <w:bookmarkStart w:id="16" w:name="_v9afmz2b02be" w:colFirst="0" w:colLast="0"/>
      <w:bookmarkEnd w:id="16"/>
      <w:r w:rsidRPr="00571085">
        <w:rPr>
          <w:rFonts w:ascii="Times New Roman" w:eastAsia="Times New Roman" w:hAnsi="Times New Roman" w:cs="Times New Roman"/>
        </w:rPr>
        <w:t xml:space="preserve">2.4.5 Artificial Neural Networks (ANN) </w:t>
      </w:r>
    </w:p>
    <w:p w14:paraId="36C38516" w14:textId="77777777" w:rsidR="000A07E5" w:rsidRPr="00571085" w:rsidRDefault="000A07E5" w:rsidP="00AE5E64">
      <w:pPr>
        <w:widowControl w:val="0"/>
        <w:pBdr>
          <w:top w:val="nil"/>
          <w:left w:val="nil"/>
          <w:bottom w:val="nil"/>
          <w:right w:val="nil"/>
          <w:between w:val="nil"/>
        </w:pBdr>
        <w:spacing w:before="133" w:line="360" w:lineRule="auto"/>
        <w:ind w:left="1" w:right="2" w:firstLine="1"/>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Artificial Neural Networks (ANNs) are advanced computational models inspired by the structure and function of the human brain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{"citationID":"aiZX8WSN","properties":{"formattedCitation":"(Somvanshi {\\i{}et al.}, 2020; Al-Hameedi {\\i{}et al.}, 2021)","plainCitation":"(Somvanshi et al., 2020; Al-Hameedi et al., 2021)","noteIndex":0},"citationItems":[{"id":111,"uris":["http://zotero.org/users/16803167/items/RX5LRW3J"],"itemData":{"id":111,"type":"article-journal","abstract":"It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w:instrText>
      </w:r>
      <w:r w:rsidRPr="00C95A56">
        <w:rPr>
          <w:rFonts w:ascii="Times New Roman" w:eastAsia="Times New Roman" w:hAnsi="Times New Roman" w:cs="Times New Roman"/>
          <w:color w:val="000000"/>
          <w:sz w:val="24"/>
          <w:szCs w:val="24"/>
        </w:rPr>
        <w:instrText>g results from 2030 to 2050 show that agri</w:instrText>
      </w:r>
      <w:r w:rsidRPr="00571085">
        <w:rPr>
          <w:rFonts w:ascii="Times New Roman" w:eastAsia="Times New Roman" w:hAnsi="Times New Roman" w:cs="Times New Roman"/>
          <w:color w:val="000000"/>
          <w:sz w:val="24"/>
          <w:szCs w:val="24"/>
        </w:rPr>
        <w:instrText xml:space="preserve">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Somvanshi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2020; Al-</w:t>
      </w:r>
      <w:proofErr w:type="spellStart"/>
      <w:r w:rsidRPr="00C95A56">
        <w:rPr>
          <w:rFonts w:ascii="Times New Roman" w:hAnsi="Times New Roman" w:cs="Times New Roman"/>
          <w:color w:val="87CEEB"/>
          <w:sz w:val="24"/>
          <w:szCs w:val="24"/>
          <w:u w:val="single"/>
        </w:rPr>
        <w:t>Hameedi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They are designed to recognize patterns, process complex data, and make predictions based on input variables. In the context of urban growth prediction, ANNs are used to model intricate relationships between various factors, such as socio-economic conditions, land-use policies, environmental factors, and infrastructure development. Their ability to process large datasets and capture non-linear interactions makes them particularly effective in understanding urban dynamics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{"citationID":"aiZX8WSN","properties":{"formattedCitation":"(Somvanshi {\\i{}et al.}, 2020; Al-Hameedi {\\i{}et al.}, 2021)","plainCitation":"(Somvanshi et al., 2020; Al-Hameedi et al., 2021)","noteIndex":0},"citationItems":[{"id":111,"uris":["http://zotero.org/users/16803167/items/RX5LRW3J"],"itemData":{"id":111,"type":"article-journal","abstract":"It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w:instrText>
      </w:r>
      <w:r w:rsidRPr="00C95A56">
        <w:rPr>
          <w:rFonts w:ascii="Times New Roman" w:eastAsia="Times New Roman" w:hAnsi="Times New Roman" w:cs="Times New Roman"/>
          <w:color w:val="000000"/>
          <w:sz w:val="24"/>
          <w:szCs w:val="24"/>
        </w:rPr>
        <w:instrText>g results from 2030 to 2050 show that agri</w:instrText>
      </w:r>
      <w:r w:rsidRPr="00571085">
        <w:rPr>
          <w:rFonts w:ascii="Times New Roman" w:eastAsia="Times New Roman" w:hAnsi="Times New Roman" w:cs="Times New Roman"/>
          <w:color w:val="000000"/>
          <w:sz w:val="24"/>
          <w:szCs w:val="24"/>
        </w:rPr>
        <w:instrText xml:space="preserve">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Somvanshi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2020; Al-</w:t>
      </w:r>
      <w:proofErr w:type="spellStart"/>
      <w:r w:rsidRPr="00C95A56">
        <w:rPr>
          <w:rFonts w:ascii="Times New Roman" w:hAnsi="Times New Roman" w:cs="Times New Roman"/>
          <w:color w:val="87CEEB"/>
          <w:sz w:val="24"/>
          <w:szCs w:val="24"/>
          <w:u w:val="single"/>
        </w:rPr>
        <w:t>Hameedi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05D5806D" w14:textId="77777777" w:rsidR="000A07E5" w:rsidRPr="00571085" w:rsidRDefault="000A07E5" w:rsidP="00AE5E64">
      <w:pPr>
        <w:widowControl w:val="0"/>
        <w:pBdr>
          <w:top w:val="nil"/>
          <w:left w:val="nil"/>
          <w:bottom w:val="nil"/>
          <w:right w:val="nil"/>
          <w:between w:val="nil"/>
        </w:pBdr>
        <w:spacing w:before="133" w:line="360" w:lineRule="auto"/>
        <w:ind w:left="1" w:right="2" w:firstLine="1"/>
        <w:jc w:val="both"/>
        <w:rPr>
          <w:rFonts w:ascii="Times New Roman" w:eastAsia="Times New Roman" w:hAnsi="Times New Roman" w:cs="Times New Roman"/>
          <w:color w:val="000000"/>
          <w:sz w:val="24"/>
          <w:szCs w:val="24"/>
        </w:rPr>
      </w:pPr>
    </w:p>
    <w:p w14:paraId="6AAC8A7F" w14:textId="77777777" w:rsidR="000A07E5" w:rsidRPr="00571085" w:rsidRDefault="000A07E5" w:rsidP="00AE5E64">
      <w:pPr>
        <w:widowControl w:val="0"/>
        <w:pBdr>
          <w:top w:val="nil"/>
          <w:left w:val="nil"/>
          <w:bottom w:val="nil"/>
          <w:right w:val="nil"/>
          <w:between w:val="nil"/>
        </w:pBdr>
        <w:spacing w:before="133" w:line="360" w:lineRule="auto"/>
        <w:ind w:left="1" w:right="2" w:firstLine="1"/>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Studies employing ANNs have shown remarkable success in accurately forecasting urban growth patterns. By leveraging Geographic Information System (GIS) data, ANNs can incorporate spatial and temporal elements into their predictions, enhancing the model's reliability. These models are particularly useful in identifying areas that are likely to experience urban expansion, as well as understanding the key drivers of this growth, such as population density, economic development, and policy decisions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{"citationID":"aiZX8WSN","properties":{"formattedCitation":"(Somvanshi {\\i{}et al.}, 2020; Al-Hameedi {\\i{}et al.}, 2021)","plainCitation":"(Somvanshi et al., 2020; Al-Hameedi et al., 2021)","noteIndex":0},"citationItems":[{"id":111,"uris":["http://zotero.org/users/16803167/items/RX5LRW3J"],"itemData":{"id":111,"type":"article-journal","abstract":"It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modeling results from 2030 to 2050 show that agriculture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Somvanshi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2020; Al-</w:t>
      </w:r>
      <w:proofErr w:type="spellStart"/>
      <w:r w:rsidRPr="00C95A56">
        <w:rPr>
          <w:rFonts w:ascii="Times New Roman" w:hAnsi="Times New Roman" w:cs="Times New Roman"/>
          <w:color w:val="87CEEB"/>
          <w:sz w:val="24"/>
          <w:szCs w:val="24"/>
          <w:u w:val="single"/>
        </w:rPr>
        <w:t>Hameedi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47A4FAE3" w14:textId="4BE60FB7" w:rsidR="000A07E5" w:rsidRPr="00571085" w:rsidRDefault="000A07E5" w:rsidP="00AE5E64">
      <w:pPr>
        <w:widowControl w:val="0"/>
        <w:pBdr>
          <w:top w:val="nil"/>
          <w:left w:val="nil"/>
          <w:bottom w:val="nil"/>
          <w:right w:val="nil"/>
          <w:between w:val="nil"/>
        </w:pBdr>
        <w:spacing w:before="133" w:line="360" w:lineRule="auto"/>
        <w:ind w:left="1" w:right="2" w:firstLine="1"/>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The application of ANNs in urban growth modeling has provided valuable insights into future land-use trends, helping urban planners and policymakers make informed decisions regarding infrastructure development and land-use management. ANNs have proven instrumental in identifying potential urban sprawl areas, understanding the complex factors influencing growth, and assessing the sustainability of urban expansion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{"citationID":"aiZX8WSN","properties":{"formattedCitation":"(Somvanshi {\\i{}et al.}, 2020; Al-Hameedi {\\i{}et al.}, 2021)","plainCitation":"(Somvanshi et al., 2020; Al-Hameedi et al., 2021)","noteIndex":0},"citationItems":[{"id":111,"uris":["http://zotero.org/users/16803167/items/RX5LRW3J"],"itemData":{"id":111,"type":"article-journal","abstract":"It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modeling results from 2030 to 2050 show that agriculture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Somvanshi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2020; Al-</w:t>
      </w:r>
      <w:proofErr w:type="spellStart"/>
      <w:r w:rsidRPr="00C95A56">
        <w:rPr>
          <w:rFonts w:ascii="Times New Roman" w:hAnsi="Times New Roman" w:cs="Times New Roman"/>
          <w:color w:val="87CEEB"/>
          <w:sz w:val="24"/>
          <w:szCs w:val="24"/>
          <w:u w:val="single"/>
        </w:rPr>
        <w:t>Hameedi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color w:val="87CEEB"/>
          <w:sz w:val="24"/>
          <w:szCs w:val="24"/>
          <w:u w:val="single"/>
        </w:rPr>
        <w:lastRenderedPageBreak/>
        <w:t>2021)</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Through their predictive capabilities, ANNs enable the formulation of more effective strategies for managing urbanization, ensuring that cities can grow in a way that is both sustainable and responsive to the needs of their populations.</w:t>
      </w:r>
    </w:p>
    <w:p w14:paraId="2D1C9222" w14:textId="30FFB35B" w:rsidR="00152235" w:rsidRPr="00571085" w:rsidRDefault="000A07E5"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Google Earth Engine and other Models</w:t>
      </w:r>
    </w:p>
    <w:p w14:paraId="332A21CA" w14:textId="160FA9CB" w:rsidR="002C1399" w:rsidRPr="00571085" w:rsidRDefault="002C1399"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Geospatial and remote sensing techniques play a crucial role in urban growth prediction by providing accurate land cover data and spatial analysis tools. Satellite imagery from sources such as Landsat and Sentinel enables the detection of land use changes over time through spectral analysis. Google Earth Engine (GEE) facilitates large-scale spatial analysis and geospatial data processing, while Geographic Information Systems (GIS) provide visualization and spatial integration capabilities for urban development assessments</w:t>
      </w:r>
      <w:r w:rsidR="00DE61E8" w:rsidRPr="00571085">
        <w:rPr>
          <w:rFonts w:ascii="Times New Roman" w:eastAsia="Times New Roman" w:hAnsi="Times New Roman" w:cs="Times New Roman"/>
          <w:color w:val="000000"/>
          <w:sz w:val="24"/>
          <w:szCs w:val="24"/>
        </w:rPr>
        <w:t xml:space="preserve"> </w:t>
      </w:r>
      <w:r w:rsidR="00DE61E8" w:rsidRPr="00571085">
        <w:rPr>
          <w:rFonts w:ascii="Times New Roman" w:eastAsia="Times New Roman" w:hAnsi="Times New Roman" w:cs="Times New Roman"/>
          <w:color w:val="000000"/>
          <w:sz w:val="24"/>
          <w:szCs w:val="24"/>
        </w:rPr>
        <w:fldChar w:fldCharType="begin"/>
      </w:r>
      <w:r w:rsidR="00DE61E8" w:rsidRPr="00571085">
        <w:rPr>
          <w:rFonts w:ascii="Times New Roman" w:eastAsia="Times New Roman" w:hAnsi="Times New Roman" w:cs="Times New Roman"/>
          <w:color w:val="000000"/>
          <w:sz w:val="24"/>
          <w:szCs w:val="24"/>
        </w:rPr>
        <w:instrText xml:space="preserve"> ADDIN ZOTERO_ITEM CSL_CITATION {"citationID":"5qNRDbps","properties":{"formattedCitation":"(Bruno Soares, Daly and Dessai, 2018; Nyasulu {\\i{}et al.}, 2022)","plainCitation":"(Bruno Soares, Daly and Dessai, 2018; Nyasulu et al., 2022)","noteIndex":0},"citationItems":[{"id":96,"uris":["http://zotero.org/users/16803167/items/326UUXQT"],"itemData":{"id":96,"type":"article-journal","abstract":"Seasonal climate forecasts (SCF) can support decision‐making and thus help society cope with and prepare for climate variability and change. The demand for understanding the value and benefits of using SCF in decision‐making processes can be associated with different logics.  Two of these would be the need to justify public and private investment in the provision of SCF and demonstrating the gains and benefits of using SCF in specific decision‐making contexts. This paper reviews the main factors influencing how SCF is (or can be) valued in supporting decision‐making and the main methods and metrics currently used to perform such valuations.  Our review results in four key findings: (a) there is a current emphasis on economic ex ante studies and the quantification of SCF value; (b) there are fundamental differences in how the value of SCF is defined and estimated across methods and approaches; (c) most valuation methods are unable to capture the differential benefits and risks of using SCF across spatiotemporal scales and groups; and (d) there is limited involvement of the decision‐makers in the valuation process. The paper concludes by providing some guiding principles towards more effective valuations of SCF, notably the need for a wider diversity and integration of methodological approaches. These should particularly embrace ex‐post,  qualitative, and participatory approaches which allow co‐evaluation with decision‐makers so that more comprehensive and equitable SCF valuations can be developed in future.\n            \n              This article is categorized under:\n              \n                \n                  Vulnerability and Adaptation to Climate Change &gt; Institutions for Adaptation","container-title":"WIREs Climate Change","DOI":"10.1002/wcc.523","ISSN":"1757-7780, 1757-7799","issue":"4","journalAbbreviation":"WIREs Climate Change","language":"en","page":"e523","source":"DOI.org (Crossref)","title":"Assessing the value of seasonal climate forecasts for decision‐making","volume":"9","author":[{"family":"Bruno Soares","given":"Marta"},{"family":"Daly","given":"Meaghan"},{"family":"Dessai","given":"Suraje"}],"issued":{"date-parts":[["2018",7]]}}},{"id":94,"uris":["http://zotero.org/users/16803167/items/I2BLQFNK"],"itemData":{"id":94,"type":"article-journal","abstract":"To ensure continued food security and economic development in Africa, it is very important to address and adapt to climate change. Excessive dependence on rainfed agricultural production makes Africa more vulnerable to climate change effects. Weather information and services are essential for farmers to more effectively survive the increasing occurrence of extreme weather events due to climate change. Weather information is important for resource management in agricultural production and helps farmers plan their farming activities in advance. Machine Learning is one of the technologies used in agriculture for weather forecasting and crop disease detection among others. The objective of this study is to develop Machine Learning-based models adapted to the context of daily weather forecasting for Rainfall, Relative Humidity, and Maximum and Minimum Temperature in Senegal. In this study, we made a comparison of ten Machine Learning Regressors with our Ensemble Model. These models were evaluated based on Mean Absolute Error, Mean Squared Error, Root Mean Squared Error and Coefficient of Determination. The results show that the Ensemble Model performs better than the ten base models. The Ensemble Model results for each parameter are as follows; Relative Humidity: Mean Absolute Error was 4.0126, Mean Squared Error was 29.9885, Root Mean Squared Error was 5.4428 and Coefficient of Determination was 0.9335. For Minimum Temperature: Mean Absolute Error was 0.7908, Mean Squared Error was 1.1329, Root Mean Squared Error was 1.0515 and Coefficient of Determination was 0.9018. For Maximum Temperature: Mean Absolute Error was 1.2515, Mean Squared Error was 2.8038, Root Mean Squared Error was 1.6591 and Coefficient of Determination was 0.8205. For Rainfall: Mean Absolute Error was 0.2142, Mean Squared Error was 0.1681, Root Mean Squared Error was 0.4100 and Coefficient of Determination was 0.7733. From the present study, it has been observed that the Ensemble Model is a feasible model to be used for Rainfall, Relative Humidity, and Maximum and Minimum Temperature forecasting.","container-title":"Agriculture","DOI":"10.3390/agriculture12091473","ISSN":"2077-0472","issue":"9","journalAbbreviation":"Agriculture","language":"en","license":"https://creativecommons.org/licenses/by/4.0/","page":"1473","source":"DOI.org (Crossref)","title":"Towards Resilient Agriculture to Hostile Climate Change in the Sahel Region: A Case Study of Machine Learning-Based Weather Prediction in Senegal","title-short":"Towards Resilient Agriculture to Hostile Climate Change in the Sahel Region","volume":"12","author":[{"family":"Nyasulu","given":"Chimango"},{"family":"Diattara","given":"Awa"},{"family":"Traore","given":"Assitan"},{"family":"Deme","given":"Abdoulaye"},{"family":"Ba","given":"Cheikh"}],"issued":{"date-parts":[["2022",9,15]]}}}],"schema":"https://github.com/citation-style-language/schema/raw/master/csl-citation.json"} </w:instrText>
      </w:r>
      <w:r w:rsidR="00DE61E8" w:rsidRPr="00571085">
        <w:rPr>
          <w:rFonts w:ascii="Times New Roman" w:eastAsia="Times New Roman" w:hAnsi="Times New Roman" w:cs="Times New Roman"/>
          <w:color w:val="000000"/>
          <w:sz w:val="24"/>
          <w:szCs w:val="24"/>
        </w:rPr>
        <w:fldChar w:fldCharType="separate"/>
      </w:r>
      <w:r w:rsidR="00DE61E8" w:rsidRPr="00C95A56">
        <w:rPr>
          <w:rFonts w:ascii="Times New Roman" w:hAnsi="Times New Roman" w:cs="Times New Roman"/>
          <w:color w:val="87CEEB"/>
          <w:sz w:val="24"/>
          <w:szCs w:val="24"/>
          <w:u w:val="single"/>
        </w:rPr>
        <w:t xml:space="preserve">(Bruno Soares, Daly and </w:t>
      </w:r>
      <w:proofErr w:type="spellStart"/>
      <w:r w:rsidR="00DE61E8" w:rsidRPr="00C95A56">
        <w:rPr>
          <w:rFonts w:ascii="Times New Roman" w:hAnsi="Times New Roman" w:cs="Times New Roman"/>
          <w:color w:val="87CEEB"/>
          <w:sz w:val="24"/>
          <w:szCs w:val="24"/>
          <w:u w:val="single"/>
        </w:rPr>
        <w:t>Dessai</w:t>
      </w:r>
      <w:proofErr w:type="spellEnd"/>
      <w:r w:rsidR="00DE61E8" w:rsidRPr="00C95A56">
        <w:rPr>
          <w:rFonts w:ascii="Times New Roman" w:hAnsi="Times New Roman" w:cs="Times New Roman"/>
          <w:color w:val="87CEEB"/>
          <w:sz w:val="24"/>
          <w:szCs w:val="24"/>
          <w:u w:val="single"/>
        </w:rPr>
        <w:t xml:space="preserve">, 2018; Nyasulu </w:t>
      </w:r>
      <w:r w:rsidR="00DE61E8" w:rsidRPr="00C95A56">
        <w:rPr>
          <w:rFonts w:ascii="Times New Roman" w:hAnsi="Times New Roman" w:cs="Times New Roman"/>
          <w:i/>
          <w:iCs/>
          <w:color w:val="87CEEB"/>
          <w:sz w:val="24"/>
          <w:szCs w:val="24"/>
          <w:u w:val="single"/>
        </w:rPr>
        <w:t>et al.</w:t>
      </w:r>
      <w:r w:rsidR="00DE61E8" w:rsidRPr="00C95A56">
        <w:rPr>
          <w:rFonts w:ascii="Times New Roman" w:hAnsi="Times New Roman" w:cs="Times New Roman"/>
          <w:color w:val="87CEEB"/>
          <w:sz w:val="24"/>
          <w:szCs w:val="24"/>
          <w:u w:val="single"/>
        </w:rPr>
        <w:t>, 2022)</w:t>
      </w:r>
      <w:r w:rsidR="00DE61E8"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43A58115" w14:textId="24F6405B" w:rsidR="002C1399" w:rsidRPr="00571085" w:rsidRDefault="002C1399"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Hybrid and ensemble models combine different methodologies to improve predictive accuracy. By integrating machine learning classification techniques with CA-based spatial simulation, these models refine urban growth predictions</w:t>
      </w:r>
      <w:r w:rsidR="00DE61E8" w:rsidRPr="00571085">
        <w:rPr>
          <w:rFonts w:ascii="Times New Roman" w:eastAsia="Times New Roman" w:hAnsi="Times New Roman" w:cs="Times New Roman"/>
          <w:color w:val="000000"/>
          <w:sz w:val="24"/>
          <w:szCs w:val="24"/>
        </w:rPr>
        <w:t xml:space="preserve"> </w:t>
      </w:r>
      <w:r w:rsidR="00DE61E8" w:rsidRPr="00571085">
        <w:rPr>
          <w:rFonts w:ascii="Times New Roman" w:eastAsia="Times New Roman" w:hAnsi="Times New Roman" w:cs="Times New Roman"/>
          <w:color w:val="000000"/>
          <w:sz w:val="24"/>
          <w:szCs w:val="24"/>
        </w:rPr>
        <w:fldChar w:fldCharType="begin"/>
      </w:r>
      <w:r w:rsidR="00F77269" w:rsidRPr="00571085">
        <w:rPr>
          <w:rFonts w:ascii="Times New Roman" w:eastAsia="Times New Roman" w:hAnsi="Times New Roman" w:cs="Times New Roman"/>
          <w:color w:val="000000"/>
          <w:sz w:val="24"/>
          <w:szCs w:val="24"/>
        </w:rPr>
        <w:instrText xml:space="preserve"> ADDIN ZOTERO_ITEM CSL_CITATION {"citationID":"fKroxaac","properties":{"formattedCitation":"(Cifuentes {\\i{}et al.}, 2020; Nyasulu {\\i{}et al.}, 2022)","plainCitation":"(Cifuentes et al., 2020; Nyasulu et al., 2022)","noteIndex":0},"citationItems":[{"id":98,"uris":["http://zotero.org/users/16803167/items/TYWIYSG7"],"itemData":{"id":98,"type":"article-journal","abstract":"Efforts to understand the influence of historical climate change, at global and regional levels, have been increasing over the past decade. In particular, the estimates of air temperatures have been considered as a key factor in climate impact studies on agricultural, ecological, environmental, and industrial sectors. Accurate temperature prediction helps to safeguard life and property, playing an important role in planning activities for the government, industry, and the public. The primary aim of this study is to review the different machine learning strategies for temperature forecasting, available in the literature, presenting their advantages and disadvantages and identifying research gaps. This survey shows that Machine Learning techniques can help to accurately predict temperatures based on a set of input features, which can include the previous values of temperature, relative humidity, solar radiation, rain and wind speed measurements, among others. The review reveals that Deep Learning strategies report smaller errors (Mean Square Error = 0.0017 °K) compared with traditional Artificial Neural Networks architectures, for 1 step-ahead at regional scale. At the global scale, Support Vector Machines are preferred based on their good compromise between simplicity and accuracy. In addition, the accuracy of the methods described in this work is found to be dependent on inputs combination, architecture, and learning algorithms. Finally, further research areas in temperature forecasting are outlined.","container-title":"Energies","DOI":"10.3390/en13164215","ISSN":"1996-1073","issue":"16","journalAbbreviation":"Energies","language":"en","license":"https://creativecommons.org/licenses/by/4.0/","page":"4215","source":"DOI.org (Crossref)","title":"Air Temperature Forecasting Using Machine Learning Techniques: A Review","title-short":"Air Temperature Forecasting Using Machine Learning Techniques","volume":"13","author":[{"family":"Cifuentes","given":"Jenny"},{"family":"Marulanda","given":"Geovanny"},{"family":"Bello","given":"Antonio"},{"family":"Reneses","given":"Javier"}],"issued":{"date-parts":[["2020",8,14]]}}},{"id":94,"uris":["http://zotero.org/users/16803167/items/I2BLQFNK"],"itemData":{"id":94,"type":"article-journal","abstract":"To ensure continued food security and economic development in Africa, it is very important to address and adapt to climate change. Excessive dependence on rainfed agricultural production makes Africa more vulnerable to climate change effects. Weather information and services are essential for farmers to more effectively survive the increasing occurrence of extreme weather events due to climate change. Weather information is important for resource management in agricultural production and helps farmers plan their farming activities in advance. Machine Learning is one of the technologies used in agriculture for weather forecasting and crop disease detection among others. The objective of this study is to develop Machine Learning-based models adapted to the context of daily weather forecasting for Rainfall, Relative Humidity, and Maximum and Minimum Temperature in Senegal. In this study, we made a comparison of ten Machine Learning Regressors with our Ensemble Model. These models were evaluated based on Mean Absolute Error, Mean Squared Error, Root Mean Squared Error and Coefficient of Determination. The results show that the Ensemble Model performs better than the ten base models. The Ensemble Model results for each parameter are as follows; Relative Humidity: Mean Absolute Error was 4.0126, Mean Squared Error was 29.9885, Root Mean Squared Error was 5.4428 and Coefficient of Determination was 0.9335. For Minimum Temperature: Mean Absolute Error was 0.7908, Mean Squared Error was 1.1329, Root Mean Squared Error was 1.0515 and Coefficient of Determination was 0.9018. For Maximum Temperature: Mean Absolute Error was 1.2515, Mean Squared Error was 2.8038, Root Mean Squared Error was 1.6591 and Coefficient of Determination was 0.8205. For Rainfall: Mean Absolute Error was 0.2142, Mean Squared Error was 0.1681, Root Mean Squared Error was 0.4100 and Coefficient of Determination was 0.7733. From the present study, it has been observed that the Ensemble Model is a feasible model to be used for Rainfall, Relative Humidity, and Maximum and Minimum Temperature forecasting.","container-title":"Agriculture","DOI":"10.3390/agriculture12091473","ISSN":"2077-0472","issue":"9","journalAbbreviation":"Agriculture","language":"en","license":"https://creativecommons.org/licenses/by/4.0/","page":"1473","source":"DOI.org (Crossref)","title":"Towards Resilient Agriculture to Hostile Climate Change in the Sahel Region: A Case Study of Machine Learning-Based Weather Prediction in Senegal","title-short":"Towards Resilient Agriculture to Hostile Climate Change in the Sahel Region","volume":"12","author":[{"family":"Nyasulu","given":"Chimango"},{"family":"Diattara","given":"Awa"},{"family":"Traore","given":"Assitan"},{"family":"Deme","given":"Abdoulaye"},{"family":"Ba","given":"Cheikh"}],"issued":{"date-parts":[["2022",9,15]]}}}],"schema":"https://github.com/citation-style-language/schema/raw/master/csl-citation.json"} </w:instrText>
      </w:r>
      <w:r w:rsidR="00DE61E8" w:rsidRPr="00571085">
        <w:rPr>
          <w:rFonts w:ascii="Times New Roman" w:eastAsia="Times New Roman" w:hAnsi="Times New Roman" w:cs="Times New Roman"/>
          <w:color w:val="000000"/>
          <w:sz w:val="24"/>
          <w:szCs w:val="24"/>
        </w:rPr>
        <w:fldChar w:fldCharType="separate"/>
      </w:r>
      <w:r w:rsidR="00F77269" w:rsidRPr="00C95A56">
        <w:rPr>
          <w:rFonts w:ascii="Times New Roman" w:hAnsi="Times New Roman" w:cs="Times New Roman"/>
          <w:color w:val="87CEEB"/>
          <w:sz w:val="24"/>
          <w:szCs w:val="24"/>
          <w:u w:val="single"/>
        </w:rPr>
        <w:t xml:space="preserve">(Cifuentes </w:t>
      </w:r>
      <w:r w:rsidR="00F77269" w:rsidRPr="00C95A56">
        <w:rPr>
          <w:rFonts w:ascii="Times New Roman" w:hAnsi="Times New Roman" w:cs="Times New Roman"/>
          <w:i/>
          <w:iCs/>
          <w:color w:val="87CEEB"/>
          <w:sz w:val="24"/>
          <w:szCs w:val="24"/>
          <w:u w:val="single"/>
        </w:rPr>
        <w:t>et al.</w:t>
      </w:r>
      <w:r w:rsidR="00F77269" w:rsidRPr="00C95A56">
        <w:rPr>
          <w:rFonts w:ascii="Times New Roman" w:hAnsi="Times New Roman" w:cs="Times New Roman"/>
          <w:color w:val="87CEEB"/>
          <w:sz w:val="24"/>
          <w:szCs w:val="24"/>
          <w:u w:val="single"/>
        </w:rPr>
        <w:t xml:space="preserve">, 2020; Nyasulu </w:t>
      </w:r>
      <w:r w:rsidR="00F77269" w:rsidRPr="00C95A56">
        <w:rPr>
          <w:rFonts w:ascii="Times New Roman" w:hAnsi="Times New Roman" w:cs="Times New Roman"/>
          <w:i/>
          <w:iCs/>
          <w:color w:val="87CEEB"/>
          <w:sz w:val="24"/>
          <w:szCs w:val="24"/>
          <w:u w:val="single"/>
        </w:rPr>
        <w:t>et al.</w:t>
      </w:r>
      <w:r w:rsidR="00F77269" w:rsidRPr="00C95A56">
        <w:rPr>
          <w:rFonts w:ascii="Times New Roman" w:hAnsi="Times New Roman" w:cs="Times New Roman"/>
          <w:color w:val="87CEEB"/>
          <w:sz w:val="24"/>
          <w:szCs w:val="24"/>
          <w:u w:val="single"/>
        </w:rPr>
        <w:t>, 2022)</w:t>
      </w:r>
      <w:r w:rsidR="00DE61E8"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Techniques such as stacking and weighted averaging utilize multiple predictive models, enhancing overall forecasting reliability and robustness.</w:t>
      </w:r>
    </w:p>
    <w:p w14:paraId="592359DB" w14:textId="51F7A809" w:rsidR="002C1399" w:rsidRPr="00571085" w:rsidRDefault="002C1399"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Statistical and econometric models also contribute to urban growth prediction. Markov Chain Analysis is frequently used to predict land use transitions by analyzing historical changes and estimating probabilistic shifts in land cover. Geographically Weighted Regression (GWR) accounts for spatial variations in urban growth determinants, providing more localized and detailed predictions</w:t>
      </w:r>
      <w:r w:rsidR="00F77269" w:rsidRPr="00571085">
        <w:rPr>
          <w:rFonts w:ascii="Times New Roman" w:eastAsia="Times New Roman" w:hAnsi="Times New Roman" w:cs="Times New Roman"/>
          <w:color w:val="000000"/>
          <w:sz w:val="24"/>
          <w:szCs w:val="24"/>
        </w:rPr>
        <w:t xml:space="preserve"> </w:t>
      </w:r>
      <w:r w:rsidR="00F77269" w:rsidRPr="00571085">
        <w:rPr>
          <w:rFonts w:ascii="Times New Roman" w:eastAsia="Times New Roman" w:hAnsi="Times New Roman" w:cs="Times New Roman"/>
          <w:color w:val="000000"/>
          <w:sz w:val="24"/>
          <w:szCs w:val="24"/>
        </w:rPr>
        <w:fldChar w:fldCharType="begin"/>
      </w:r>
      <w:r w:rsidR="00F77269" w:rsidRPr="00571085">
        <w:rPr>
          <w:rFonts w:ascii="Times New Roman" w:eastAsia="Times New Roman" w:hAnsi="Times New Roman" w:cs="Times New Roman"/>
          <w:color w:val="000000"/>
          <w:sz w:val="24"/>
          <w:szCs w:val="24"/>
        </w:rPr>
        <w:instrText xml:space="preserve"> ADDIN ZOTERO_ITEM CSL_CITATION {"citationID":"1eKjqgeY","properties":{"formattedCitation":"(Zhao {\\i{}et al.}, 2009; Micheal, 2025)","plainCitation":"(Zhao et al., 2009; Micheal, 2025)","noteIndex":0},"citationItems":[{"id":101,"uris":["http://zotero.org/users/16803167/items/WX2CXZS3"],"itemData":{"id":101,"type":"article","abstract":"Abstract. Changes in carbon density (i.e., carbon stock per unit area) and land cover greatly affect carbon sequestration. Previous studies have shown that land cover change detection strongly depends on spatial scale. However, the influence of the spatial resolution of land cover change information on the estimated terrestrial carbon sequestration is not known. Here, we quantified and evaluated the impact of land cover change databases at various spatial resolutions (250 m, 500 m, 1 km, 2 km, and 4 km) on the magnitude and spatial patterns of regional carbon sequestration in the southeastern United States using the General Ensemble biogeochemical Modeling System (GEMS). Results indicated a threshold of 1 km in the land cover change databases and in the estimated regional terrestrial carbon sequestration. Beyond this threshold, significant biases occurred in the estimation of terrestrial carbon sequestration, its interannual variability, and spatial patterns. In addition, the overriding impact of interannual climate variability on the temporal change of regional carbon sequestration was unrealistically overshadowed by the impact of land cover change beyond the threshold. The implications of these findings directly challenge current continental- to global-scale carbon modeling efforts relying on information at coarse spatial resolution without incorporating fine-scale land cover dynamics.","DOI":"10.5194/bgd-6-7983-2009","license":"https://creativecommons.org/licenses/by/3.0/","publisher":"Biogeochemistry: Modelling, Terrestrial","source":"DOI.org (Crossref)","title":"A spatial resolution threshold of land cover in estimating regional terrestrial carbon sequestration","URL":"https://bg.copernicus.org/articles/7/71/2010/bg-7-71-2010-discussion.html","author":[{"family":"Zhao","given":"S."},{"family":"Liu","given":"S."},{"family":"Li","given":"Z."},{"family":"Sohl","given":"T. L."}],"accessed":{"date-parts":[["2025",3,30]]},"issued":{"date-parts":[["2009",8,5]]}}},{"id":8,"uris":["http://zotero.org/users/16803167/items/ZV3SNUBH"],"itemData":{"id":8,"type":"webpage","container-title":"Eye Radio","genre":"NewsPaper","title":"Schools closed after 12 students fainted daily over heat exhaustion: Official - Eye Radio","title-short":"Schools closed after 12 students fainted daily over heat exhaustion","URL":"https://www.eyeradio.org/schools-closed-after-12-students-fainted-daily-over-heat-exhaustion-official/","author":[{"family":"Micheal","given":"Daniel"}],"accessed":{"date-parts":[["2025",3,29]]},"issued":{"date-parts":[["2025",2,21]]}}}],"schema":"https://github.com/citation-style-language/schema/raw/master/csl-citation.json"} </w:instrText>
      </w:r>
      <w:r w:rsidR="00F77269" w:rsidRPr="00571085">
        <w:rPr>
          <w:rFonts w:ascii="Times New Roman" w:eastAsia="Times New Roman" w:hAnsi="Times New Roman" w:cs="Times New Roman"/>
          <w:color w:val="000000"/>
          <w:sz w:val="24"/>
          <w:szCs w:val="24"/>
        </w:rPr>
        <w:fldChar w:fldCharType="separate"/>
      </w:r>
      <w:r w:rsidR="00F77269" w:rsidRPr="00C95A56">
        <w:rPr>
          <w:rFonts w:ascii="Times New Roman" w:hAnsi="Times New Roman" w:cs="Times New Roman"/>
          <w:color w:val="87CEEB"/>
          <w:sz w:val="24"/>
          <w:szCs w:val="24"/>
          <w:u w:val="single"/>
        </w:rPr>
        <w:t xml:space="preserve">(Zhao </w:t>
      </w:r>
      <w:r w:rsidR="00F77269" w:rsidRPr="00C95A56">
        <w:rPr>
          <w:rFonts w:ascii="Times New Roman" w:hAnsi="Times New Roman" w:cs="Times New Roman"/>
          <w:i/>
          <w:iCs/>
          <w:color w:val="87CEEB"/>
          <w:sz w:val="24"/>
          <w:szCs w:val="24"/>
          <w:u w:val="single"/>
        </w:rPr>
        <w:t>et al.</w:t>
      </w:r>
      <w:r w:rsidR="00F77269" w:rsidRPr="00C95A56">
        <w:rPr>
          <w:rFonts w:ascii="Times New Roman" w:hAnsi="Times New Roman" w:cs="Times New Roman"/>
          <w:color w:val="87CEEB"/>
          <w:sz w:val="24"/>
          <w:szCs w:val="24"/>
          <w:u w:val="single"/>
        </w:rPr>
        <w:t>, 2009; Micheal, 2025)</w:t>
      </w:r>
      <w:r w:rsidR="00F77269"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03DA6B7E" w14:textId="0FE5DA2B" w:rsidR="00BE3DCB" w:rsidRPr="00571085" w:rsidRDefault="002C1399"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Scenario-based approaches offer valuable insights into potential future urban expansion under different policy frameworks. Urban growth scenarios such as business-as-usual, compact city development, and urban sprawl simulations help planners evaluate the impacts of different urbanization strategies. Additionally, agent-based models (ABM) simulate individual or group decision-making processes, illustrating how various factors influence urban expansion patterns</w:t>
      </w:r>
      <w:r w:rsidR="00F77269" w:rsidRPr="00571085">
        <w:rPr>
          <w:rFonts w:ascii="Times New Roman" w:eastAsia="Times New Roman" w:hAnsi="Times New Roman" w:cs="Times New Roman"/>
          <w:color w:val="000000"/>
          <w:sz w:val="24"/>
          <w:szCs w:val="24"/>
        </w:rPr>
        <w:t xml:space="preserve"> </w:t>
      </w:r>
      <w:r w:rsidR="00F77269" w:rsidRPr="00571085">
        <w:rPr>
          <w:rFonts w:ascii="Times New Roman" w:eastAsia="Times New Roman" w:hAnsi="Times New Roman" w:cs="Times New Roman"/>
          <w:color w:val="000000"/>
          <w:sz w:val="24"/>
          <w:szCs w:val="24"/>
        </w:rPr>
        <w:fldChar w:fldCharType="begin"/>
      </w:r>
      <w:r w:rsidR="00F77269" w:rsidRPr="00571085">
        <w:rPr>
          <w:rFonts w:ascii="Times New Roman" w:eastAsia="Times New Roman" w:hAnsi="Times New Roman" w:cs="Times New Roman"/>
          <w:color w:val="000000"/>
          <w:sz w:val="24"/>
          <w:szCs w:val="24"/>
        </w:rPr>
        <w:instrText xml:space="preserve"> ADDIN ZOTERO_ITEM CSL_CITATION {"citationID":"ZzN4veVP","properties":{"formattedCitation":"(Dai {\\i{}et al.}, 2020; Gobin and Van Herzele, 2023)","plainCitation":"(Dai et al., 2020; Gobin and Van Herzele, 2023)","noteIndex":0},"citationItems":[{"id":105,"uris":["http://zotero.org/users/16803167/items/C42IM4RV"],"itemData":{"id":105,"type":"article-journal","container-title":"Journal of Geographical Sciences","DOI":"10.1007/s11442-020-1799-3","ISSN":"1009-637X, 1861-9568","issue":"10","journalAbbreviation":"J. Geogr. Sci.","language":"en","page":"1555-1570","source":"DOI.org (Crossref)","title":"Agent-based model of land system: Theory, application and modelling framework","title-short":"Agent-based model of land system","volume":"30","author":[{"family":"Dai","given":"Erfu"},{"family":"Ma","given":"Liang"},{"family":"Yang","given":"Weishi"},{"family":"Wang","given":"Yahui"},{"family":"Yin","given":"Le"},{"family":"Tong","given":"Miao"}],"issued":{"date-parts":[["2020",10]]}}},{"id":103,"uris":["http://zotero.org/users/16803167/items/A4GHHWVY"],"itemData":{"id":103,"type":"article-journal","abstract":"As a large proportion of land is managed by professional family farms, agent-based models are of interest for simulating agricultural land use. This requires a deep understanding of the farm characteristics that influence land use decisions. We developed a methodology to identify a data-driven farm typology by combining participatory methods, multivariate statistical modeling and spatiotemporal parcel-based land cover analysis between 2000 and 2020. A formal questionnaire provided data on the farm characteristics, which were subjected to principal component analysis and k-means clustering. The resulting data-driven typology complemented a production-based approach to understanding land use decisions. The main influencing factors were farm size, share of private land, dominant crops and participation in European schemes such as NATURA2000 and agri-environment-climate measures. Overall, family tradition and a high return on investment were the most important motivations for maintaining current land use practices, while a higher income, income support and diversification were the most important reasons for pursuing new land use options. Differences between the farm characteristics highlighted the importance of the motivations for land use decisions between the farm types. This methodology can be used to generate data-driven typologies suitable for implementing agent-based models to explore sustainable land management options in a changing environment.","container-title":"Land","DOI":"10.3390/land12112032","ISSN":"2073-445X","issue":"11","journalAbbreviation":"Land","language":"en","license":"https://creativecommons.org/licenses/by/4.0/","page":"2032","source":"DOI.org (Crossref)","title":"A Data-Driven Farm Typology as a Basis for Agricultural Land Use Decisions","volume":"12","author":[{"family":"Gobin","given":"Anne"},{"family":"Van Herzele","given":"Ann"}],"issued":{"date-parts":[["2023",11,8]]}}}],"schema":"https://github.com/citation-style-language/schema/raw/master/csl-citation.json"} </w:instrText>
      </w:r>
      <w:r w:rsidR="00F77269" w:rsidRPr="00571085">
        <w:rPr>
          <w:rFonts w:ascii="Times New Roman" w:eastAsia="Times New Roman" w:hAnsi="Times New Roman" w:cs="Times New Roman"/>
          <w:color w:val="000000"/>
          <w:sz w:val="24"/>
          <w:szCs w:val="24"/>
        </w:rPr>
        <w:fldChar w:fldCharType="separate"/>
      </w:r>
      <w:r w:rsidR="00F77269" w:rsidRPr="00C95A56">
        <w:rPr>
          <w:rFonts w:ascii="Times New Roman" w:hAnsi="Times New Roman" w:cs="Times New Roman"/>
          <w:color w:val="87CEEB"/>
          <w:sz w:val="24"/>
          <w:szCs w:val="24"/>
          <w:u w:val="single"/>
        </w:rPr>
        <w:t xml:space="preserve">(Dai </w:t>
      </w:r>
      <w:r w:rsidR="00F77269" w:rsidRPr="00C95A56">
        <w:rPr>
          <w:rFonts w:ascii="Times New Roman" w:hAnsi="Times New Roman" w:cs="Times New Roman"/>
          <w:i/>
          <w:iCs/>
          <w:color w:val="87CEEB"/>
          <w:sz w:val="24"/>
          <w:szCs w:val="24"/>
          <w:u w:val="single"/>
        </w:rPr>
        <w:t>et al.</w:t>
      </w:r>
      <w:r w:rsidR="00F77269" w:rsidRPr="00C95A56">
        <w:rPr>
          <w:rFonts w:ascii="Times New Roman" w:hAnsi="Times New Roman" w:cs="Times New Roman"/>
          <w:color w:val="87CEEB"/>
          <w:sz w:val="24"/>
          <w:szCs w:val="24"/>
          <w:u w:val="single"/>
        </w:rPr>
        <w:t xml:space="preserve">, 2020; Gobin and Van </w:t>
      </w:r>
      <w:proofErr w:type="spellStart"/>
      <w:r w:rsidR="00F77269" w:rsidRPr="00C95A56">
        <w:rPr>
          <w:rFonts w:ascii="Times New Roman" w:hAnsi="Times New Roman" w:cs="Times New Roman"/>
          <w:color w:val="87CEEB"/>
          <w:sz w:val="24"/>
          <w:szCs w:val="24"/>
          <w:u w:val="single"/>
        </w:rPr>
        <w:t>Herzele</w:t>
      </w:r>
      <w:proofErr w:type="spellEnd"/>
      <w:r w:rsidR="00F77269" w:rsidRPr="00C95A56">
        <w:rPr>
          <w:rFonts w:ascii="Times New Roman" w:hAnsi="Times New Roman" w:cs="Times New Roman"/>
          <w:color w:val="87CEEB"/>
          <w:sz w:val="24"/>
          <w:szCs w:val="24"/>
          <w:u w:val="single"/>
        </w:rPr>
        <w:t>, 2023)</w:t>
      </w:r>
      <w:r w:rsidR="00F77269"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087E5A7A" w14:textId="77777777" w:rsidR="00BE3DCB" w:rsidRPr="00571085" w:rsidRDefault="00BE3DCB" w:rsidP="00AE5E64">
      <w:pPr>
        <w:widowControl w:val="0"/>
        <w:pBdr>
          <w:top w:val="nil"/>
          <w:left w:val="nil"/>
          <w:bottom w:val="nil"/>
          <w:right w:val="nil"/>
          <w:between w:val="nil"/>
        </w:pBdr>
        <w:spacing w:before="29" w:line="360" w:lineRule="auto"/>
        <w:ind w:left="2"/>
        <w:jc w:val="both"/>
        <w:rPr>
          <w:rFonts w:ascii="Times New Roman" w:eastAsia="Times New Roman" w:hAnsi="Times New Roman" w:cs="Times New Roman"/>
          <w:b/>
          <w:sz w:val="24"/>
          <w:szCs w:val="24"/>
        </w:rPr>
      </w:pPr>
      <w:bookmarkStart w:id="17" w:name="_r9g6cxd938bv" w:colFirst="0" w:colLast="0"/>
      <w:bookmarkEnd w:id="17"/>
    </w:p>
    <w:p w14:paraId="6ACB0E2A" w14:textId="77777777" w:rsidR="000A07E5" w:rsidRPr="00571085" w:rsidRDefault="000A07E5" w:rsidP="00AE5E64">
      <w:pPr>
        <w:pStyle w:val="Heading3"/>
        <w:widowControl w:val="0"/>
        <w:spacing w:line="360" w:lineRule="auto"/>
        <w:ind w:left="3"/>
        <w:jc w:val="both"/>
      </w:pPr>
      <w:bookmarkStart w:id="18" w:name="_i1e5o2jiwvee" w:colFirst="0" w:colLast="0"/>
      <w:bookmarkStart w:id="19" w:name="_ryzboh5d5dh5" w:colFirst="0" w:colLast="0"/>
      <w:bookmarkEnd w:id="18"/>
      <w:bookmarkEnd w:id="19"/>
      <w:r w:rsidRPr="00571085">
        <w:lastRenderedPageBreak/>
        <w:t xml:space="preserve">Land Use and Land Cover (LULC) Dynamics in Juba </w:t>
      </w:r>
    </w:p>
    <w:p w14:paraId="0AEB4750" w14:textId="77777777" w:rsidR="000A07E5" w:rsidRPr="00571085" w:rsidRDefault="000A07E5" w:rsidP="00AE5E64">
      <w:pPr>
        <w:widowControl w:val="0"/>
        <w:pBdr>
          <w:top w:val="nil"/>
          <w:left w:val="nil"/>
          <w:bottom w:val="nil"/>
          <w:right w:val="nil"/>
          <w:between w:val="nil"/>
        </w:pBdr>
        <w:spacing w:before="133" w:line="360" w:lineRule="auto"/>
        <w:ind w:left="3" w:right="1" w:firstLine="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Several studies have examined land use and land cover (LULC) changes in Juba, consistently highlighting the rapid expansion of built-up areas at the expense of agricultural land and natural ecosystems. One study by Gudo et al. focused on the spatiotemporal dynamics of LULC changes in </w:t>
      </w:r>
      <w:proofErr w:type="spellStart"/>
      <w:r w:rsidRPr="00571085">
        <w:rPr>
          <w:rFonts w:ascii="Times New Roman" w:eastAsia="Times New Roman" w:hAnsi="Times New Roman" w:cs="Times New Roman"/>
          <w:color w:val="000000"/>
          <w:sz w:val="24"/>
          <w:szCs w:val="24"/>
        </w:rPr>
        <w:t>Jubek</w:t>
      </w:r>
      <w:proofErr w:type="spellEnd"/>
      <w:r w:rsidRPr="00571085">
        <w:rPr>
          <w:rFonts w:ascii="Times New Roman" w:eastAsia="Times New Roman" w:hAnsi="Times New Roman" w:cs="Times New Roman"/>
          <w:color w:val="000000"/>
          <w:sz w:val="24"/>
          <w:szCs w:val="24"/>
        </w:rPr>
        <w:t xml:space="preserve"> State, which encompasses Juba. Using Landsat satellite imagery from 2000 to 2017, the study analyzed transformations across six major land cover categories: built-up areas, water bodies, agricultural land, forest land, barren land, and grassland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{"citationID":"qk8Rcv9g","properties":{"formattedCitation":"(Gudo, Deng and Qureshi, 2022b)","plainCitation":"(Gudo, Deng and Qureshi, 2022b)","noteIndex":0},"citationItems":[{"id":73,"uris":["http://zotero.org/users/16803167/items/9E273LWA"],"itemData":{"id":73,"type":"article-journal","abstract":"The Republic of South Sudan lacks adequate data to support decision-makers in planning. Therefore, a land use land cover (LULC) study was conducted in Jubek State for 17 years (2000–2017). It was divided into three time intervals, using remote sensing (RS), geographic information system (GIS), Landsat TM, Landsat ETM+, and Landsat 8 OLI approaches. A transition matrix for the total change was developed to generate spatiotemporal and quantitative indicators to analyze LULC spatiotemporal dynamics for better developmental decisions. Overall accuracy assessment results were 97.41% (kappa 0.96), 90.45% (kappa 0.85), and 91.5% (kappa 0.89) for years 2000, 2009, and 2017, respectively. Furthermore, quantitative and spatiotemporal results show that built up areas drastically increase, especially from 2009 to 2017. The most dominant class in the study area was grassland, 9929.9 km2 (54.22%), followed by forest, 5555 km2 (30.33%), barren land, 2497.3 km2 (13.64%), built up areas, 166.7 km2 (0.9%), farmland, 128.31 km2 (0.71%), and water bodies, 35.91 km2 (0.96%). The outcomes of the analysis show that since 1955 Jubek State (Juba) has been the preferable place for the local citizens’ settlement in South Sudan. Unfortunately, agricultural production was insufficient due to the limited cultivated area; on the other hand, the study area is rich in natural resources and could meet local people’s demand if a proper strategy such as LULC transformation is well implemented.","container-title":"Sustainability","DOI":"10.3390/su141710753","ISSN":"2071-1050","issue":"17","journalAbbreviation":"Sustainability","language":"en","license":"https://creativecommons.org/licenses/by/4.0/","page":"10753","source":"DOI.org (Crossref)","title":"Analysis of Spatiotemporal Dynamics of Land Use/Cover Changes in Jubek State, South Sudan","volume":"14","author":[{"family":"Gudo","given":"Adam Juma Abdallah"},{"family":"Deng","given":"Jinsong"},{"family":"Qureshi","given":"Asad Sarwar"}],"issued":{"date-parts":[["2022",8,29]]}}}],"schema":"https://github.com/citation-style-language/schema/raw/master/csl-citation.json"}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(Gudo, Deng and Qureshi, 2022b)</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7F1B8AD2" w14:textId="77777777" w:rsidR="000A07E5" w:rsidRPr="00571085" w:rsidRDefault="000A07E5" w:rsidP="00AE5E64">
      <w:pPr>
        <w:widowControl w:val="0"/>
        <w:pBdr>
          <w:top w:val="nil"/>
          <w:left w:val="nil"/>
          <w:bottom w:val="nil"/>
          <w:right w:val="nil"/>
          <w:between w:val="nil"/>
        </w:pBdr>
        <w:spacing w:before="133" w:line="360" w:lineRule="auto"/>
        <w:ind w:left="3" w:right="1" w:firstLine="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The findings revealed a substantial increase in built-up areas, particularly between 2009 and 2017, driven by factors such as population growth, rural-to-urban migration, and economic expansion. Urbanization in Juba followed a linear trajectory alongside population growth, with patterns influenced by security conditions, the availability of natural resources, and broader socio-economic and political factors. The prolonged civil unrest in South Sudan further exacerbated these trends, as large numbers of people migrated to Juba in search of safety and economic opportunities. This influx heightened demand for housing, infrastructure, and public services, accelerating the city's spatial expansion.</w:t>
      </w:r>
    </w:p>
    <w:p w14:paraId="5EA9946C" w14:textId="77777777" w:rsidR="000A07E5" w:rsidRPr="00571085" w:rsidRDefault="000A07E5" w:rsidP="00AE5E64">
      <w:pPr>
        <w:widowControl w:val="0"/>
        <w:pBdr>
          <w:top w:val="nil"/>
          <w:left w:val="nil"/>
          <w:bottom w:val="nil"/>
          <w:right w:val="nil"/>
          <w:between w:val="nil"/>
        </w:pBdr>
        <w:spacing w:before="133" w:line="360" w:lineRule="auto"/>
        <w:ind w:left="3" w:right="1" w:firstLine="6"/>
        <w:jc w:val="both"/>
        <w:rPr>
          <w:rFonts w:ascii="Times New Roman" w:eastAsia="Times New Roman" w:hAnsi="Times New Roman" w:cs="Times New Roman"/>
          <w:color w:val="000000"/>
          <w:sz w:val="24"/>
          <w:szCs w:val="24"/>
        </w:rPr>
      </w:pPr>
    </w:p>
    <w:p w14:paraId="2AAFD012" w14:textId="77777777" w:rsidR="000A07E5" w:rsidRPr="00571085" w:rsidRDefault="000A07E5" w:rsidP="00AE5E64">
      <w:pPr>
        <w:widowControl w:val="0"/>
        <w:pBdr>
          <w:top w:val="nil"/>
          <w:left w:val="nil"/>
          <w:bottom w:val="nil"/>
          <w:right w:val="nil"/>
          <w:between w:val="nil"/>
        </w:pBdr>
        <w:spacing w:before="133" w:line="360" w:lineRule="auto"/>
        <w:ind w:left="3" w:right="1" w:firstLine="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In addition to documenting urban growth, the study also identified a critical challenge in predicting future expansion: the lack of consistent and reliable data. Political instability and conflict in the region have disrupted systematic data collection efforts, limiting the availability of high-quality geospatial information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{"citationID":"xN8w8pFz","properties":{"formattedCitation":"(Gudo, Deng and Qureshi, 2022b)","plainCitation":"(Gudo, Deng and Qureshi, 2022b)","noteIndex":0},"citationItems":[{"id":73,"uris":["http://zotero.org/users/16803167/items/9E273LWA"],"itemData":{"id":73,"type":"article-journal","abstract":"The Republic of South Sudan lacks adequate data to support decision-makers in planning. Therefore, a land use land cover (LULC) study was conducted in Jubek State for 17 years (2000–2017). It was divided into three time intervals, using remote sensing (RS), geographic information system (GIS), Landsat TM, Landsat ETM+, and Landsat 8 OLI approaches. A transition matrix for the total change was developed to generate spatiotemporal and quantitative indicators to analyze LULC spatiotemporal dynamics for better developmental decisions. Overall accuracy assessment results were 97.41% (kappa 0.96), 90.45% (kappa 0.85), and 91.5% (kappa 0.89) for years 2000, 2009, and 2017, respectively. Furthermore, quantitative and spatiotemporal results show that built up areas drastically increase, especially from 2009 to 2017. The most dominant class in the study area was grassland, 9929.9 km2 (54.22%), followed by forest, 5555 km2 (30.33%), barren land, 2497.3 km2 (13.64%), built up areas, 166.7 km2 (0.9%), farmland, 128.31 km2 (0.71%), and water bodies, 35.91 km2 (0.96%). The outcomes of the analysis show that since 1955 Jubek State (Juba) has been the preferable place for the local citizens’ settlement in South Sudan. Unfortunately, agricultural production was insufficient due to the limited cultivated area; on the other hand, the study area is rich in natural resources and could meet local people’s demand if a proper strategy such as LULC transformation is well implemented.","container-title":"Sustainability","DOI":"10.3390/su141710753","ISSN":"2071-1050","issue":"17","journalAbbreviation":"Sustainability","language":"en","license":"https://creativecommons.org/licenses/by/4.0/","page":"10753","source":"DOI.org (Crossref)","title":"Analysis of Spatiotemporal Dynamics of Land Use/Cover Changes in Jubek State, South Sudan","volume":"14","author":[{"family":"Gudo","given":"Adam Juma Abdallah"},{"family":"Deng","given":"Jinsong"},{"family":"Qureshi","given":"Asad Sarwar"}],"issued":{"date-parts":[["2022",8,29]]}}}],"schema":"https://github.com/citation-style-language/schema/raw/master/csl-citation.json"}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(Gudo, Deng and Qureshi, 2022b)</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w:t>
      </w:r>
    </w:p>
    <w:p w14:paraId="35CE1E67" w14:textId="77777777" w:rsidR="000A07E5" w:rsidRPr="00571085" w:rsidRDefault="000A07E5" w:rsidP="00AE5E64">
      <w:pPr>
        <w:widowControl w:val="0"/>
        <w:pBdr>
          <w:top w:val="nil"/>
          <w:left w:val="nil"/>
          <w:bottom w:val="nil"/>
          <w:right w:val="nil"/>
          <w:between w:val="nil"/>
        </w:pBdr>
        <w:spacing w:before="133" w:line="360" w:lineRule="auto"/>
        <w:ind w:left="3" w:right="1" w:firstLine="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These constraints have made it difficult to develop accurate predictive models for urban growth, underscoring the need for improved data acquisition strategies and methodological approaches to enhance urban planning and decision-making in Juba.</w:t>
      </w:r>
    </w:p>
    <w:p w14:paraId="3F71236B" w14:textId="77777777" w:rsidR="000A07E5" w:rsidRPr="00571085" w:rsidRDefault="000A07E5" w:rsidP="00AE5E64">
      <w:pPr>
        <w:widowControl w:val="0"/>
        <w:pBdr>
          <w:top w:val="nil"/>
          <w:left w:val="nil"/>
          <w:bottom w:val="nil"/>
          <w:right w:val="nil"/>
          <w:between w:val="nil"/>
        </w:pBdr>
        <w:spacing w:before="29" w:line="360" w:lineRule="auto"/>
        <w:ind w:left="2"/>
        <w:jc w:val="both"/>
        <w:rPr>
          <w:rFonts w:ascii="Times New Roman" w:eastAsia="Times New Roman" w:hAnsi="Times New Roman" w:cs="Times New Roman"/>
          <w:b/>
          <w:sz w:val="24"/>
          <w:szCs w:val="24"/>
        </w:rPr>
      </w:pPr>
    </w:p>
    <w:p w14:paraId="72689D14" w14:textId="77777777" w:rsidR="000A07E5" w:rsidRPr="00571085" w:rsidRDefault="000A07E5" w:rsidP="00AE5E64">
      <w:pPr>
        <w:pStyle w:val="Heading3"/>
        <w:widowControl w:val="0"/>
        <w:spacing w:line="360" w:lineRule="auto"/>
        <w:jc w:val="both"/>
      </w:pPr>
      <w:bookmarkStart w:id="20" w:name="_y4vbhxeos28r" w:colFirst="0" w:colLast="0"/>
      <w:bookmarkEnd w:id="20"/>
      <w:r w:rsidRPr="00571085">
        <w:t>2.3 Land use and Land cover change dynamics in Africa</w:t>
      </w:r>
    </w:p>
    <w:p w14:paraId="325F06F8" w14:textId="77777777" w:rsidR="000A07E5" w:rsidRPr="00571085" w:rsidRDefault="000A07E5" w:rsidP="00AE5E64">
      <w:pPr>
        <w:spacing w:line="360" w:lineRule="auto"/>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t xml:space="preserve">A study conducted by Faisal Koko, Auwalu et al., investigated the patterns of land use and land cover (LULC) changes in Lagos, Nigeria, employing maximum likelihood classification and post-classification change detection techniques </w:t>
      </w:r>
      <w:r w:rsidRPr="00571085">
        <w:rPr>
          <w:rFonts w:ascii="Times New Roman" w:eastAsia="Times New Roman" w:hAnsi="Times New Roman" w:cs="Times New Roman"/>
          <w:sz w:val="24"/>
          <w:szCs w:val="24"/>
        </w:rPr>
        <w:fldChar w:fldCharType="begin"/>
      </w:r>
      <w:r w:rsidRPr="00571085">
        <w:rPr>
          <w:rFonts w:ascii="Times New Roman" w:eastAsia="Times New Roman" w:hAnsi="Times New Roman" w:cs="Times New Roman"/>
          <w:sz w:val="24"/>
          <w:szCs w:val="24"/>
        </w:rPr>
        <w:instrText xml:space="preserve"> ADDIN ZOTERO_ITEM CSL_CITATION {"citationID":"F2DLOlDt","properties":{"formattedCitation":"(Faisal Koko {\\i{}et al.}, 2021)","plainCitation":"(Faisal Koko et al., 2021)","noteIndex":0},"citationItems":[{"id":80,"uris":["http://zotero.org/users/16803167/items/RL4N72FV"],"itemData":{"id":80,"type":"article-journal","container-title":"Geomatics, Natural Hazards and Risk","DOI":"10.1080/19475705.2021.1887940","ISSN":"1947-5705, 1947-5713","issue":"1","journalAbbreviation":"Geomatics, Natural Hazards and Risk","language":"en","page":"631-652","source":"DOI.org (Crossref)","title":"Analyzing urban growth and land cover change scenario in Lagos, Nigeria using multi-temporal remote sensing data and GIS to mitigate flooding","volume":"12","author":[{"family":"Faisal Koko","given":"Auwalu"},{"family":"Yue","given":"Wu"},{"family":"Abdullahi Abubakar","given":"Ghali"},{"family":"Hamed","given":"Roknisadeh"},{"family":"Noman Alabsi","given":"Akram Ahmed"}],"issued":{"date-parts":[["2021",1,1]]}}}],"schema":"https://github.com/citation-style-language/schema/raw/master/csl-citation.json"} </w:instrText>
      </w:r>
      <w:r w:rsidRPr="00571085">
        <w:rPr>
          <w:rFonts w:ascii="Times New Roman" w:eastAsia="Times New Roman" w:hAnsi="Times New Roman" w:cs="Times New Roman"/>
          <w:sz w:val="24"/>
          <w:szCs w:val="24"/>
        </w:rPr>
        <w:fldChar w:fldCharType="separate"/>
      </w:r>
      <w:r w:rsidRPr="00C95A56">
        <w:rPr>
          <w:rFonts w:ascii="Times New Roman" w:hAnsi="Times New Roman" w:cs="Times New Roman"/>
          <w:color w:val="87CEEB"/>
          <w:sz w:val="24"/>
          <w:szCs w:val="24"/>
          <w:u w:val="single"/>
        </w:rPr>
        <w:t xml:space="preserve">(Faisal Koko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w:t>
      </w:r>
      <w:r w:rsidRPr="00571085">
        <w:rPr>
          <w:rFonts w:ascii="Times New Roman" w:eastAsia="Times New Roman" w:hAnsi="Times New Roman" w:cs="Times New Roman"/>
          <w:sz w:val="24"/>
          <w:szCs w:val="24"/>
        </w:rPr>
        <w:fldChar w:fldCharType="end"/>
      </w:r>
      <w:r w:rsidRPr="00571085">
        <w:rPr>
          <w:rFonts w:ascii="Times New Roman" w:eastAsia="Times New Roman" w:hAnsi="Times New Roman" w:cs="Times New Roman"/>
          <w:sz w:val="24"/>
          <w:szCs w:val="24"/>
        </w:rPr>
        <w:t xml:space="preserve">. These methods were used to </w:t>
      </w:r>
      <w:r w:rsidRPr="00571085">
        <w:rPr>
          <w:rFonts w:ascii="Times New Roman" w:eastAsia="Times New Roman" w:hAnsi="Times New Roman" w:cs="Times New Roman"/>
          <w:sz w:val="24"/>
          <w:szCs w:val="24"/>
        </w:rPr>
        <w:lastRenderedPageBreak/>
        <w:t xml:space="preserve">analyze the city's urban expansion and the dynamics of land cover transformation over several decades.  </w:t>
      </w:r>
    </w:p>
    <w:p w14:paraId="029B37EE" w14:textId="77777777" w:rsidR="000A07E5" w:rsidRPr="00571085" w:rsidRDefault="000A07E5" w:rsidP="00AE5E64">
      <w:pPr>
        <w:spacing w:line="360" w:lineRule="auto"/>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t xml:space="preserve">The study identified three distinct phases of urban growth in Lagos and revealed a significant increase in the city's built-up area. In 1990, the built-up area covered approximately 496 km², which expanded to around 860 km² by the year 2000. The urban footprint continued to grow, reaching 1,113 km² in 2010 and surpassing 1,256 km² by 2021. This rapid expansion was accompanied by a marked decline in other land cover types, with vegetation cover decreasing by approximately 398 km², water bodies shrinking by around 246 km², and bare soil reducing by 115 km² between 1990 and 2020 </w:t>
      </w:r>
      <w:r w:rsidRPr="00571085">
        <w:rPr>
          <w:rFonts w:ascii="Times New Roman" w:eastAsia="Times New Roman" w:hAnsi="Times New Roman" w:cs="Times New Roman"/>
          <w:sz w:val="24"/>
          <w:szCs w:val="24"/>
        </w:rPr>
        <w:fldChar w:fldCharType="begin"/>
      </w:r>
      <w:r w:rsidRPr="00571085">
        <w:rPr>
          <w:rFonts w:ascii="Times New Roman" w:eastAsia="Times New Roman" w:hAnsi="Times New Roman" w:cs="Times New Roman"/>
          <w:sz w:val="24"/>
          <w:szCs w:val="24"/>
        </w:rPr>
        <w:instrText xml:space="preserve"> ADDIN ZOTERO_ITEM CSL_CITATION {"citationID":"cXVaJCFC","properties":{"formattedCitation":"(Faisal Koko {\\i{}et al.}, 2021)","plainCitation":"(Faisal Koko et al., 2021)","noteIndex":0},"citationItems":[{"id":80,"uris":["http://zotero.org/users/16803167/items/RL4N72FV"],"itemData":{"id":80,"type":"article-journal","container-title":"Geomatics, Natural Hazards and Risk","DOI":"10.1080/19475705.2021.1887940","ISSN":"1947-5705, 1947-5713","issue":"1","journalAbbreviation":"Geomatics, Natural Hazards and Risk","language":"en","page":"631-652","source":"DOI.org (Crossref)","title":"Analyzing urban growth and land cover change scenario in Lagos, Nigeria using multi-temporal remote sensing data and GIS to mitigate flooding","volume":"12","author":[{"family":"Faisal Koko","given":"Auwalu"},{"family":"Yue","given":"Wu"},{"family":"Abdullahi Abubakar","given":"Ghali"},{"family":"Hamed","given":"Roknisadeh"},{"family":"Noman Alabsi","given":"Akram Ahmed"}],"issued":{"date-parts":[["2021",1,1]]}}}],"schema":"https://github.com/citation-style-language/schema/raw/master/csl-citation.json"} </w:instrText>
      </w:r>
      <w:r w:rsidRPr="00571085">
        <w:rPr>
          <w:rFonts w:ascii="Times New Roman" w:eastAsia="Times New Roman" w:hAnsi="Times New Roman" w:cs="Times New Roman"/>
          <w:sz w:val="24"/>
          <w:szCs w:val="24"/>
        </w:rPr>
        <w:fldChar w:fldCharType="separate"/>
      </w:r>
      <w:r w:rsidRPr="00C95A56">
        <w:rPr>
          <w:rFonts w:ascii="Times New Roman" w:hAnsi="Times New Roman" w:cs="Times New Roman"/>
          <w:color w:val="87CEEB"/>
          <w:sz w:val="24"/>
          <w:szCs w:val="24"/>
          <w:u w:val="single"/>
        </w:rPr>
        <w:t xml:space="preserve">(Faisal Koko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w:t>
      </w:r>
      <w:r w:rsidRPr="00571085">
        <w:rPr>
          <w:rFonts w:ascii="Times New Roman" w:eastAsia="Times New Roman" w:hAnsi="Times New Roman" w:cs="Times New Roman"/>
          <w:sz w:val="24"/>
          <w:szCs w:val="24"/>
        </w:rPr>
        <w:fldChar w:fldCharType="end"/>
      </w:r>
      <w:r w:rsidRPr="00571085">
        <w:rPr>
          <w:rFonts w:ascii="Times New Roman" w:eastAsia="Times New Roman" w:hAnsi="Times New Roman" w:cs="Times New Roman"/>
          <w:sz w:val="24"/>
          <w:szCs w:val="24"/>
        </w:rPr>
        <w:t xml:space="preserve">.  </w:t>
      </w:r>
    </w:p>
    <w:p w14:paraId="17BD6527" w14:textId="77777777" w:rsidR="000A07E5" w:rsidRPr="00571085" w:rsidRDefault="000A07E5" w:rsidP="00AE5E64">
      <w:pPr>
        <w:spacing w:line="360" w:lineRule="auto"/>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t>The study highlighted the environmental consequences of these shifts, particularly the heightened risk of urban flooding. The loss of vegetation and water bodies, combined with the increase in impervious surfaces, has disrupted natural drainage systems, exacerbating both natural and human-induced flooding events . Given these findings, the researchers emphasized the need for sustainable urban planning and proactive flood mitigation strategies to address the growing challenges posed by Lagos’ rapid urbanization.</w:t>
      </w:r>
    </w:p>
    <w:p w14:paraId="57DE4BC8" w14:textId="77777777" w:rsidR="000A07E5" w:rsidRPr="00571085" w:rsidRDefault="000A07E5" w:rsidP="00AE5E64">
      <w:pPr>
        <w:spacing w:line="360" w:lineRule="auto"/>
        <w:jc w:val="both"/>
        <w:rPr>
          <w:rFonts w:ascii="Times New Roman" w:eastAsia="Times New Roman" w:hAnsi="Times New Roman" w:cs="Times New Roman"/>
          <w:sz w:val="24"/>
          <w:szCs w:val="24"/>
        </w:rPr>
      </w:pPr>
    </w:p>
    <w:p w14:paraId="060E147F" w14:textId="77777777" w:rsidR="000A07E5" w:rsidRPr="00571085" w:rsidRDefault="000A07E5" w:rsidP="00AE5E64">
      <w:pPr>
        <w:spacing w:line="360" w:lineRule="auto"/>
        <w:jc w:val="both"/>
        <w:rPr>
          <w:rFonts w:ascii="Times New Roman" w:eastAsia="Times New Roman" w:hAnsi="Times New Roman" w:cs="Times New Roman"/>
          <w:sz w:val="24"/>
          <w:szCs w:val="24"/>
        </w:rPr>
      </w:pPr>
    </w:p>
    <w:p w14:paraId="653501A2" w14:textId="77777777" w:rsidR="000A07E5" w:rsidRPr="00571085" w:rsidRDefault="000A07E5" w:rsidP="00AE5E64">
      <w:pPr>
        <w:spacing w:line="360" w:lineRule="auto"/>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t xml:space="preserve">Another study by Ouma et al., explored the application of a Random Forest Regression (RFR) model for predicting land use and land cover change (LULCC) in the Gaborone Dam catchment, Botswana, for the period 2019–2030 </w:t>
      </w:r>
      <w:r w:rsidRPr="00571085">
        <w:rPr>
          <w:rFonts w:ascii="Times New Roman" w:eastAsia="Times New Roman" w:hAnsi="Times New Roman" w:cs="Times New Roman"/>
          <w:sz w:val="24"/>
          <w:szCs w:val="24"/>
        </w:rPr>
        <w:fldChar w:fldCharType="begin"/>
      </w:r>
      <w:r w:rsidRPr="00571085">
        <w:rPr>
          <w:rFonts w:ascii="Times New Roman" w:eastAsia="Times New Roman" w:hAnsi="Times New Roman" w:cs="Times New Roman"/>
          <w:sz w:val="24"/>
          <w:szCs w:val="24"/>
        </w:rPr>
        <w:instrText xml:space="preserve"> ADDIN ZOTERO_ITEM CSL_CITATION {"citationID":"aXzKsDhd","properties":{"formattedCitation":"(Ouma {\\i{}et al.}, 2024)","plainCitation":"(Ouma et al., 2024)","noteIndex":0},"citationItems":[{"id":82,"uris":["http://zotero.org/users/16803167/items/KFF7TIZD"],"itemData":{"id":82,"type":"article-journal","abstract":"For sustainable water resource management within dam catchments, accurate knowledge of land-use and land-cover change (LULCC) and the relationships with dam water variability is necessary. To improve LULCC prediction, this study proposes the use of a random forest regression (RFR) model, in comparison with logistic regression–cellular automata (LR-CA) and artificial neural network–cellular automata (ANN-CA), for the prediction of LULCC (2019–2030) in the Gaborone dam catchment (Botswana). RFR is proposed as it is able to capture the existing and potential interactions between the LULC intensity and their nonlinear interactions with the change-driving factors. For LULCC forecasting, the driving factors comprised physiographic variables (elevation, slope and aspect) and proximity-neighborhood factors (distances to water bodies, roads and urban areas). In simulating the historical LULC (1986–2019) at 5-year time steps, RFR outperformed ANN-CA and LR-CA models with respective percentage accuracies of 84.9%, 62.1% and 60.7%. Using the RFR model, the predicted LULCCs were determined as vegetation (−8.9%), bare soil (+8.9%), built-up (+2.49%) and cropland (−2.8%), with water bodies exhibiting insignificant change. The correlation between land use (built-up areas) and water depicted an increasing population against decreasing dam water capacity. The study approach has the potential for deriving the catchment land–water nexus, which can aid in the formulation of sustainable catchment monitoring and development strategies.","container-title":"Sustainability","DOI":"10.3390/su16041699","ISSN":"2071-1050","issue":"4","language":"en","license":"http://creativecommons.org/licenses/by/3.0/","note":"number: 4\npublisher: Multidisciplinary Digital Publishing Institute","page":"1699","source":"www.mdpi.com","title":"Land-Use Change Prediction in Dam Catchment Using Logistic Regression-CA, ANN-CA and Random Forest Regression and Implications for Sustainable Land–Water Nexus","volume":"16","author":[{"family":"Ouma","given":"Yashon O."},{"family":"Nkwae","given":"Boipuso"},{"family":"Odirile","given":"Phillimon"},{"family":"Moalafhi","given":"Ditiro B."},{"family":"Anderson","given":"George"},{"family":"Parida","given":"Bhagabat"},{"family":"Qi","given":"Jiaguo"}],"issued":{"date-parts":[["2024",1]]}}}],"schema":"https://github.com/citation-style-language/schema/raw/master/csl-citation.json"} </w:instrText>
      </w:r>
      <w:r w:rsidRPr="00571085">
        <w:rPr>
          <w:rFonts w:ascii="Times New Roman" w:eastAsia="Times New Roman" w:hAnsi="Times New Roman" w:cs="Times New Roman"/>
          <w:sz w:val="24"/>
          <w:szCs w:val="24"/>
        </w:rPr>
        <w:fldChar w:fldCharType="separate"/>
      </w:r>
      <w:r w:rsidRPr="00C95A56">
        <w:rPr>
          <w:rFonts w:ascii="Times New Roman" w:hAnsi="Times New Roman" w:cs="Times New Roman"/>
          <w:color w:val="87CEEB"/>
          <w:sz w:val="24"/>
          <w:szCs w:val="24"/>
          <w:u w:val="single"/>
        </w:rPr>
        <w:t xml:space="preserve">(Ouma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2024)</w:t>
      </w:r>
      <w:r w:rsidRPr="00571085">
        <w:rPr>
          <w:rFonts w:ascii="Times New Roman" w:eastAsia="Times New Roman" w:hAnsi="Times New Roman" w:cs="Times New Roman"/>
          <w:sz w:val="24"/>
          <w:szCs w:val="24"/>
        </w:rPr>
        <w:fldChar w:fldCharType="end"/>
      </w:r>
      <w:r w:rsidRPr="00571085">
        <w:rPr>
          <w:rFonts w:ascii="Times New Roman" w:eastAsia="Times New Roman" w:hAnsi="Times New Roman" w:cs="Times New Roman"/>
          <w:sz w:val="24"/>
          <w:szCs w:val="24"/>
        </w:rPr>
        <w:t xml:space="preserve">. The study compared the performance of RFR with two other modeling approaches: logistic regression–cellular automata (LR-CA) and artificial neural network–cellular automata (ANN-CA). The researchers proposed RFR as the preferred model due to its ability to capture complex interactions between land use intensity and the nonlinear relationships between various change-driving factors.  </w:t>
      </w:r>
    </w:p>
    <w:p w14:paraId="3D8C9837" w14:textId="77777777" w:rsidR="000A07E5" w:rsidRPr="00571085" w:rsidRDefault="000A07E5" w:rsidP="00AE5E64">
      <w:pPr>
        <w:spacing w:line="360" w:lineRule="auto"/>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t xml:space="preserve">To forecast LULCC, the study incorporated a range of influencing variables categorized into physiographic factors, such as elevation, slope, and aspect, and proximity-neighborhood factors, which included distances to water bodies, roads, and urban areas. The historical LULC patterns from 1986 to 2019 were simulated at five-year intervals to assess the performance of each model. The results demonstrated that RFR significantly outperformed ANN-CA and LR-CA, achieving an accuracy of 84.9%, compared to 62.1% and 60.7%, respectively </w:t>
      </w:r>
      <w:r w:rsidRPr="00571085">
        <w:rPr>
          <w:rFonts w:ascii="Times New Roman" w:eastAsia="Times New Roman" w:hAnsi="Times New Roman" w:cs="Times New Roman"/>
          <w:sz w:val="24"/>
          <w:szCs w:val="24"/>
        </w:rPr>
        <w:fldChar w:fldCharType="begin"/>
      </w:r>
      <w:r w:rsidRPr="00571085">
        <w:rPr>
          <w:rFonts w:ascii="Times New Roman" w:eastAsia="Times New Roman" w:hAnsi="Times New Roman" w:cs="Times New Roman"/>
          <w:sz w:val="24"/>
          <w:szCs w:val="24"/>
        </w:rPr>
        <w:instrText xml:space="preserve"> ADDIN ZOTERO_ITEM CSL_CITATION {"citationID":"ZDRVkUmg","properties":{"formattedCitation":"(Ouma {\\i{}et al.}, 2024)","plainCitation":"(Ouma et al., 2024)","noteIndex":0},"citationItems":[{"id":82,"uris":["http://zotero.org/users/16803167/items/KFF7TIZD"],"itemData":{"id":82,"type":"article-journal","abstract":"For sustainable water resource management within dam catchments, accurate knowledge of land-use and land-cover change (LULCC) and the relationships with dam water variability is necessary. To improve LULCC prediction, this study proposes the use of a random forest regression (RFR) model, in comparison with logistic regression–cellular automata (LR-CA) and artificial neural network–cellular automata (ANN-CA), for the prediction of LULCC (2019–2030) in the Gaborone dam catchment (Botswana). RFR is proposed as it is able to capture the existing and potential interactions between the LULC intensity and their nonlinear interactions with the change-driving factors. For LULCC forecasting, the driving factors comprised physiographic variables (elevation, slope and aspect) and proximity-neighborhood factors (distances to water bodies, roads and urban areas). In simulating the historical LULC (1986–2019) at 5-year time steps, RFR outperformed ANN-CA and LR-CA models with respective percentage accuracies of 84.9%, 62.1% and 60.7%. Using the RFR model, the predicted LULCCs were determined as vegetation (−8.9%), bare soil (+8.9%), built-up (+2.49%) and cropland (−2.8%), with water bodies exhibiting insignificant change. The correlation between land use (built-up areas) and water depicted an increasing population against decreasing dam water capacity. The study approach has the potential for deriving the catchment land–water nexus, which can aid in the formulation of sustainable catchment monitoring and development strategies.","container-title":"Sustainability","DOI":"10.3390/su16041699","ISSN":"2071-1050","issue":"4","language":"en","license":"http://creativecommons.org/licenses/by/3.0/","note":"number: 4\npublisher: Multidisciplinary Digital Publishing Institute","page":"1699","source":"www.mdpi.com","title":"Land-Use Change Prediction in Dam Catchment Using Logistic Regression-CA, ANN-CA and Random Forest Regression and Implications for Sustainable Land–Water Nexus","volume":"16","author":[{"family":"Ouma","given":"Yashon O."},{"family":"Nkwae","given":"Boipuso"},{"family":"Odirile","given":"Phillimon"},{"family":"Moalafhi","given":"Ditiro B."},{"family":"Anderson","given":"George"},{"family":"Parida","given":"Bhagabat"},{"family":"Qi","given":"Jiaguo"}],"issued":{"date-parts":[["2024",1]]}}}],"schema":"https://github.com/citation-style-language/schema/raw/master/csl-citation.json"} </w:instrText>
      </w:r>
      <w:r w:rsidRPr="00571085">
        <w:rPr>
          <w:rFonts w:ascii="Times New Roman" w:eastAsia="Times New Roman" w:hAnsi="Times New Roman" w:cs="Times New Roman"/>
          <w:sz w:val="24"/>
          <w:szCs w:val="24"/>
        </w:rPr>
        <w:fldChar w:fldCharType="separate"/>
      </w:r>
      <w:r w:rsidRPr="00C95A56">
        <w:rPr>
          <w:rFonts w:ascii="Times New Roman" w:hAnsi="Times New Roman" w:cs="Times New Roman"/>
          <w:color w:val="87CEEB"/>
          <w:sz w:val="24"/>
          <w:szCs w:val="24"/>
          <w:u w:val="single"/>
        </w:rPr>
        <w:t xml:space="preserve">(Ouma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2024)</w:t>
      </w:r>
      <w:r w:rsidRPr="00571085">
        <w:rPr>
          <w:rFonts w:ascii="Times New Roman" w:eastAsia="Times New Roman" w:hAnsi="Times New Roman" w:cs="Times New Roman"/>
          <w:sz w:val="24"/>
          <w:szCs w:val="24"/>
        </w:rPr>
        <w:fldChar w:fldCharType="end"/>
      </w:r>
      <w:r w:rsidRPr="00571085">
        <w:rPr>
          <w:rFonts w:ascii="Times New Roman" w:eastAsia="Times New Roman" w:hAnsi="Times New Roman" w:cs="Times New Roman"/>
          <w:sz w:val="24"/>
          <w:szCs w:val="24"/>
        </w:rPr>
        <w:t xml:space="preserve">.  </w:t>
      </w:r>
    </w:p>
    <w:p w14:paraId="55B85331" w14:textId="77777777" w:rsidR="000A07E5" w:rsidRPr="00571085" w:rsidRDefault="000A07E5" w:rsidP="00AE5E64">
      <w:pPr>
        <w:spacing w:line="360" w:lineRule="auto"/>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lastRenderedPageBreak/>
        <w:t xml:space="preserve">Using the RFR model, the study projected notable changes in land cover between 2019 and 2030. The analysis indicated a decline in vegetation cover by 8.9%, while bare soil increased by the same margin. Built-up areas expanded by 2.49%, whereas cropland shrank by 2.8%. Water bodies exhibited minimal change; however, the study found a strong correlation between urban expansion and diminishing dam water capacity. This suggests that increasing population density and urbanization may exert further pressure on water resources.  </w:t>
      </w:r>
    </w:p>
    <w:p w14:paraId="1B5C5725" w14:textId="77777777" w:rsidR="000A07E5" w:rsidRPr="00571085" w:rsidRDefault="000A07E5" w:rsidP="00AE5E64">
      <w:pPr>
        <w:spacing w:line="360" w:lineRule="auto"/>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t>The study’s methodology underscores the potential of machine learning models like RFR in understanding the land–water nexus within catchment areas. These insights can be instrumental in formulating effective policies for sustainable catchment management, urban planning, and water resource conservation in regions experiencing rapid environmental and demographic changes.</w:t>
      </w:r>
    </w:p>
    <w:p w14:paraId="53C7D3B4" w14:textId="2FD4A90C" w:rsidR="00BE3DCB" w:rsidRPr="00571085" w:rsidRDefault="00BE3DCB" w:rsidP="00AE5E64">
      <w:pPr>
        <w:widowControl w:val="0"/>
        <w:pBdr>
          <w:top w:val="nil"/>
          <w:left w:val="nil"/>
          <w:bottom w:val="nil"/>
          <w:right w:val="nil"/>
          <w:between w:val="nil"/>
        </w:pBdr>
        <w:spacing w:before="29" w:line="360" w:lineRule="auto"/>
        <w:jc w:val="both"/>
        <w:rPr>
          <w:rFonts w:ascii="Times New Roman" w:eastAsia="Times New Roman" w:hAnsi="Times New Roman" w:cs="Times New Roman"/>
          <w:b/>
          <w:sz w:val="24"/>
          <w:szCs w:val="24"/>
        </w:rPr>
      </w:pPr>
    </w:p>
    <w:p w14:paraId="34119175" w14:textId="77777777" w:rsidR="00BE3DCB" w:rsidRPr="00571085" w:rsidRDefault="00BE3DCB" w:rsidP="00AE5E64">
      <w:pPr>
        <w:widowControl w:val="0"/>
        <w:pBdr>
          <w:top w:val="nil"/>
          <w:left w:val="nil"/>
          <w:bottom w:val="nil"/>
          <w:right w:val="nil"/>
          <w:between w:val="nil"/>
        </w:pBdr>
        <w:spacing w:before="29" w:line="360" w:lineRule="auto"/>
        <w:ind w:left="11"/>
        <w:jc w:val="both"/>
        <w:rPr>
          <w:rFonts w:ascii="Times New Roman" w:eastAsia="Times New Roman" w:hAnsi="Times New Roman" w:cs="Times New Roman"/>
          <w:b/>
          <w:sz w:val="24"/>
          <w:szCs w:val="24"/>
        </w:rPr>
      </w:pPr>
    </w:p>
    <w:p w14:paraId="454903D2" w14:textId="77777777" w:rsidR="00AE5E64" w:rsidRPr="00571085" w:rsidRDefault="00AE5E64" w:rsidP="00AE5E64">
      <w:pPr>
        <w:spacing w:line="360" w:lineRule="auto"/>
        <w:jc w:val="both"/>
        <w:rPr>
          <w:rFonts w:ascii="Times New Roman" w:eastAsia="Times New Roman" w:hAnsi="Times New Roman" w:cs="Times New Roman"/>
          <w:b/>
          <w:sz w:val="24"/>
          <w:szCs w:val="24"/>
        </w:rPr>
      </w:pPr>
      <w:bookmarkStart w:id="21" w:name="_cwltr3iojqaq" w:colFirst="0" w:colLast="0"/>
      <w:bookmarkStart w:id="22" w:name="_gk5rp9a3x1kk" w:colFirst="0" w:colLast="0"/>
      <w:bookmarkEnd w:id="21"/>
      <w:bookmarkEnd w:id="22"/>
      <w:r w:rsidRPr="00571085">
        <w:rPr>
          <w:rFonts w:ascii="Times New Roman" w:eastAsia="Times New Roman" w:hAnsi="Times New Roman" w:cs="Times New Roman"/>
          <w:b/>
          <w:sz w:val="24"/>
          <w:szCs w:val="24"/>
        </w:rPr>
        <w:t>Novelty of the Study</w:t>
      </w:r>
    </w:p>
    <w:p w14:paraId="7CDF57E8" w14:textId="2DE87B3A" w:rsidR="00AE5E64" w:rsidRPr="00571085" w:rsidRDefault="00AE5E64" w:rsidP="00AE5E64">
      <w:pPr>
        <w:spacing w:line="360" w:lineRule="auto"/>
        <w:jc w:val="both"/>
        <w:rPr>
          <w:rFonts w:ascii="Times New Roman" w:eastAsia="Times New Roman" w:hAnsi="Times New Roman" w:cs="Times New Roman"/>
          <w:bCs/>
          <w:sz w:val="24"/>
          <w:szCs w:val="24"/>
        </w:rPr>
      </w:pPr>
      <w:r w:rsidRPr="00571085">
        <w:rPr>
          <w:rFonts w:ascii="Times New Roman" w:eastAsia="Times New Roman" w:hAnsi="Times New Roman" w:cs="Times New Roman"/>
          <w:bCs/>
          <w:sz w:val="24"/>
          <w:szCs w:val="24"/>
        </w:rPr>
        <w:t>This study introduces a novel approach to predicting urban growth in Juba, South Sudan, by integrating advanced machine learning techniques with geospatial technologies. It aims to address the unique challenges of rapid urbanization in a developing, post-conflict urban center. While urban growth prediction models such as Random Forest (RF), Cellular Automata (CA), and Markov Chains have been widely used globally, their application in Juba—a city undergoing rapid, often unplanned expansion due to population growth, civil unrest, and economic pressures—offers a distinct contribution to the field.</w:t>
      </w:r>
    </w:p>
    <w:p w14:paraId="6B025FF6" w14:textId="4E65AE9C" w:rsidR="00AE5E64" w:rsidRPr="00571085" w:rsidRDefault="00AE5E64" w:rsidP="00AE5E64">
      <w:pPr>
        <w:spacing w:line="360" w:lineRule="auto"/>
        <w:jc w:val="both"/>
        <w:rPr>
          <w:rFonts w:ascii="Times New Roman" w:eastAsia="Times New Roman" w:hAnsi="Times New Roman" w:cs="Times New Roman"/>
          <w:bCs/>
          <w:sz w:val="24"/>
          <w:szCs w:val="24"/>
        </w:rPr>
      </w:pPr>
      <w:r w:rsidRPr="00571085">
        <w:rPr>
          <w:rFonts w:ascii="Times New Roman" w:eastAsia="Times New Roman" w:hAnsi="Times New Roman" w:cs="Times New Roman"/>
          <w:bCs/>
          <w:sz w:val="24"/>
          <w:szCs w:val="24"/>
        </w:rPr>
        <w:t>The novelty of this research lies in its context-specific application in Juba, a city where consistent geospatial data is scarce due to prolonged political instability and conflict. By leveraging historical Landsat 5 and 7 data from 1994 to 2023, this study pioneers a data-driven approach in a region where urban growth analyses have been limited. This work fills a critical gap in urban planning knowledge for South Sudan, offering a unique perspective on urban growth in a resource-constrained setting.</w:t>
      </w:r>
    </w:p>
    <w:p w14:paraId="0916327A" w14:textId="511FDCC7" w:rsidR="00AE5E64" w:rsidRPr="00571085" w:rsidRDefault="00AE5E64" w:rsidP="00AE5E64">
      <w:pPr>
        <w:spacing w:line="360" w:lineRule="auto"/>
        <w:jc w:val="both"/>
        <w:rPr>
          <w:rFonts w:ascii="Times New Roman" w:eastAsia="Times New Roman" w:hAnsi="Times New Roman" w:cs="Times New Roman"/>
          <w:bCs/>
          <w:sz w:val="24"/>
          <w:szCs w:val="24"/>
        </w:rPr>
      </w:pPr>
      <w:r w:rsidRPr="00571085">
        <w:rPr>
          <w:rFonts w:ascii="Times New Roman" w:eastAsia="Times New Roman" w:hAnsi="Times New Roman" w:cs="Times New Roman"/>
          <w:bCs/>
          <w:sz w:val="24"/>
          <w:szCs w:val="24"/>
        </w:rPr>
        <w:t xml:space="preserve">This research also integrates Random Forest with advanced geospatial pre-processing techniques, such as cloud masking and ground control points (GCPs), using Google Earth Engine (GEE) and Quantum GIS. These methods ensure robust data quality despite challenges such as cloud cover and limited ground-truthing in Juba, setting a new standard for predictive modeling in data-scarce environments. Additionally, the study uses a 29-year historical dataset (1994–2023) to train the </w:t>
      </w:r>
      <w:r w:rsidRPr="00571085">
        <w:rPr>
          <w:rFonts w:ascii="Times New Roman" w:eastAsia="Times New Roman" w:hAnsi="Times New Roman" w:cs="Times New Roman"/>
          <w:bCs/>
          <w:sz w:val="24"/>
          <w:szCs w:val="24"/>
        </w:rPr>
        <w:lastRenderedPageBreak/>
        <w:t>Random Forest model, segmented into decadal patterns, and provides a decade-long future prediction (2024–2033), offering urban planners a detailed temporal framework to anticipate and manage growth.</w:t>
      </w:r>
    </w:p>
    <w:p w14:paraId="6230F2D7" w14:textId="76590B9F" w:rsidR="00AE5E64" w:rsidRPr="00571085" w:rsidRDefault="00AE5E64" w:rsidP="00AE5E64">
      <w:pPr>
        <w:spacing w:line="360" w:lineRule="auto"/>
        <w:jc w:val="both"/>
        <w:rPr>
          <w:rFonts w:ascii="Times New Roman" w:eastAsia="Times New Roman" w:hAnsi="Times New Roman" w:cs="Times New Roman"/>
          <w:bCs/>
          <w:sz w:val="24"/>
          <w:szCs w:val="24"/>
        </w:rPr>
      </w:pPr>
      <w:r w:rsidRPr="00571085">
        <w:rPr>
          <w:rFonts w:ascii="Times New Roman" w:eastAsia="Times New Roman" w:hAnsi="Times New Roman" w:cs="Times New Roman"/>
          <w:bCs/>
          <w:sz w:val="24"/>
          <w:szCs w:val="24"/>
        </w:rPr>
        <w:t>Another key aspect of this study is its focus on sustainability and resilience. Beyond prediction, the study aims to inform integrated urban planning strategies by forecasting land-use changes and urban sprawl with high accuracy. This directly addresses Juba’s dual challenges of economic opportunity and sustainability issues, such as infrastructure strain, environmental degradation, and displacement. The study provides actionable insights that align with global sustainability goals while being locally relevant.</w:t>
      </w:r>
    </w:p>
    <w:p w14:paraId="30B448A5" w14:textId="0AE10A69" w:rsidR="00DF7CB2" w:rsidRPr="00571085" w:rsidRDefault="00AE5E64" w:rsidP="00AE5E64">
      <w:pPr>
        <w:spacing w:line="360" w:lineRule="auto"/>
        <w:jc w:val="both"/>
        <w:rPr>
          <w:rFonts w:ascii="Times New Roman" w:hAnsi="Times New Roman" w:cs="Times New Roman"/>
        </w:rPr>
      </w:pPr>
      <w:r w:rsidRPr="00571085">
        <w:rPr>
          <w:rFonts w:ascii="Times New Roman" w:eastAsia="Times New Roman" w:hAnsi="Times New Roman" w:cs="Times New Roman"/>
          <w:bCs/>
          <w:sz w:val="24"/>
          <w:szCs w:val="24"/>
        </w:rPr>
        <w:t>Finally, the development of a Random Forest-based predictive model as a decision-support system is particularly innovative for Juba. Unlike studies that focus solely on model accuracy, this research evaluates performance using a confusion matrix and translates predictions into practical tools for policymakers. This approach enhances infrastructure development, disaster preparedness, and environmental risk mitigation, offering a proactive approach to urban planning in a rapidly transforming city.</w:t>
      </w:r>
      <w:r w:rsidRPr="00571085">
        <w:rPr>
          <w:rFonts w:ascii="Times New Roman" w:eastAsia="Times New Roman" w:hAnsi="Times New Roman" w:cs="Times New Roman"/>
          <w:bCs/>
          <w:sz w:val="24"/>
          <w:szCs w:val="24"/>
        </w:rPr>
        <w:cr/>
      </w:r>
      <w:r w:rsidR="00DF7CB2" w:rsidRPr="00571085">
        <w:rPr>
          <w:rFonts w:ascii="Times New Roman" w:hAnsi="Times New Roman" w:cs="Times New Roman"/>
        </w:rPr>
        <w:br w:type="page"/>
      </w:r>
    </w:p>
    <w:p w14:paraId="1E6BA242" w14:textId="723685B4" w:rsidR="00BE3DCB" w:rsidRPr="00C95A56" w:rsidRDefault="00000000" w:rsidP="00C95A56">
      <w:pPr>
        <w:widowControl w:val="0"/>
        <w:pBdr>
          <w:top w:val="nil"/>
          <w:left w:val="nil"/>
          <w:bottom w:val="nil"/>
          <w:right w:val="nil"/>
          <w:between w:val="nil"/>
        </w:pBdr>
        <w:spacing w:before="443" w:line="360" w:lineRule="auto"/>
        <w:jc w:val="both"/>
        <w:rPr>
          <w:rFonts w:ascii="Times New Roman" w:eastAsia="Times New Roman" w:hAnsi="Times New Roman" w:cs="Times New Roman"/>
          <w:b/>
          <w:sz w:val="24"/>
          <w:szCs w:val="24"/>
        </w:rPr>
      </w:pPr>
      <w:r w:rsidRPr="00C95A56">
        <w:rPr>
          <w:rFonts w:ascii="Times New Roman" w:eastAsia="Times New Roman" w:hAnsi="Times New Roman" w:cs="Times New Roman"/>
          <w:sz w:val="24"/>
          <w:szCs w:val="24"/>
        </w:rPr>
        <w:lastRenderedPageBreak/>
        <w:t xml:space="preserve">Chapter 3: Materials and Methods </w:t>
      </w:r>
    </w:p>
    <w:p w14:paraId="223C8220" w14:textId="77777777" w:rsidR="00BE3DCB" w:rsidRPr="00C95A56" w:rsidRDefault="00000000" w:rsidP="00C95A56">
      <w:pPr>
        <w:pStyle w:val="Heading3"/>
        <w:widowControl w:val="0"/>
        <w:spacing w:before="133" w:line="360" w:lineRule="auto"/>
        <w:ind w:left="7"/>
        <w:jc w:val="both"/>
      </w:pPr>
      <w:bookmarkStart w:id="23" w:name="_xntt7ef9y1wi" w:colFirst="0" w:colLast="0"/>
      <w:bookmarkEnd w:id="23"/>
      <w:r w:rsidRPr="00C95A56">
        <w:t xml:space="preserve">3.1 Overview </w:t>
      </w:r>
    </w:p>
    <w:p w14:paraId="74381976" w14:textId="2DB7E106" w:rsidR="00D756A6" w:rsidRPr="00C95A56" w:rsidRDefault="00D756A6" w:rsidP="00C95A56">
      <w:pPr>
        <w:pStyle w:val="Heading3"/>
        <w:widowControl w:val="0"/>
        <w:spacing w:before="28" w:line="360" w:lineRule="auto"/>
        <w:ind w:left="3"/>
        <w:jc w:val="both"/>
        <w:rPr>
          <w:b w:val="0"/>
        </w:rPr>
      </w:pPr>
      <w:bookmarkStart w:id="24" w:name="_blefmyw9zicr" w:colFirst="0" w:colLast="0"/>
      <w:bookmarkEnd w:id="24"/>
      <w:r w:rsidRPr="00C95A56">
        <w:rPr>
          <w:b w:val="0"/>
        </w:rPr>
        <w:t>This study utilizes a machine learning framework to predict urban growth and land cover dynamics in Juba, South Sudan, for the period 2024 to 2033. By leveraging historical satellite imagery from 1994 to 2023, the study applies advanced geospatial analysis techniques to assess past trends and forecast future urban expansion. The methodology integrates satellite data processing, machine learning classification, and predictive modeling to generate insights into land-use changes.</w:t>
      </w:r>
    </w:p>
    <w:p w14:paraId="50FE02E9" w14:textId="02407767" w:rsidR="00D756A6" w:rsidRPr="00C95A56" w:rsidRDefault="00D756A6" w:rsidP="00C95A56">
      <w:pPr>
        <w:pStyle w:val="Heading3"/>
        <w:widowControl w:val="0"/>
        <w:spacing w:before="28" w:line="360" w:lineRule="auto"/>
        <w:ind w:left="3"/>
        <w:jc w:val="both"/>
        <w:rPr>
          <w:b w:val="0"/>
        </w:rPr>
      </w:pPr>
      <w:r w:rsidRPr="00C95A56">
        <w:rPr>
          <w:b w:val="0"/>
        </w:rPr>
        <w:t>Using Google Earth Engine (GEE) as the primary processing platform, the study employs the Random Forest (RF) algorithm to classify land cover into four categories: Urban, Bare Land, Water, and Vegetation. Historical classifications are generated for three distinct time periods (1994–2003, 2004–2013, and 2014–2023), providing a basis for long-term trend analysis. These classifications inform predictive modeling, which projects future land cover changes based on observed patterns.</w:t>
      </w:r>
    </w:p>
    <w:p w14:paraId="47DD6101" w14:textId="77777777" w:rsidR="00D756A6" w:rsidRPr="00C95A56" w:rsidRDefault="00D756A6" w:rsidP="00C95A56">
      <w:pPr>
        <w:pStyle w:val="Heading3"/>
        <w:widowControl w:val="0"/>
        <w:spacing w:before="28" w:line="360" w:lineRule="auto"/>
        <w:ind w:left="3"/>
        <w:jc w:val="both"/>
        <w:rPr>
          <w:b w:val="0"/>
        </w:rPr>
      </w:pPr>
      <w:r w:rsidRPr="00C95A56">
        <w:rPr>
          <w:b w:val="0"/>
        </w:rPr>
        <w:t>The study also incorporates spatial analysis and visualization tools, such as Quantum GIS (QGIS), to interpret and present the results. By employing statistical evaluations and validation techniques, the methodology ensures accuracy and reliability in predicting urban expansion. The approach not only enhances understanding of Juba’s urbanization dynamics but also serves as a decision-support tool for sustainable urban planning in South Sudan.</w:t>
      </w:r>
    </w:p>
    <w:p w14:paraId="277E8950" w14:textId="77777777" w:rsidR="00571085" w:rsidRPr="00C95A56" w:rsidRDefault="00571085" w:rsidP="00C95A56">
      <w:pPr>
        <w:spacing w:line="360" w:lineRule="auto"/>
        <w:jc w:val="both"/>
        <w:rPr>
          <w:rFonts w:ascii="Times New Roman" w:hAnsi="Times New Roman" w:cs="Times New Roman"/>
          <w:sz w:val="24"/>
          <w:szCs w:val="24"/>
        </w:rPr>
      </w:pPr>
    </w:p>
    <w:p w14:paraId="30F3E338" w14:textId="77777777" w:rsidR="00571085" w:rsidRPr="00C95A56" w:rsidRDefault="00571085" w:rsidP="00C95A56">
      <w:pPr>
        <w:widowControl w:val="0"/>
        <w:pBdr>
          <w:top w:val="nil"/>
          <w:left w:val="nil"/>
          <w:bottom w:val="nil"/>
          <w:right w:val="nil"/>
          <w:between w:val="nil"/>
        </w:pBdr>
        <w:spacing w:before="29" w:line="360" w:lineRule="auto"/>
        <w:ind w:right="731"/>
        <w:jc w:val="both"/>
        <w:rPr>
          <w:rFonts w:ascii="Times New Roman" w:eastAsia="Times New Roman" w:hAnsi="Times New Roman" w:cs="Times New Roman"/>
          <w:sz w:val="24"/>
          <w:szCs w:val="24"/>
        </w:rPr>
      </w:pPr>
      <w:r w:rsidRPr="00C95A56">
        <w:rPr>
          <w:rFonts w:ascii="Times New Roman" w:eastAsia="Times New Roman" w:hAnsi="Times New Roman" w:cs="Times New Roman"/>
          <w:noProof/>
          <w:sz w:val="24"/>
          <w:szCs w:val="24"/>
        </w:rPr>
        <w:lastRenderedPageBreak/>
        <w:drawing>
          <wp:inline distT="114300" distB="114300" distL="114300" distR="114300" wp14:anchorId="74B49680" wp14:editId="1B0C08F3">
            <wp:extent cx="5982702" cy="4483100"/>
            <wp:effectExtent l="25400" t="25400" r="25400" b="25400"/>
            <wp:docPr id="1" name="image2.png" descr="A diagram of a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2.png" descr="A diagram of a process&#10;&#10;AI-generated content may be incorrect."/>
                    <pic:cNvPicPr preferRelativeResize="0"/>
                  </pic:nvPicPr>
                  <pic:blipFill>
                    <a:blip r:embed="rId12"/>
                    <a:srcRect/>
                    <a:stretch>
                      <a:fillRect/>
                    </a:stretch>
                  </pic:blipFill>
                  <pic:spPr>
                    <a:xfrm>
                      <a:off x="0" y="0"/>
                      <a:ext cx="5982702" cy="4483100"/>
                    </a:xfrm>
                    <a:prstGeom prst="rect">
                      <a:avLst/>
                    </a:prstGeom>
                    <a:ln w="25400">
                      <a:solidFill>
                        <a:srgbClr val="000000"/>
                      </a:solidFill>
                      <a:prstDash val="solid"/>
                    </a:ln>
                  </pic:spPr>
                </pic:pic>
              </a:graphicData>
            </a:graphic>
          </wp:inline>
        </w:drawing>
      </w:r>
    </w:p>
    <w:p w14:paraId="16BDA247" w14:textId="6089422B" w:rsidR="00D756A6" w:rsidRPr="00C95A56" w:rsidRDefault="00571085" w:rsidP="00C95A56">
      <w:pPr>
        <w:widowControl w:val="0"/>
        <w:pBdr>
          <w:top w:val="nil"/>
          <w:left w:val="nil"/>
          <w:bottom w:val="nil"/>
          <w:right w:val="nil"/>
          <w:between w:val="nil"/>
        </w:pBdr>
        <w:spacing w:before="29" w:line="360" w:lineRule="auto"/>
        <w:ind w:right="731"/>
        <w:jc w:val="both"/>
        <w:rPr>
          <w:rFonts w:ascii="Times New Roman" w:hAnsi="Times New Roman" w:cs="Times New Roman"/>
          <w:sz w:val="24"/>
          <w:szCs w:val="24"/>
        </w:rPr>
      </w:pPr>
      <w:r w:rsidRPr="00C95A56">
        <w:rPr>
          <w:rFonts w:ascii="Times New Roman" w:eastAsia="Times New Roman" w:hAnsi="Times New Roman" w:cs="Times New Roman"/>
          <w:b/>
          <w:sz w:val="24"/>
          <w:szCs w:val="24"/>
        </w:rPr>
        <w:t xml:space="preserve">Fig. 1 A flow chart of </w:t>
      </w:r>
      <w:proofErr w:type="gramStart"/>
      <w:r w:rsidRPr="00C95A56">
        <w:rPr>
          <w:rFonts w:ascii="Times New Roman" w:eastAsia="Times New Roman" w:hAnsi="Times New Roman" w:cs="Times New Roman"/>
          <w:b/>
          <w:sz w:val="24"/>
          <w:szCs w:val="24"/>
        </w:rPr>
        <w:t>the methodology</w:t>
      </w:r>
      <w:proofErr w:type="gramEnd"/>
      <w:r w:rsidRPr="00C95A56">
        <w:rPr>
          <w:rFonts w:ascii="Times New Roman" w:eastAsia="Times New Roman" w:hAnsi="Times New Roman" w:cs="Times New Roman"/>
          <w:b/>
          <w:sz w:val="24"/>
          <w:szCs w:val="24"/>
        </w:rPr>
        <w:t>.</w:t>
      </w:r>
    </w:p>
    <w:p w14:paraId="2208809B" w14:textId="77777777" w:rsidR="00D756A6" w:rsidRPr="00C95A56" w:rsidRDefault="00D756A6" w:rsidP="00C95A56">
      <w:pPr>
        <w:spacing w:line="360" w:lineRule="auto"/>
        <w:jc w:val="both"/>
        <w:rPr>
          <w:rFonts w:ascii="Times New Roman" w:hAnsi="Times New Roman" w:cs="Times New Roman"/>
          <w:sz w:val="24"/>
          <w:szCs w:val="24"/>
        </w:rPr>
      </w:pPr>
    </w:p>
    <w:p w14:paraId="5928F925" w14:textId="77777777" w:rsidR="00D756A6" w:rsidRPr="00C95A56" w:rsidRDefault="00D756A6" w:rsidP="00C95A56">
      <w:pPr>
        <w:spacing w:line="360" w:lineRule="auto"/>
        <w:jc w:val="both"/>
        <w:rPr>
          <w:rFonts w:ascii="Times New Roman" w:hAnsi="Times New Roman" w:cs="Times New Roman"/>
          <w:b/>
          <w:bCs/>
          <w:sz w:val="24"/>
          <w:szCs w:val="24"/>
        </w:rPr>
      </w:pPr>
      <w:r w:rsidRPr="00C95A56">
        <w:rPr>
          <w:rFonts w:ascii="Times New Roman" w:hAnsi="Times New Roman" w:cs="Times New Roman"/>
          <w:b/>
          <w:bCs/>
          <w:sz w:val="24"/>
          <w:szCs w:val="24"/>
        </w:rPr>
        <w:t>Data Acquisition and Preprocessing Overview</w:t>
      </w:r>
    </w:p>
    <w:p w14:paraId="579CFECB" w14:textId="1EAC9411" w:rsidR="00D756A6" w:rsidRPr="00C95A56" w:rsidRDefault="00D756A6"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This study relies on satellite imagery and ground truth points to develop a robust dataset for urban growth prediction in Juba, South Sudan</w:t>
      </w:r>
      <w:r w:rsidRPr="00C95A56">
        <w:rPr>
          <w:rFonts w:ascii="Times New Roman" w:hAnsi="Times New Roman" w:cs="Times New Roman"/>
          <w:sz w:val="24"/>
          <w:szCs w:val="24"/>
        </w:rPr>
        <w:t xml:space="preserve">. </w:t>
      </w:r>
      <w:r w:rsidRPr="00C95A56">
        <w:rPr>
          <w:rFonts w:ascii="Times New Roman" w:hAnsi="Times New Roman" w:cs="Times New Roman"/>
          <w:sz w:val="24"/>
          <w:szCs w:val="24"/>
        </w:rPr>
        <w:t xml:space="preserve">For 1994-2003, Landsat 5 Collection 2, Tier 1, Level 2 surface reflectance (SR_B1 to SR_B7) and thermal data (ST_B6) are used, while Landsat 7 data of the same tier and level cover 2004-2013 and 2014-2023. Ground Control Points (GCPs) are </w:t>
      </w:r>
      <w:r w:rsidRPr="00C95A56">
        <w:rPr>
          <w:rFonts w:ascii="Times New Roman" w:hAnsi="Times New Roman" w:cs="Times New Roman"/>
          <w:sz w:val="24"/>
          <w:szCs w:val="24"/>
        </w:rPr>
        <w:t>provided as feature-collections with a landcover property from 0-3 for each class, which define</w:t>
      </w:r>
      <w:r w:rsidRPr="00C95A56">
        <w:rPr>
          <w:rFonts w:ascii="Times New Roman" w:hAnsi="Times New Roman" w:cs="Times New Roman"/>
          <w:sz w:val="24"/>
          <w:szCs w:val="24"/>
        </w:rPr>
        <w:t xml:space="preserve"> training signatures. The region of interest (ROI) is specified </w:t>
      </w:r>
      <w:r w:rsidRPr="00C95A56">
        <w:rPr>
          <w:rFonts w:ascii="Times New Roman" w:hAnsi="Times New Roman" w:cs="Times New Roman"/>
          <w:sz w:val="24"/>
          <w:szCs w:val="24"/>
        </w:rPr>
        <w:t>as a</w:t>
      </w:r>
      <w:r w:rsidRPr="00C95A56">
        <w:rPr>
          <w:rFonts w:ascii="Times New Roman" w:hAnsi="Times New Roman" w:cs="Times New Roman"/>
          <w:sz w:val="24"/>
          <w:szCs w:val="24"/>
        </w:rPr>
        <w:t xml:space="preserve"> geometry asset. Preprocessing ensures data consistency: optical bands are scaled to reflectance using the equation</w:t>
      </w:r>
    </w:p>
    <w:p w14:paraId="21884468" w14:textId="77777777" w:rsidR="00D756A6" w:rsidRPr="00C95A56" w:rsidRDefault="00D756A6" w:rsidP="00C95A56">
      <w:pPr>
        <w:spacing w:line="360" w:lineRule="auto"/>
        <w:jc w:val="both"/>
        <w:rPr>
          <w:rFonts w:ascii="Times New Roman" w:hAnsi="Times New Roman" w:cs="Times New Roman"/>
          <w:sz w:val="24"/>
          <w:szCs w:val="24"/>
        </w:rPr>
      </w:pPr>
    </w:p>
    <w:p w14:paraId="5341C92E" w14:textId="4244A8AC" w:rsidR="00D756A6" w:rsidRPr="00C95A56" w:rsidRDefault="00A37103" w:rsidP="00C95A56">
      <w:pPr>
        <w:spacing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scaled</m:t>
              </m:r>
            </m:sub>
          </m:sSub>
          <m:r>
            <w:rPr>
              <w:rFonts w:ascii="Cambria Math" w:hAnsi="Cambria Math" w:cs="Times New Roman"/>
              <w:sz w:val="24"/>
              <w:szCs w:val="24"/>
            </w:rPr>
            <m:t>=</m:t>
          </m:r>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DN*Multiplicative Factor</m:t>
                  </m:r>
                </m:e>
              </m:d>
              <m:r>
                <w:rPr>
                  <w:rFonts w:ascii="Cambria Math" w:hAnsi="Cambria Math" w:cs="Times New Roman"/>
                  <w:sz w:val="24"/>
                  <w:szCs w:val="24"/>
                </w:rPr>
                <m:t>+Additive Offset</m:t>
              </m:r>
            </m:num>
            <m:den>
              <m:r>
                <m:rPr>
                  <m:sty m:val="p"/>
                </m:rPr>
                <w:rPr>
                  <w:rFonts w:ascii="Cambria Math" w:hAnsi="Cambria Math" w:cs="Times New Roman"/>
                  <w:sz w:val="24"/>
                  <w:szCs w:val="24"/>
                </w:rPr>
                <m:t>sin⁡</m:t>
              </m:r>
              <m:r>
                <w:rPr>
                  <w:rFonts w:ascii="Cambria Math" w:hAnsi="Cambria Math" w:cs="Times New Roman"/>
                  <w:sz w:val="24"/>
                  <w:szCs w:val="24"/>
                </w:rPr>
                <m:t>(θ)</m:t>
              </m:r>
            </m:den>
          </m:f>
        </m:oMath>
      </m:oMathPara>
    </w:p>
    <w:p w14:paraId="23F22A11" w14:textId="2816E65E" w:rsidR="00A37103" w:rsidRPr="00C95A56" w:rsidRDefault="00A37103"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6B898F42" w14:textId="54B8E045" w:rsidR="00A37103" w:rsidRPr="00C95A56" w:rsidRDefault="00A37103" w:rsidP="00C95A56">
      <w:p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scaled</m:t>
            </m:r>
          </m:sub>
        </m:sSub>
      </m:oMath>
      <w:r w:rsidRPr="00C95A56">
        <w:rPr>
          <w:rFonts w:ascii="Times New Roman" w:hAnsi="Times New Roman" w:cs="Times New Roman"/>
          <w:sz w:val="24"/>
          <w:szCs w:val="24"/>
        </w:rPr>
        <w:t xml:space="preserve"> is the scaled reflect</w:t>
      </w:r>
      <w:proofErr w:type="spellStart"/>
      <w:r w:rsidRPr="00C95A56">
        <w:rPr>
          <w:rFonts w:ascii="Times New Roman" w:hAnsi="Times New Roman" w:cs="Times New Roman"/>
          <w:sz w:val="24"/>
          <w:szCs w:val="24"/>
        </w:rPr>
        <w:t>ance</w:t>
      </w:r>
      <w:proofErr w:type="spellEnd"/>
      <w:r w:rsidRPr="00C95A56">
        <w:rPr>
          <w:rFonts w:ascii="Times New Roman" w:hAnsi="Times New Roman" w:cs="Times New Roman"/>
          <w:sz w:val="24"/>
          <w:szCs w:val="24"/>
        </w:rPr>
        <w:t xml:space="preserve"> value, </w:t>
      </w:r>
      <m:oMath>
        <m:r>
          <w:rPr>
            <w:rFonts w:ascii="Cambria Math" w:hAnsi="Cambria Math" w:cs="Times New Roman"/>
            <w:sz w:val="24"/>
            <w:szCs w:val="24"/>
          </w:rPr>
          <m:t>DN</m:t>
        </m:r>
      </m:oMath>
      <w:r w:rsidRPr="00C95A56">
        <w:rPr>
          <w:rFonts w:ascii="Times New Roman" w:hAnsi="Times New Roman" w:cs="Times New Roman"/>
          <w:sz w:val="24"/>
          <w:szCs w:val="24"/>
        </w:rPr>
        <w:t xml:space="preserve"> is the raw digital number from the sensor, the </w:t>
      </w:r>
      <m:oMath>
        <m:r>
          <w:rPr>
            <w:rFonts w:ascii="Cambria Math" w:hAnsi="Cambria Math" w:cs="Times New Roman"/>
            <w:sz w:val="24"/>
            <w:szCs w:val="24"/>
          </w:rPr>
          <m:t>Multiplicative Factor</m:t>
        </m:r>
      </m:oMath>
      <w:r w:rsidRPr="00C95A56">
        <w:rPr>
          <w:rFonts w:ascii="Times New Roman" w:hAnsi="Times New Roman" w:cs="Times New Roman"/>
          <w:sz w:val="24"/>
          <w:szCs w:val="24"/>
        </w:rPr>
        <w:t xml:space="preserve"> is 0.0000275 (specific to Lan</w:t>
      </w:r>
      <w:proofErr w:type="spellStart"/>
      <w:r w:rsidRPr="00C95A56">
        <w:rPr>
          <w:rFonts w:ascii="Times New Roman" w:hAnsi="Times New Roman" w:cs="Times New Roman"/>
          <w:sz w:val="24"/>
          <w:szCs w:val="24"/>
        </w:rPr>
        <w:t>dsat</w:t>
      </w:r>
      <w:proofErr w:type="spellEnd"/>
      <w:r w:rsidRPr="00C95A56">
        <w:rPr>
          <w:rFonts w:ascii="Times New Roman" w:hAnsi="Times New Roman" w:cs="Times New Roman"/>
          <w:sz w:val="24"/>
          <w:szCs w:val="24"/>
        </w:rPr>
        <w:t xml:space="preserve"> Collection 2 Level 2 data), the  </w:t>
      </w:r>
      <m:oMath>
        <m:r>
          <w:rPr>
            <w:rFonts w:ascii="Cambria Math" w:hAnsi="Cambria Math" w:cs="Times New Roman"/>
            <w:sz w:val="24"/>
            <w:szCs w:val="24"/>
          </w:rPr>
          <m:t>Additive Offset</m:t>
        </m:r>
      </m:oMath>
      <w:r w:rsidRPr="00C95A56">
        <w:rPr>
          <w:rFonts w:ascii="Times New Roman" w:hAnsi="Times New Roman" w:cs="Times New Roman"/>
          <w:sz w:val="24"/>
          <w:szCs w:val="24"/>
        </w:rPr>
        <w:t xml:space="preserve"> is -0.2, and </w:t>
      </w:r>
      <m:oMath>
        <m:r>
          <w:rPr>
            <w:rFonts w:ascii="Cambria Math" w:hAnsi="Cambria Math" w:cs="Times New Roman"/>
            <w:sz w:val="24"/>
            <w:szCs w:val="24"/>
          </w:rPr>
          <m:t>θ</m:t>
        </m:r>
      </m:oMath>
      <w:r w:rsidRPr="00C95A56">
        <w:rPr>
          <w:rFonts w:ascii="Times New Roman" w:hAnsi="Times New Roman" w:cs="Times New Roman"/>
          <w:sz w:val="24"/>
          <w:szCs w:val="24"/>
        </w:rPr>
        <w:t xml:space="preserve"> is the solar elevation angle in radians, acc</w:t>
      </w:r>
      <w:proofErr w:type="spellStart"/>
      <w:r w:rsidRPr="00C95A56">
        <w:rPr>
          <w:rFonts w:ascii="Times New Roman" w:hAnsi="Times New Roman" w:cs="Times New Roman"/>
          <w:sz w:val="24"/>
          <w:szCs w:val="24"/>
        </w:rPr>
        <w:t>ounting</w:t>
      </w:r>
      <w:proofErr w:type="spellEnd"/>
      <w:r w:rsidRPr="00C95A56">
        <w:rPr>
          <w:rFonts w:ascii="Times New Roman" w:hAnsi="Times New Roman" w:cs="Times New Roman"/>
          <w:sz w:val="24"/>
          <w:szCs w:val="24"/>
        </w:rPr>
        <w:t xml:space="preserve"> for solar illumination variations across image acquisition dates.</w:t>
      </w:r>
    </w:p>
    <w:p w14:paraId="08F5C6EB" w14:textId="4FBCAE41" w:rsidR="00A37103" w:rsidRPr="00C95A56" w:rsidRDefault="00A37103"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The Thermal band is converted to kelvin with:</w:t>
      </w:r>
    </w:p>
    <w:p w14:paraId="096589A4" w14:textId="77777777" w:rsidR="00A37103" w:rsidRPr="00C95A56" w:rsidRDefault="00A37103" w:rsidP="00C95A56">
      <w:pPr>
        <w:spacing w:line="360" w:lineRule="auto"/>
        <w:jc w:val="both"/>
        <w:rPr>
          <w:rFonts w:ascii="Times New Roman" w:hAnsi="Times New Roman" w:cs="Times New Roman"/>
          <w:sz w:val="24"/>
          <w:szCs w:val="24"/>
        </w:rPr>
      </w:pPr>
    </w:p>
    <w:p w14:paraId="7139CB95" w14:textId="5F8054CF" w:rsidR="00A37103" w:rsidRPr="00C95A56" w:rsidRDefault="00A37103" w:rsidP="00C95A56">
      <w:pPr>
        <w:spacing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kelvin</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DN*Thermal Multiplicative Factor</m:t>
              </m:r>
            </m:e>
          </m:d>
          <m:r>
            <w:rPr>
              <w:rFonts w:ascii="Cambria Math" w:hAnsi="Cambria Math" w:cs="Times New Roman"/>
              <w:sz w:val="24"/>
              <w:szCs w:val="24"/>
            </w:rPr>
            <m:t>+Thermal Additive Offset</m:t>
          </m:r>
        </m:oMath>
      </m:oMathPara>
    </w:p>
    <w:p w14:paraId="152BDB53" w14:textId="75E2039C" w:rsidR="00571085" w:rsidRPr="00C95A56" w:rsidRDefault="00571085"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0578DC51" w14:textId="22B88DC0" w:rsidR="00571085" w:rsidRPr="00C95A56" w:rsidRDefault="00571085" w:rsidP="00C95A56">
      <w:p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kelvin</m:t>
            </m:r>
          </m:sub>
        </m:sSub>
      </m:oMath>
      <w:r w:rsidRPr="00C95A56">
        <w:rPr>
          <w:rFonts w:ascii="Times New Roman" w:hAnsi="Times New Roman" w:cs="Times New Roman"/>
          <w:sz w:val="24"/>
          <w:szCs w:val="24"/>
        </w:rPr>
        <w:t xml:space="preserve"> is the temperature in kelvin, the </w:t>
      </w:r>
      <m:oMath>
        <m:r>
          <w:rPr>
            <w:rFonts w:ascii="Cambria Math" w:hAnsi="Cambria Math" w:cs="Times New Roman"/>
            <w:sz w:val="24"/>
            <w:szCs w:val="24"/>
          </w:rPr>
          <m:t>Thermal Multiplicative Factor</m:t>
        </m:r>
      </m:oMath>
      <w:r w:rsidRPr="00C95A56">
        <w:rPr>
          <w:rFonts w:ascii="Times New Roman" w:hAnsi="Times New Roman" w:cs="Times New Roman"/>
          <w:sz w:val="24"/>
          <w:szCs w:val="24"/>
        </w:rPr>
        <w:t xml:space="preserve"> is 0.00341802, and the </w:t>
      </w:r>
      <m:oMath>
        <m:r>
          <w:rPr>
            <w:rFonts w:ascii="Cambria Math" w:hAnsi="Cambria Math" w:cs="Times New Roman"/>
            <w:sz w:val="24"/>
            <w:szCs w:val="24"/>
          </w:rPr>
          <m:t>Thermal Additive Offset</m:t>
        </m:r>
      </m:oMath>
      <w:r w:rsidRPr="00C95A56">
        <w:rPr>
          <w:rFonts w:ascii="Times New Roman" w:hAnsi="Times New Roman" w:cs="Times New Roman"/>
          <w:sz w:val="24"/>
          <w:szCs w:val="24"/>
        </w:rPr>
        <w:t xml:space="preserve"> is 149.0, converting raw thermal data to a physically meaningful scale.</w:t>
      </w:r>
    </w:p>
    <w:p w14:paraId="1205AAEC" w14:textId="77777777" w:rsidR="00571085" w:rsidRPr="00C95A56" w:rsidRDefault="00571085" w:rsidP="00C95A56">
      <w:pPr>
        <w:spacing w:line="360" w:lineRule="auto"/>
        <w:jc w:val="both"/>
        <w:rPr>
          <w:rFonts w:ascii="Times New Roman" w:hAnsi="Times New Roman" w:cs="Times New Roman"/>
          <w:sz w:val="24"/>
          <w:szCs w:val="24"/>
        </w:rPr>
      </w:pPr>
    </w:p>
    <w:p w14:paraId="453E320E" w14:textId="77777777" w:rsidR="00571085" w:rsidRPr="00C95A56" w:rsidRDefault="00571085"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Clouds and shadows are masked using the QA_PIXEL band, a critical component of Landsat Collection 2 Level 2 data. The QA_PIXEL band is a 16-bit unsigned integer layer that encodes quality information for each pixel in a bit-packed format, where each bit or combination of bits flags specific conditions such as clouds, shadows, water, or snow. For Landsat 5 and 7, this band is generated during atmospheric correction and quality assessment processes, providing a standardized way to identify and filter out contaminated pixels. Each bit position corresponds to a specific condition, and its value (0 or 1) indicates whether that condition is absent or present. In this study, the focus is on masking clouds and cloud shadows, which obscure surface features and could skew classification results. The bit assignments for Landsat Collection 2 Level 2 data are as follows (relevant bits highlighted):</w:t>
      </w:r>
    </w:p>
    <w:p w14:paraId="3B6C82C0" w14:textId="3752A298" w:rsidR="00571085" w:rsidRPr="00C95A56" w:rsidRDefault="00571085" w:rsidP="00C95A56">
      <w:pPr>
        <w:pStyle w:val="ListParagraph"/>
        <w:numPr>
          <w:ilvl w:val="0"/>
          <w:numId w:val="13"/>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Bit 0: Fill (1 if data is invalid, e.g., outside the image extent)</w:t>
      </w:r>
    </w:p>
    <w:p w14:paraId="657BF064" w14:textId="78347DC1" w:rsidR="00571085" w:rsidRPr="00C95A56" w:rsidRDefault="00571085" w:rsidP="00C95A56">
      <w:pPr>
        <w:pStyle w:val="ListParagraph"/>
        <w:numPr>
          <w:ilvl w:val="0"/>
          <w:numId w:val="13"/>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Bit 1: Dilated Cloud (1 if near a cloud, expanding the cloud boundary)</w:t>
      </w:r>
    </w:p>
    <w:p w14:paraId="59D17379" w14:textId="10C93B78" w:rsidR="00571085" w:rsidRPr="00C95A56" w:rsidRDefault="00571085" w:rsidP="00C95A56">
      <w:pPr>
        <w:pStyle w:val="ListParagraph"/>
        <w:numPr>
          <w:ilvl w:val="0"/>
          <w:numId w:val="13"/>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Bit 2: Cirrus (1 if cirrus clouds are detected, less relevant for Landsat 5/7)</w:t>
      </w:r>
    </w:p>
    <w:p w14:paraId="06B7B35E" w14:textId="12FB22DE" w:rsidR="00571085" w:rsidRPr="00C95A56" w:rsidRDefault="00571085" w:rsidP="00C95A56">
      <w:pPr>
        <w:pStyle w:val="ListParagraph"/>
        <w:numPr>
          <w:ilvl w:val="0"/>
          <w:numId w:val="13"/>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Bit 3: Cloud (1 if a cloud is present)</w:t>
      </w:r>
    </w:p>
    <w:p w14:paraId="5EAE2C17" w14:textId="477561EF" w:rsidR="00571085" w:rsidRPr="00C95A56" w:rsidRDefault="00571085" w:rsidP="00C95A56">
      <w:pPr>
        <w:pStyle w:val="ListParagraph"/>
        <w:numPr>
          <w:ilvl w:val="0"/>
          <w:numId w:val="13"/>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Bit 4: Cloud Shadow (1 if a cloud shadow is present)</w:t>
      </w:r>
    </w:p>
    <w:p w14:paraId="5ADE5C46" w14:textId="4AE0DEF4" w:rsidR="00571085" w:rsidRPr="00C95A56" w:rsidRDefault="00571085" w:rsidP="00C95A56">
      <w:pPr>
        <w:pStyle w:val="ListParagraph"/>
        <w:numPr>
          <w:ilvl w:val="0"/>
          <w:numId w:val="13"/>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Bits 5-15: Additional flags (e.g., snow, water, confidence levels) </w:t>
      </w:r>
    </w:p>
    <w:p w14:paraId="45200F61" w14:textId="2743F791" w:rsidR="00571085" w:rsidRPr="00C95A56" w:rsidRDefault="00571085"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In the masking process, we are only concerned with Bit 3 and Bit 4, which </w:t>
      </w:r>
      <w:proofErr w:type="gramStart"/>
      <w:r w:rsidRPr="00C95A56">
        <w:rPr>
          <w:rFonts w:ascii="Times New Roman" w:hAnsi="Times New Roman" w:cs="Times New Roman"/>
          <w:sz w:val="24"/>
          <w:szCs w:val="24"/>
        </w:rPr>
        <w:t>represents</w:t>
      </w:r>
      <w:proofErr w:type="gramEnd"/>
      <w:r w:rsidRPr="00C95A56">
        <w:rPr>
          <w:rFonts w:ascii="Times New Roman" w:hAnsi="Times New Roman" w:cs="Times New Roman"/>
          <w:sz w:val="24"/>
          <w:szCs w:val="24"/>
        </w:rPr>
        <w:t xml:space="preserve"> clouds and cloud shadows. The process in Google Earth Engine involves extracting the cloud shadow information from the QA_PIXEL band using bitwise operation. Since the QA_PIXEL band </w:t>
      </w:r>
      <w:r w:rsidRPr="00C95A56">
        <w:rPr>
          <w:rFonts w:ascii="Times New Roman" w:hAnsi="Times New Roman" w:cs="Times New Roman"/>
          <w:sz w:val="24"/>
          <w:szCs w:val="24"/>
        </w:rPr>
        <w:lastRenderedPageBreak/>
        <w:t>encodes multiple quality indicators within a 16-bit integer we use bitwise shifting and logical operations to isolate and remove cloud-affected pixels</w:t>
      </w:r>
      <w:r w:rsidR="0063357B" w:rsidRPr="00C95A56">
        <w:rPr>
          <w:rFonts w:ascii="Times New Roman" w:hAnsi="Times New Roman" w:cs="Times New Roman"/>
          <w:sz w:val="24"/>
          <w:szCs w:val="24"/>
        </w:rPr>
        <w:t xml:space="preserve"> through:</w:t>
      </w:r>
    </w:p>
    <w:p w14:paraId="615DC3C6" w14:textId="04FB78BE" w:rsidR="0063357B" w:rsidRPr="00C95A56" w:rsidRDefault="0063357B" w:rsidP="00C95A56">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Mask=</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Q</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PIXEL</m:t>
                      </m:r>
                    </m:sub>
                  </m:sSub>
                </m:num>
                <m:den>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3</m:t>
                      </m:r>
                    </m:sup>
                  </m:sSup>
                </m:den>
              </m:f>
              <m:r>
                <w:rPr>
                  <w:rFonts w:ascii="Cambria Math" w:hAnsi="Cambria Math" w:cs="Times New Roman"/>
                  <w:sz w:val="24"/>
                  <w:szCs w:val="24"/>
                </w:rPr>
                <m:t>mod 2=0</m:t>
              </m:r>
            </m:e>
          </m:d>
          <m:r>
            <w:rPr>
              <w:rFonts w:ascii="Cambria Math" w:hAnsi="Cambria Math" w:cs="Times New Roman"/>
              <w:sz w:val="24"/>
              <w:szCs w:val="24"/>
            </w:rPr>
            <m:t xml:space="preserve"> </m:t>
          </m:r>
          <m:r>
            <w:rPr>
              <w:rFonts w:ascii="Cambria Math" w:hAnsi="Cambria Math" w:cs="Times New Roman"/>
              <w:sz w:val="24"/>
              <w:szCs w:val="24"/>
            </w:rPr>
            <m:t>∧</m:t>
          </m:r>
          <m:r>
            <w:rPr>
              <w:rFonts w:ascii="Cambria Math" w:hAnsi="Cambria Math" w:cs="Times New Roman"/>
              <w:sz w:val="24"/>
              <w:szCs w:val="24"/>
            </w:rPr>
            <m:t xml:space="preserve"> </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QA_PIXEL</m:t>
                  </m:r>
                </m:num>
                <m:den>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4</m:t>
                      </m:r>
                    </m:sup>
                  </m:sSup>
                </m:den>
              </m:f>
              <m:r>
                <w:rPr>
                  <w:rFonts w:ascii="Cambria Math" w:hAnsi="Cambria Math" w:cs="Times New Roman"/>
                  <w:sz w:val="24"/>
                  <w:szCs w:val="24"/>
                </w:rPr>
                <m:t>mod 2=0</m:t>
              </m:r>
            </m:e>
          </m:d>
        </m:oMath>
      </m:oMathPara>
    </w:p>
    <w:p w14:paraId="13AEB6CF" w14:textId="1E1B81B9" w:rsidR="0063357B" w:rsidRPr="00C95A56" w:rsidRDefault="0063357B"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2D99035F" w14:textId="6015F170" w:rsidR="0063357B" w:rsidRPr="00C95A56" w:rsidRDefault="0063357B" w:rsidP="00C95A56">
      <w:pPr>
        <w:pStyle w:val="ListParagraph"/>
        <w:numPr>
          <w:ilvl w:val="0"/>
          <w:numId w:val="10"/>
        </w:numPr>
        <w:spacing w:line="360" w:lineRule="auto"/>
        <w:jc w:val="both"/>
        <w:rPr>
          <w:rFonts w:ascii="Times New Roman" w:hAnsi="Times New Roman" w:cs="Times New Roman"/>
          <w:sz w:val="24"/>
          <w:szCs w:val="24"/>
        </w:rPr>
      </w:pPr>
      <m:oMath>
        <m:r>
          <w:rPr>
            <w:rFonts w:ascii="Cambria Math" w:hAnsi="Cambria Math" w:cs="Times New Roman"/>
            <w:sz w:val="24"/>
            <w:szCs w:val="24"/>
          </w:rPr>
          <m:t>QA_PIXEL</m:t>
        </m:r>
      </m:oMath>
      <w:r w:rsidRPr="00C95A56">
        <w:rPr>
          <w:rFonts w:ascii="Times New Roman" w:hAnsi="Times New Roman" w:cs="Times New Roman"/>
          <w:sz w:val="24"/>
          <w:szCs w:val="24"/>
        </w:rPr>
        <w:t xml:space="preserve"> is the quality assurance band for each pixel</w:t>
      </w:r>
    </w:p>
    <w:p w14:paraId="50A4A25B" w14:textId="133693BF" w:rsidR="0063357B" w:rsidRPr="00C95A56" w:rsidRDefault="0063357B" w:rsidP="00C95A56">
      <w:pPr>
        <w:pStyle w:val="ListParagraph"/>
        <w:numPr>
          <w:ilvl w:val="0"/>
          <w:numId w:val="10"/>
        </w:numPr>
        <w:spacing w:line="360" w:lineRule="auto"/>
        <w:jc w:val="both"/>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3</m:t>
            </m:r>
          </m:sup>
        </m:sSup>
      </m:oMath>
      <w:r w:rsidRPr="00C95A56">
        <w:rPr>
          <w:rFonts w:ascii="Times New Roman" w:hAnsi="Times New Roman" w:cs="Times New Roman"/>
          <w:sz w:val="24"/>
          <w:szCs w:val="24"/>
        </w:rPr>
        <w:t xml:space="preserve"> represents the bit position for cloud (Bit 3)</w:t>
      </w:r>
    </w:p>
    <w:p w14:paraId="378279AF" w14:textId="2EE3228B" w:rsidR="0063357B" w:rsidRPr="00C95A56" w:rsidRDefault="0063357B" w:rsidP="00C95A56">
      <w:pPr>
        <w:pStyle w:val="ListParagraph"/>
        <w:numPr>
          <w:ilvl w:val="0"/>
          <w:numId w:val="10"/>
        </w:numPr>
        <w:spacing w:line="360" w:lineRule="auto"/>
        <w:jc w:val="both"/>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4</m:t>
            </m:r>
          </m:sup>
        </m:sSup>
      </m:oMath>
      <w:r w:rsidRPr="00C95A56">
        <w:rPr>
          <w:rFonts w:ascii="Times New Roman" w:hAnsi="Times New Roman" w:cs="Times New Roman"/>
          <w:sz w:val="24"/>
          <w:szCs w:val="24"/>
        </w:rPr>
        <w:t xml:space="preserve"> represents the bit position for cloud shadow (Bit 4)</w:t>
      </w:r>
    </w:p>
    <w:p w14:paraId="4CBEBCA0" w14:textId="1FFE537F" w:rsidR="0063357B" w:rsidRPr="00C95A56" w:rsidRDefault="0063357B" w:rsidP="00C95A56">
      <w:pPr>
        <w:pStyle w:val="ListParagraph"/>
        <w:numPr>
          <w:ilvl w:val="0"/>
          <w:numId w:val="10"/>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The modulo operation, </w:t>
      </w:r>
      <m:oMath>
        <m:r>
          <w:rPr>
            <w:rFonts w:ascii="Cambria Math" w:hAnsi="Cambria Math" w:cs="Times New Roman"/>
            <w:sz w:val="24"/>
            <w:szCs w:val="24"/>
          </w:rPr>
          <m:t xml:space="preserve">mod </m:t>
        </m:r>
        <m:r>
          <w:rPr>
            <w:rFonts w:ascii="Cambria Math" w:hAnsi="Cambria Math" w:cs="Times New Roman"/>
            <w:sz w:val="24"/>
            <w:szCs w:val="24"/>
          </w:rPr>
          <m:t>2</m:t>
        </m:r>
      </m:oMath>
      <w:r w:rsidRPr="00C95A56">
        <w:rPr>
          <w:rFonts w:ascii="Times New Roman" w:hAnsi="Times New Roman" w:cs="Times New Roman"/>
          <w:sz w:val="24"/>
          <w:szCs w:val="24"/>
        </w:rPr>
        <w:t xml:space="preserve"> checks whether the bit is set as (1) or not (0)</w:t>
      </w:r>
    </w:p>
    <w:p w14:paraId="4B53ACD5" w14:textId="0991EAF5" w:rsidR="00915C95" w:rsidRPr="00C95A56" w:rsidRDefault="00915C95" w:rsidP="00C95A56">
      <w:pPr>
        <w:pStyle w:val="ListParagraph"/>
        <w:numPr>
          <w:ilvl w:val="0"/>
          <w:numId w:val="10"/>
        </w:numPr>
        <w:spacing w:line="360" w:lineRule="auto"/>
        <w:jc w:val="both"/>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Q</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PIXEL</m:t>
                </m:r>
              </m:sub>
            </m:sSub>
          </m:num>
          <m:den>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3</m:t>
                </m:r>
              </m:sup>
            </m:sSup>
          </m:den>
        </m:f>
        <m:r>
          <w:rPr>
            <w:rFonts w:ascii="Cambria Math" w:hAnsi="Cambria Math" w:cs="Times New Roman"/>
            <w:sz w:val="24"/>
            <w:szCs w:val="24"/>
          </w:rPr>
          <m:t>mod 2=</m:t>
        </m:r>
        <m:r>
          <w:rPr>
            <w:rFonts w:ascii="Cambria Math" w:hAnsi="Cambria Math" w:cs="Times New Roman"/>
            <w:sz w:val="24"/>
            <w:szCs w:val="24"/>
          </w:rPr>
          <m:t>0</m:t>
        </m:r>
      </m:oMath>
      <w:r w:rsidRPr="00C95A56">
        <w:rPr>
          <w:rFonts w:ascii="Times New Roman" w:hAnsi="Times New Roman" w:cs="Times New Roman"/>
          <w:sz w:val="24"/>
          <w:szCs w:val="24"/>
        </w:rPr>
        <w:t xml:space="preserve"> ensures the cloud (bit 3) is not set</w:t>
      </w:r>
    </w:p>
    <w:p w14:paraId="24E23F34" w14:textId="6FB096D0" w:rsidR="00915C95" w:rsidRPr="00C95A56" w:rsidRDefault="00915C95" w:rsidP="00C95A56">
      <w:pPr>
        <w:pStyle w:val="ListParagraph"/>
        <w:numPr>
          <w:ilvl w:val="0"/>
          <w:numId w:val="10"/>
        </w:numPr>
        <w:spacing w:line="360" w:lineRule="auto"/>
        <w:jc w:val="both"/>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Q</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PIXEL</m:t>
                </m:r>
              </m:sub>
            </m:sSub>
          </m:num>
          <m:den>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4</m:t>
                </m:r>
              </m:sup>
            </m:sSup>
          </m:den>
        </m:f>
        <m:r>
          <w:rPr>
            <w:rFonts w:ascii="Cambria Math" w:hAnsi="Cambria Math" w:cs="Times New Roman"/>
            <w:sz w:val="24"/>
            <w:szCs w:val="24"/>
          </w:rPr>
          <m:t>mod 2=0</m:t>
        </m:r>
      </m:oMath>
      <w:r w:rsidRPr="00C95A56">
        <w:rPr>
          <w:rFonts w:ascii="Times New Roman" w:hAnsi="Times New Roman" w:cs="Times New Roman"/>
          <w:sz w:val="24"/>
          <w:szCs w:val="24"/>
        </w:rPr>
        <w:t xml:space="preserve"> ensures the cloud shadow (Bit 4) is not set</w:t>
      </w:r>
    </w:p>
    <w:p w14:paraId="393FE5F3" w14:textId="09C102B0" w:rsidR="0063357B" w:rsidRPr="00C95A56" w:rsidRDefault="0063357B" w:rsidP="00C95A56">
      <w:pPr>
        <w:pStyle w:val="ListParagraph"/>
        <w:numPr>
          <w:ilvl w:val="0"/>
          <w:numId w:val="10"/>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The pixels where both conditions are true (bit is 0) are retained</w:t>
      </w:r>
    </w:p>
    <w:p w14:paraId="44C5A029" w14:textId="663B3EC5" w:rsidR="0063357B" w:rsidRPr="00C95A56" w:rsidRDefault="0063357B" w:rsidP="00C95A56">
      <w:pPr>
        <w:pStyle w:val="ListParagraph"/>
        <w:numPr>
          <w:ilvl w:val="0"/>
          <w:numId w:val="10"/>
        </w:numPr>
        <w:spacing w:line="360" w:lineRule="auto"/>
        <w:jc w:val="both"/>
        <w:rPr>
          <w:rFonts w:ascii="Times New Roman" w:hAnsi="Times New Roman" w:cs="Times New Roman"/>
          <w:sz w:val="24"/>
          <w:szCs w:val="24"/>
        </w:rPr>
      </w:pPr>
      <m:oMath>
        <m:r>
          <w:rPr>
            <w:rFonts w:ascii="Cambria Math" w:hAnsi="Cambria Math" w:cs="Times New Roman"/>
            <w:sz w:val="24"/>
            <w:szCs w:val="24"/>
          </w:rPr>
          <m:t>∧</m:t>
        </m:r>
      </m:oMath>
      <w:r w:rsidRPr="00C95A56">
        <w:rPr>
          <w:rFonts w:ascii="Times New Roman" w:hAnsi="Times New Roman" w:cs="Times New Roman"/>
          <w:sz w:val="24"/>
          <w:szCs w:val="24"/>
        </w:rPr>
        <w:t xml:space="preserve"> is the logical AND operator</w:t>
      </w:r>
    </w:p>
    <w:p w14:paraId="089984CD" w14:textId="52A668F3" w:rsidR="0063357B" w:rsidRPr="00C95A56" w:rsidRDefault="0063357B"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Alternatively, we represent the above equation as:</w:t>
      </w:r>
    </w:p>
    <w:p w14:paraId="232B5053" w14:textId="63273239" w:rsidR="0063357B" w:rsidRPr="00C95A56" w:rsidRDefault="00915C95" w:rsidP="00C95A56">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Mask=</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Q</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PIXEL</m:t>
                      </m:r>
                    </m:sub>
                  </m:sSub>
                  <m:r>
                    <w:rPr>
                      <w:rFonts w:ascii="Cambria Math" w:hAnsi="Cambria Math" w:cs="Times New Roman"/>
                      <w:sz w:val="24"/>
                      <w:szCs w:val="24"/>
                    </w:rPr>
                    <m:t>≫3</m:t>
                  </m:r>
                </m:e>
              </m:d>
              <m:r>
                <w:rPr>
                  <w:rFonts w:ascii="Cambria Math" w:hAnsi="Cambria Math" w:cs="Times New Roman"/>
                  <w:sz w:val="24"/>
                  <w:szCs w:val="24"/>
                </w:rPr>
                <m:t xml:space="preserve"> mod 2=0</m:t>
              </m:r>
            </m:e>
          </m:d>
          <m:r>
            <w:rPr>
              <w:rFonts w:ascii="Cambria Math" w:hAnsi="Cambria Math" w:cs="Times New Roman"/>
              <w:sz w:val="24"/>
              <w:szCs w:val="24"/>
            </w:rPr>
            <m:t xml:space="preserve"> ∧</m:t>
          </m:r>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Q</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PIXEL</m:t>
                  </m:r>
                </m:sub>
              </m:sSub>
              <m:r>
                <w:rPr>
                  <w:rFonts w:ascii="Cambria Math" w:hAnsi="Cambria Math" w:cs="Times New Roman"/>
                  <w:sz w:val="24"/>
                  <w:szCs w:val="24"/>
                </w:rPr>
                <m:t>≫</m:t>
              </m:r>
              <m:r>
                <w:rPr>
                  <w:rFonts w:ascii="Cambria Math" w:hAnsi="Cambria Math" w:cs="Times New Roman"/>
                  <w:sz w:val="24"/>
                  <w:szCs w:val="24"/>
                </w:rPr>
                <m:t>4</m:t>
              </m:r>
            </m:e>
          </m:d>
          <m:r>
            <w:rPr>
              <w:rFonts w:ascii="Cambria Math" w:hAnsi="Cambria Math" w:cs="Times New Roman"/>
              <w:sz w:val="24"/>
              <w:szCs w:val="24"/>
            </w:rPr>
            <m:t xml:space="preserve"> mod 2=0)⋀</m:t>
          </m:r>
        </m:oMath>
      </m:oMathPara>
    </w:p>
    <w:p w14:paraId="702E7274" w14:textId="6417C947" w:rsidR="00915C95" w:rsidRPr="00C95A56" w:rsidRDefault="00915C95"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0DB1C27E" w14:textId="54B4D422" w:rsidR="00915C95" w:rsidRPr="00C95A56" w:rsidRDefault="00915C95" w:rsidP="00C95A56">
      <w:pPr>
        <w:pStyle w:val="ListParagraph"/>
        <w:numPr>
          <w:ilvl w:val="0"/>
          <w:numId w:val="11"/>
        </w:numPr>
        <w:spacing w:line="360" w:lineRule="auto"/>
        <w:jc w:val="both"/>
        <w:rPr>
          <w:rFonts w:ascii="Times New Roman" w:hAnsi="Times New Roman" w:cs="Times New Roman"/>
          <w:sz w:val="24"/>
          <w:szCs w:val="24"/>
        </w:rPr>
      </w:pPr>
      <m:oMath>
        <m:r>
          <w:rPr>
            <w:rFonts w:ascii="Cambria Math" w:hAnsi="Cambria Math" w:cs="Times New Roman"/>
            <w:sz w:val="24"/>
            <w:szCs w:val="24"/>
          </w:rPr>
          <m:t>≫</m:t>
        </m:r>
      </m:oMath>
      <w:r w:rsidRPr="00C95A56">
        <w:rPr>
          <w:rFonts w:ascii="Times New Roman" w:hAnsi="Times New Roman" w:cs="Times New Roman"/>
          <w:sz w:val="24"/>
          <w:szCs w:val="24"/>
        </w:rPr>
        <w:t xml:space="preserve"> is the bitwise right shift operator, shifting the relevant bit to the least significant position before applying the modulo operation.</w:t>
      </w:r>
    </w:p>
    <w:p w14:paraId="7A2733D4" w14:textId="74974788" w:rsidR="00915C95" w:rsidRPr="00C95A56" w:rsidRDefault="00915C95" w:rsidP="00C95A56">
      <w:pPr>
        <w:spacing w:line="360" w:lineRule="auto"/>
        <w:jc w:val="both"/>
        <w:rPr>
          <w:rFonts w:ascii="Times New Roman" w:eastAsia="Times New Roman" w:hAnsi="Times New Roman" w:cs="Times New Roman"/>
          <w:color w:val="000000"/>
          <w:sz w:val="24"/>
          <w:szCs w:val="24"/>
        </w:rPr>
      </w:pPr>
      <w:r w:rsidRPr="00C95A56">
        <w:rPr>
          <w:rFonts w:ascii="Times New Roman" w:eastAsia="Times New Roman" w:hAnsi="Times New Roman" w:cs="Times New Roman"/>
          <w:color w:val="000000"/>
          <w:sz w:val="24"/>
          <w:szCs w:val="24"/>
        </w:rPr>
        <w:t>Median composites are then created by computing the median value of unmasked (clear) pixels across the time range for each period, clipped to the ROI to reduce temporal noise.</w:t>
      </w:r>
      <w:r w:rsidRPr="00C95A56">
        <w:rPr>
          <w:rFonts w:ascii="Times New Roman" w:eastAsia="Times New Roman" w:hAnsi="Times New Roman" w:cs="Times New Roman"/>
          <w:color w:val="000000"/>
          <w:sz w:val="24"/>
          <w:szCs w:val="24"/>
        </w:rPr>
        <w:t xml:space="preserve"> These median composites represent the periods 1994-2003, 2003-2013, and 2014-2023, which are fed for Random Forest training.</w:t>
      </w:r>
    </w:p>
    <w:p w14:paraId="1AF68FCA" w14:textId="77777777" w:rsidR="00915C95" w:rsidRPr="00C95A56" w:rsidRDefault="00915C95" w:rsidP="00C95A56">
      <w:pPr>
        <w:spacing w:line="360" w:lineRule="auto"/>
        <w:jc w:val="both"/>
        <w:rPr>
          <w:rFonts w:ascii="Times New Roman" w:eastAsia="Times New Roman" w:hAnsi="Times New Roman" w:cs="Times New Roman"/>
          <w:color w:val="000000"/>
          <w:sz w:val="24"/>
          <w:szCs w:val="24"/>
        </w:rPr>
      </w:pPr>
    </w:p>
    <w:p w14:paraId="2E460022" w14:textId="294E6D5E" w:rsidR="00915C95" w:rsidRPr="00C95A56" w:rsidRDefault="00BF6161" w:rsidP="00C95A56">
      <w:pPr>
        <w:spacing w:line="360" w:lineRule="auto"/>
        <w:jc w:val="both"/>
        <w:rPr>
          <w:rFonts w:ascii="Times New Roman" w:hAnsi="Times New Roman" w:cs="Times New Roman"/>
          <w:b/>
          <w:bCs/>
          <w:sz w:val="24"/>
          <w:szCs w:val="24"/>
        </w:rPr>
      </w:pPr>
      <w:r w:rsidRPr="00C95A56">
        <w:rPr>
          <w:rFonts w:ascii="Times New Roman" w:hAnsi="Times New Roman" w:cs="Times New Roman"/>
          <w:b/>
          <w:bCs/>
          <w:sz w:val="24"/>
          <w:szCs w:val="24"/>
        </w:rPr>
        <w:t>Random Forest Classification</w:t>
      </w:r>
    </w:p>
    <w:p w14:paraId="26A7B840" w14:textId="77777777" w:rsidR="00BF6161" w:rsidRPr="00C95A56" w:rsidRDefault="00BF6161" w:rsidP="00C95A56">
      <w:pPr>
        <w:spacing w:line="360" w:lineRule="auto"/>
        <w:jc w:val="both"/>
        <w:rPr>
          <w:rFonts w:ascii="Times New Roman" w:hAnsi="Times New Roman" w:cs="Times New Roman"/>
          <w:sz w:val="24"/>
          <w:szCs w:val="24"/>
        </w:rPr>
      </w:pPr>
      <w:r w:rsidRPr="00BF6161">
        <w:rPr>
          <w:rFonts w:ascii="Times New Roman" w:hAnsi="Times New Roman" w:cs="Times New Roman"/>
          <w:sz w:val="24"/>
          <w:szCs w:val="24"/>
        </w:rPr>
        <w:t xml:space="preserve">Historical classifications utilize a Random Forest (RF) classifier, an ensemble method that enhances accuracy by combining multiple decision trees. </w:t>
      </w:r>
    </w:p>
    <w:p w14:paraId="220FA603" w14:textId="0B54340A" w:rsidR="00BF6161" w:rsidRPr="00BF6161" w:rsidRDefault="00BF6161"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F</w:t>
      </w:r>
      <w:r w:rsidRPr="00BF6161">
        <w:rPr>
          <w:rFonts w:ascii="Times New Roman" w:hAnsi="Times New Roman" w:cs="Times New Roman"/>
          <w:sz w:val="24"/>
          <w:szCs w:val="24"/>
        </w:rPr>
        <w:t xml:space="preserve">or a dataset with ( n ) features (spectral bands SR_B1 to SR_B7 and ST_B6, </w:t>
      </w:r>
      <w:proofErr w:type="gramStart"/>
      <w:r w:rsidRPr="00BF6161">
        <w:rPr>
          <w:rFonts w:ascii="Times New Roman" w:hAnsi="Times New Roman" w:cs="Times New Roman"/>
          <w:sz w:val="24"/>
          <w:szCs w:val="24"/>
        </w:rPr>
        <w:t>where</w:t>
      </w:r>
      <w:proofErr w:type="gramEnd"/>
      <w:r w:rsidRPr="00BF6161">
        <w:rPr>
          <w:rFonts w:ascii="Times New Roman" w:hAnsi="Times New Roman" w:cs="Times New Roman"/>
          <w:sz w:val="24"/>
          <w:szCs w:val="24"/>
        </w:rPr>
        <w:t xml:space="preserve"> </w:t>
      </w:r>
    </w:p>
    <w:p w14:paraId="40675277" w14:textId="2DBCBC5E" w:rsidR="00BF6161" w:rsidRPr="00C95A56" w:rsidRDefault="00BF6161" w:rsidP="00C95A56">
      <w:pPr>
        <w:spacing w:line="360" w:lineRule="auto"/>
        <w:jc w:val="both"/>
        <w:rPr>
          <w:rFonts w:ascii="Times New Roman" w:hAnsi="Times New Roman" w:cs="Times New Roman"/>
          <w:sz w:val="24"/>
          <w:szCs w:val="24"/>
        </w:rPr>
      </w:pPr>
      <w:r w:rsidRPr="00BF6161">
        <w:rPr>
          <w:rFonts w:ascii="Times New Roman" w:hAnsi="Times New Roman" w:cs="Times New Roman"/>
          <w:vanish/>
          <w:sz w:val="24"/>
          <w:szCs w:val="24"/>
        </w:rPr>
        <w:t>n=8</w:t>
      </w:r>
      <w:r w:rsidRPr="00BF6161">
        <w:rPr>
          <w:rFonts w:ascii="Times New Roman" w:hAnsi="Times New Roman" w:cs="Times New Roman"/>
          <w:sz w:val="24"/>
          <w:szCs w:val="24"/>
        </w:rPr>
        <w:t>) and ( m ) training samples (GCPs), RF constructs ( T ) trees, each trained on a bootstrapped subset of the data and a random subset of features at each node</w:t>
      </w:r>
      <w:r w:rsidRPr="00C95A56">
        <w:rPr>
          <w:rFonts w:ascii="Times New Roman" w:hAnsi="Times New Roman" w:cs="Times New Roman"/>
          <w:sz w:val="24"/>
          <w:szCs w:val="24"/>
        </w:rPr>
        <w:t xml:space="preserve">. The final classification for a pixel </w:t>
      </w:r>
      <w:r w:rsidRPr="00C95A56">
        <w:rPr>
          <w:rFonts w:ascii="Times New Roman" w:hAnsi="Times New Roman" w:cs="Times New Roman"/>
          <w:sz w:val="24"/>
          <w:szCs w:val="24"/>
        </w:rPr>
        <w:lastRenderedPageBreak/>
        <w:t xml:space="preserve">with feature vector </w:t>
      </w:r>
      <m:oMath>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oMath>
      <w:r w:rsidRPr="00C95A56">
        <w:rPr>
          <w:rFonts w:ascii="Times New Roman" w:hAnsi="Times New Roman" w:cs="Times New Roman"/>
          <w:sz w:val="24"/>
          <w:szCs w:val="24"/>
        </w:rPr>
        <w:t xml:space="preserve"> is determined by majority voting. The classification is represented by:</w:t>
      </w:r>
    </w:p>
    <w:p w14:paraId="7566021E" w14:textId="67A9565C" w:rsidR="00BF6161" w:rsidRPr="00C95A56" w:rsidRDefault="00BF6161" w:rsidP="00C95A56">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h</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=mode{</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 …,</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(x)}</m:t>
          </m:r>
        </m:oMath>
      </m:oMathPara>
    </w:p>
    <w:p w14:paraId="271AF0C4" w14:textId="6DA9EB2E" w:rsidR="00BF6161" w:rsidRPr="00C95A56" w:rsidRDefault="00BF6161"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44FC92D8" w14:textId="2D2BF0EF" w:rsidR="00BF6161" w:rsidRPr="00C95A56" w:rsidRDefault="004877BE" w:rsidP="00C95A56">
      <w:pPr>
        <w:pStyle w:val="ListParagraph"/>
        <w:numPr>
          <w:ilvl w:val="0"/>
          <w:numId w:val="11"/>
        </w:numPr>
        <w:spacing w:line="360" w:lineRule="auto"/>
        <w:jc w:val="both"/>
        <w:rPr>
          <w:rFonts w:ascii="Times New Roman" w:hAnsi="Times New Roman" w:cs="Times New Roman"/>
          <w:sz w:val="24"/>
          <w:szCs w:val="24"/>
        </w:rPr>
      </w:pPr>
      <m:oMath>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oMath>
      <w:r w:rsidRPr="00C95A56">
        <w:rPr>
          <w:rFonts w:ascii="Times New Roman" w:hAnsi="Times New Roman" w:cs="Times New Roman"/>
          <w:sz w:val="24"/>
          <w:szCs w:val="24"/>
        </w:rPr>
        <w:t xml:space="preserve"> is the feature vector for a pixel, consisting of </w:t>
      </w:r>
      <m:oMath>
        <m:r>
          <w:rPr>
            <w:rFonts w:ascii="Cambria Math" w:hAnsi="Cambria Math" w:cs="Times New Roman"/>
            <w:sz w:val="24"/>
            <w:szCs w:val="24"/>
          </w:rPr>
          <m:t>n=8</m:t>
        </m:r>
      </m:oMath>
      <w:r w:rsidRPr="00C95A56">
        <w:rPr>
          <w:rFonts w:ascii="Times New Roman" w:hAnsi="Times New Roman" w:cs="Times New Roman"/>
          <w:sz w:val="24"/>
          <w:szCs w:val="24"/>
        </w:rPr>
        <w:t xml:space="preserve"> spectral bands: SR_B1 to SR_B7 and ST_B6.</w:t>
      </w:r>
    </w:p>
    <w:p w14:paraId="49B5C72D" w14:textId="7FCE5F94" w:rsidR="004877BE" w:rsidRPr="00C95A56" w:rsidRDefault="004877BE" w:rsidP="00C95A56">
      <w:pPr>
        <w:pStyle w:val="ListParagraph"/>
        <w:numPr>
          <w:ilvl w:val="0"/>
          <w:numId w:val="11"/>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(x)</m:t>
        </m:r>
      </m:oMath>
      <w:r w:rsidRPr="00C95A56">
        <w:rPr>
          <w:rFonts w:ascii="Times New Roman" w:hAnsi="Times New Roman" w:cs="Times New Roman"/>
          <w:sz w:val="24"/>
          <w:szCs w:val="24"/>
        </w:rPr>
        <w:t xml:space="preserve"> is the class</w:t>
      </w:r>
      <w:r w:rsidR="002A26AD" w:rsidRPr="00C95A56">
        <w:rPr>
          <w:rFonts w:ascii="Times New Roman" w:hAnsi="Times New Roman" w:cs="Times New Roman"/>
          <w:sz w:val="24"/>
          <w:szCs w:val="24"/>
        </w:rPr>
        <w:t xml:space="preserve"> (0 for Urban, 1 for Bare, 2 for water, or 3 for vegetation)</w:t>
      </w:r>
      <w:r w:rsidRPr="00C95A56">
        <w:rPr>
          <w:rFonts w:ascii="Times New Roman" w:hAnsi="Times New Roman" w:cs="Times New Roman"/>
          <w:sz w:val="24"/>
          <w:szCs w:val="24"/>
        </w:rPr>
        <w:t xml:space="preserve"> predicted by the </w:t>
      </w:r>
      <w:r w:rsidRPr="00C95A56">
        <w:rPr>
          <w:rFonts w:ascii="Times New Roman" w:hAnsi="Times New Roman" w:cs="Times New Roman"/>
          <w:i/>
          <w:iCs/>
          <w:sz w:val="24"/>
          <w:szCs w:val="24"/>
        </w:rPr>
        <w:t>t-th</w:t>
      </w:r>
      <w:r w:rsidRPr="00C95A56">
        <w:rPr>
          <w:rFonts w:ascii="Times New Roman" w:hAnsi="Times New Roman" w:cs="Times New Roman"/>
          <w:sz w:val="24"/>
          <w:szCs w:val="24"/>
        </w:rPr>
        <w:t xml:space="preserve"> decision tree in the ensemble.</w:t>
      </w:r>
    </w:p>
    <w:p w14:paraId="3DA102A5" w14:textId="74E09BCA" w:rsidR="00BF6161" w:rsidRPr="00C95A56" w:rsidRDefault="004877BE" w:rsidP="00C95A56">
      <w:pPr>
        <w:pStyle w:val="ListParagraph"/>
        <w:numPr>
          <w:ilvl w:val="0"/>
          <w:numId w:val="11"/>
        </w:numPr>
        <w:spacing w:line="360" w:lineRule="auto"/>
        <w:jc w:val="both"/>
        <w:rPr>
          <w:rFonts w:ascii="Times New Roman" w:hAnsi="Times New Roman" w:cs="Times New Roman"/>
          <w:sz w:val="24"/>
          <w:szCs w:val="24"/>
        </w:rPr>
      </w:pPr>
      <m:oMath>
        <m:r>
          <w:rPr>
            <w:rFonts w:ascii="Cambria Math" w:hAnsi="Cambria Math" w:cs="Times New Roman"/>
            <w:sz w:val="24"/>
            <w:szCs w:val="24"/>
          </w:rPr>
          <m:t>T=50</m:t>
        </m:r>
      </m:oMath>
      <w:r w:rsidRPr="00C95A56">
        <w:rPr>
          <w:rFonts w:ascii="Times New Roman" w:hAnsi="Times New Roman" w:cs="Times New Roman"/>
          <w:sz w:val="24"/>
          <w:szCs w:val="24"/>
        </w:rPr>
        <w:t xml:space="preserve"> is the number of decision trees used in the Random Forest</w:t>
      </w:r>
      <w:r w:rsidR="002A26AD" w:rsidRPr="00C95A56">
        <w:rPr>
          <w:rFonts w:ascii="Times New Roman" w:hAnsi="Times New Roman" w:cs="Times New Roman"/>
          <w:sz w:val="24"/>
          <w:szCs w:val="24"/>
        </w:rPr>
        <w:t>, chosen to balance computational efficiency and robustness.</w:t>
      </w:r>
    </w:p>
    <w:p w14:paraId="1C77ACFC" w14:textId="67C591BC" w:rsidR="004877BE" w:rsidRPr="00C95A56" w:rsidRDefault="002A26AD" w:rsidP="00C95A56">
      <w:pPr>
        <w:pStyle w:val="ListParagraph"/>
        <w:numPr>
          <w:ilvl w:val="0"/>
          <w:numId w:val="11"/>
        </w:numPr>
        <w:spacing w:line="360" w:lineRule="auto"/>
        <w:jc w:val="both"/>
        <w:rPr>
          <w:rFonts w:ascii="Times New Roman" w:hAnsi="Times New Roman" w:cs="Times New Roman"/>
          <w:sz w:val="24"/>
          <w:szCs w:val="24"/>
        </w:rPr>
      </w:pPr>
      <m:oMath>
        <m:r>
          <w:rPr>
            <w:rFonts w:ascii="Cambria Math" w:hAnsi="Cambria Math" w:cs="Times New Roman"/>
            <w:sz w:val="24"/>
            <w:szCs w:val="24"/>
          </w:rPr>
          <m:t>mode</m:t>
        </m:r>
      </m:oMath>
      <w:r w:rsidRPr="00C95A56">
        <w:rPr>
          <w:rFonts w:ascii="Times New Roman" w:hAnsi="Times New Roman" w:cs="Times New Roman"/>
          <w:sz w:val="24"/>
          <w:szCs w:val="24"/>
        </w:rPr>
        <w:t xml:space="preserve"> represents the majority voting function, selecting the most frequently predicted class among all trees.</w:t>
      </w:r>
    </w:p>
    <w:p w14:paraId="1A221CAD" w14:textId="570DF4AD" w:rsidR="002A26AD" w:rsidRPr="00C95A56" w:rsidRDefault="002A26AD" w:rsidP="00C95A56">
      <w:pPr>
        <w:spacing w:line="360" w:lineRule="auto"/>
        <w:jc w:val="both"/>
        <w:rPr>
          <w:rFonts w:ascii="Times New Roman" w:hAnsi="Times New Roman" w:cs="Times New Roman"/>
          <w:b/>
          <w:bCs/>
          <w:sz w:val="24"/>
          <w:szCs w:val="24"/>
        </w:rPr>
      </w:pPr>
      <w:r w:rsidRPr="00C95A56">
        <w:rPr>
          <w:rFonts w:ascii="Times New Roman" w:hAnsi="Times New Roman" w:cs="Times New Roman"/>
          <w:b/>
          <w:bCs/>
          <w:sz w:val="24"/>
          <w:szCs w:val="24"/>
        </w:rPr>
        <w:t>Historical Land Cover Classification</w:t>
      </w:r>
    </w:p>
    <w:p w14:paraId="6FBEF0D1" w14:textId="77777777" w:rsidR="002A26AD" w:rsidRPr="00C95A56" w:rsidRDefault="002A26AD" w:rsidP="00C95A56">
      <w:pPr>
        <w:spacing w:line="360" w:lineRule="auto"/>
        <w:jc w:val="both"/>
        <w:rPr>
          <w:rFonts w:ascii="Times New Roman" w:hAnsi="Times New Roman" w:cs="Times New Roman"/>
          <w:sz w:val="24"/>
          <w:szCs w:val="24"/>
        </w:rPr>
      </w:pPr>
    </w:p>
    <w:p w14:paraId="2E7FB798" w14:textId="56D45C7D" w:rsidR="002A26AD" w:rsidRPr="00C95A56" w:rsidRDefault="002A26AD"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For 1994-2003, the Landsat 5 median composite is classified using the RF model trained on 2003 GCPs (</w:t>
      </w:r>
      <w:proofErr w:type="gramStart"/>
      <w:r w:rsidRPr="00C95A56">
        <w:rPr>
          <w:rFonts w:ascii="Times New Roman" w:hAnsi="Times New Roman" w:cs="Times New Roman"/>
          <w:sz w:val="24"/>
          <w:szCs w:val="24"/>
        </w:rPr>
        <w:t>urban2003</w:t>
      </w:r>
      <w:proofErr w:type="gramEnd"/>
      <w:r w:rsidRPr="00C95A56">
        <w:rPr>
          <w:rFonts w:ascii="Times New Roman" w:hAnsi="Times New Roman" w:cs="Times New Roman"/>
          <w:sz w:val="24"/>
          <w:szCs w:val="24"/>
        </w:rPr>
        <w:t>, bare2003, water2003, vegetation2003), assigning pixels to Urban (0), Bare (1), Water (2), or Vegetation (3) via the majority vote from 50 trees. Validation employs a confusion matrix, with overall accuracy calculated as</w:t>
      </w:r>
      <w:r w:rsidRPr="00C95A56">
        <w:rPr>
          <w:rFonts w:ascii="Times New Roman" w:hAnsi="Times New Roman" w:cs="Times New Roman"/>
          <w:sz w:val="24"/>
          <w:szCs w:val="24"/>
        </w:rPr>
        <w:t>:</w:t>
      </w:r>
    </w:p>
    <w:p w14:paraId="3F4CFACD" w14:textId="0E48341E" w:rsidR="002A26AD" w:rsidRPr="00C95A56" w:rsidRDefault="002A26AD" w:rsidP="00C95A56">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Overal Accuracy=</m:t>
          </m:r>
          <m:f>
            <m:fPr>
              <m:ctrlPr>
                <w:rPr>
                  <w:rFonts w:ascii="Cambria Math" w:hAnsi="Cambria Math" w:cs="Times New Roman"/>
                  <w:i/>
                  <w:sz w:val="24"/>
                  <w:szCs w:val="24"/>
                </w:rPr>
              </m:ctrlPr>
            </m:fPr>
            <m:num>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3</m:t>
                  </m:r>
                </m:sup>
                <m:e>
                  <m:sSub>
                    <m:sSubPr>
                      <m:ctrlPr>
                        <w:rPr>
                          <w:rFonts w:ascii="Cambria Math" w:hAnsi="Cambria Math" w:cs="Times New Roman"/>
                          <w:i/>
                          <w:sz w:val="24"/>
                          <w:szCs w:val="24"/>
                        </w:rPr>
                      </m:ctrlPr>
                    </m:sSubPr>
                    <m:e>
                      <m:r>
                        <w:rPr>
                          <w:rFonts w:ascii="Cambria Math" w:hAnsi="Cambria Math" w:cs="Times New Roman"/>
                          <w:sz w:val="24"/>
                          <w:szCs w:val="24"/>
                        </w:rPr>
                        <m:t>True Positives</m:t>
                      </m:r>
                    </m:e>
                    <m:sub>
                      <m:r>
                        <w:rPr>
                          <w:rFonts w:ascii="Cambria Math" w:hAnsi="Cambria Math" w:cs="Times New Roman"/>
                          <w:sz w:val="24"/>
                          <w:szCs w:val="24"/>
                        </w:rPr>
                        <m:t>i</m:t>
                      </m:r>
                    </m:sub>
                  </m:sSub>
                </m:e>
              </m:nary>
            </m:num>
            <m:den>
              <m:r>
                <w:rPr>
                  <w:rFonts w:ascii="Cambria Math" w:hAnsi="Cambria Math" w:cs="Times New Roman"/>
                  <w:sz w:val="24"/>
                  <w:szCs w:val="24"/>
                </w:rPr>
                <m:t>Total Number of Pixels in Validation Set</m:t>
              </m:r>
            </m:den>
          </m:f>
        </m:oMath>
      </m:oMathPara>
    </w:p>
    <w:p w14:paraId="725A27B7" w14:textId="096412CE" w:rsidR="002A26AD" w:rsidRPr="00C95A56" w:rsidRDefault="002A26AD"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1ED70D5C" w14:textId="77777777" w:rsidR="002A26AD" w:rsidRPr="00BF6161" w:rsidRDefault="002A26AD" w:rsidP="00C95A56">
      <w:pPr>
        <w:spacing w:line="360" w:lineRule="auto"/>
        <w:jc w:val="both"/>
        <w:rPr>
          <w:rFonts w:ascii="Times New Roman" w:hAnsi="Times New Roman" w:cs="Times New Roman"/>
          <w:sz w:val="24"/>
          <w:szCs w:val="24"/>
        </w:rPr>
      </w:pPr>
    </w:p>
    <w:p w14:paraId="1796F0B8" w14:textId="6870173F" w:rsidR="00BF6161" w:rsidRPr="00C95A56" w:rsidRDefault="002A26AD" w:rsidP="00C95A56">
      <w:pPr>
        <w:pStyle w:val="ListParagraph"/>
        <w:numPr>
          <w:ilvl w:val="0"/>
          <w:numId w:val="14"/>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True Positives</m:t>
            </m:r>
          </m:e>
          <m:sub>
            <m:r>
              <w:rPr>
                <w:rFonts w:ascii="Cambria Math" w:hAnsi="Cambria Math" w:cs="Times New Roman"/>
                <w:sz w:val="24"/>
                <w:szCs w:val="24"/>
              </w:rPr>
              <m:t>i</m:t>
            </m:r>
          </m:sub>
        </m:sSub>
      </m:oMath>
      <w:r w:rsidRPr="00C95A56">
        <w:rPr>
          <w:rFonts w:ascii="Times New Roman" w:hAnsi="Times New Roman" w:cs="Times New Roman"/>
          <w:sz w:val="24"/>
          <w:szCs w:val="24"/>
        </w:rPr>
        <w:t xml:space="preserve"> is the number of pi</w:t>
      </w:r>
      <w:proofErr w:type="spellStart"/>
      <w:r w:rsidRPr="00C95A56">
        <w:rPr>
          <w:rFonts w:ascii="Times New Roman" w:hAnsi="Times New Roman" w:cs="Times New Roman"/>
          <w:sz w:val="24"/>
          <w:szCs w:val="24"/>
        </w:rPr>
        <w:t>xels</w:t>
      </w:r>
      <w:proofErr w:type="spellEnd"/>
      <w:r w:rsidRPr="00C95A56">
        <w:rPr>
          <w:rFonts w:ascii="Times New Roman" w:hAnsi="Times New Roman" w:cs="Times New Roman"/>
          <w:sz w:val="24"/>
          <w:szCs w:val="24"/>
        </w:rPr>
        <w:t xml:space="preserve"> correctly classified as class (</w:t>
      </w:r>
      <w:proofErr w:type="spellStart"/>
      <w:r w:rsidRPr="00C95A56">
        <w:rPr>
          <w:rFonts w:ascii="Times New Roman" w:hAnsi="Times New Roman" w:cs="Times New Roman"/>
          <w:sz w:val="24"/>
          <w:szCs w:val="24"/>
        </w:rPr>
        <w:t>i</w:t>
      </w:r>
      <w:proofErr w:type="spellEnd"/>
      <w:r w:rsidRPr="00C95A56">
        <w:rPr>
          <w:rFonts w:ascii="Times New Roman" w:hAnsi="Times New Roman" w:cs="Times New Roman"/>
          <w:sz w:val="24"/>
          <w:szCs w:val="24"/>
        </w:rPr>
        <w:t>) in a withheld validation subset (for instance 20% of GCPs),</w:t>
      </w:r>
    </w:p>
    <w:p w14:paraId="2F651243" w14:textId="5B19303E" w:rsidR="002A26AD" w:rsidRPr="00C95A56" w:rsidRDefault="002A26AD" w:rsidP="00C95A56">
      <w:pPr>
        <w:pStyle w:val="ListParagraph"/>
        <w:numPr>
          <w:ilvl w:val="0"/>
          <w:numId w:val="14"/>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The denominator, </w:t>
      </w:r>
      <m:oMath>
        <m:r>
          <w:rPr>
            <w:rFonts w:ascii="Cambria Math" w:hAnsi="Cambria Math" w:cs="Times New Roman"/>
            <w:sz w:val="24"/>
            <w:szCs w:val="24"/>
          </w:rPr>
          <m:t>Total Number of Pixels in Validation Set</m:t>
        </m:r>
      </m:oMath>
      <w:r w:rsidRPr="00C95A56">
        <w:rPr>
          <w:rFonts w:ascii="Times New Roman" w:hAnsi="Times New Roman" w:cs="Times New Roman"/>
          <w:sz w:val="24"/>
          <w:szCs w:val="24"/>
        </w:rPr>
        <w:t xml:space="preserve"> is the total number of validation pixels, providing a measure of classification rel</w:t>
      </w:r>
      <w:proofErr w:type="spellStart"/>
      <w:r w:rsidRPr="00C95A56">
        <w:rPr>
          <w:rFonts w:ascii="Times New Roman" w:hAnsi="Times New Roman" w:cs="Times New Roman"/>
          <w:sz w:val="24"/>
          <w:szCs w:val="24"/>
        </w:rPr>
        <w:t>iability</w:t>
      </w:r>
      <w:proofErr w:type="spellEnd"/>
      <w:r w:rsidRPr="00C95A56">
        <w:rPr>
          <w:rFonts w:ascii="Times New Roman" w:hAnsi="Times New Roman" w:cs="Times New Roman"/>
          <w:sz w:val="24"/>
          <w:szCs w:val="24"/>
        </w:rPr>
        <w:t>.</w:t>
      </w:r>
    </w:p>
    <w:p w14:paraId="2D244965" w14:textId="7B4CAB8C" w:rsidR="002A26AD" w:rsidRPr="00C95A56" w:rsidRDefault="002A26AD"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For 2004-2013</w:t>
      </w:r>
      <w:r w:rsidR="00A45494" w:rsidRPr="00C95A56">
        <w:rPr>
          <w:rFonts w:ascii="Times New Roman" w:hAnsi="Times New Roman" w:cs="Times New Roman"/>
          <w:sz w:val="24"/>
          <w:szCs w:val="24"/>
        </w:rPr>
        <w:t xml:space="preserve"> and 2014-2023</w:t>
      </w:r>
      <w:r w:rsidRPr="00C95A56">
        <w:rPr>
          <w:rFonts w:ascii="Times New Roman" w:hAnsi="Times New Roman" w:cs="Times New Roman"/>
          <w:sz w:val="24"/>
          <w:szCs w:val="24"/>
        </w:rPr>
        <w:t xml:space="preserve">, the Landsat 7 composite is classified using </w:t>
      </w:r>
      <w:proofErr w:type="gramStart"/>
      <w:r w:rsidRPr="00C95A56">
        <w:rPr>
          <w:rFonts w:ascii="Times New Roman" w:hAnsi="Times New Roman" w:cs="Times New Roman"/>
          <w:sz w:val="24"/>
          <w:szCs w:val="24"/>
        </w:rPr>
        <w:t>urban2013</w:t>
      </w:r>
      <w:proofErr w:type="gramEnd"/>
      <w:r w:rsidRPr="00C95A56">
        <w:rPr>
          <w:rFonts w:ascii="Times New Roman" w:hAnsi="Times New Roman" w:cs="Times New Roman"/>
          <w:sz w:val="24"/>
          <w:szCs w:val="24"/>
        </w:rPr>
        <w:t xml:space="preserve"> and 2003 GCPs for non-urban classes, </w:t>
      </w:r>
      <w:r w:rsidR="00A45494" w:rsidRPr="00C95A56">
        <w:rPr>
          <w:rFonts w:ascii="Times New Roman" w:hAnsi="Times New Roman" w:cs="Times New Roman"/>
          <w:sz w:val="24"/>
          <w:szCs w:val="24"/>
        </w:rPr>
        <w:t xml:space="preserve">adapting to recent changes while </w:t>
      </w:r>
      <w:r w:rsidRPr="00C95A56">
        <w:rPr>
          <w:rFonts w:ascii="Times New Roman" w:hAnsi="Times New Roman" w:cs="Times New Roman"/>
          <w:sz w:val="24"/>
          <w:szCs w:val="24"/>
        </w:rPr>
        <w:t xml:space="preserve">retraining the RF model to reflect urban expansion. </w:t>
      </w:r>
    </w:p>
    <w:p w14:paraId="020BF31D" w14:textId="77777777" w:rsidR="00A45494" w:rsidRPr="00C95A56" w:rsidRDefault="00A45494" w:rsidP="00C95A56">
      <w:pPr>
        <w:spacing w:line="360" w:lineRule="auto"/>
        <w:jc w:val="both"/>
        <w:rPr>
          <w:rFonts w:ascii="Times New Roman" w:hAnsi="Times New Roman" w:cs="Times New Roman"/>
          <w:sz w:val="24"/>
          <w:szCs w:val="24"/>
        </w:rPr>
      </w:pPr>
    </w:p>
    <w:p w14:paraId="352270FF" w14:textId="6CCDFEBF" w:rsidR="00A45494" w:rsidRPr="00C95A56" w:rsidRDefault="00A45494" w:rsidP="00C95A56">
      <w:pPr>
        <w:spacing w:line="360" w:lineRule="auto"/>
        <w:jc w:val="both"/>
        <w:rPr>
          <w:rFonts w:ascii="Times New Roman" w:hAnsi="Times New Roman" w:cs="Times New Roman"/>
          <w:b/>
          <w:bCs/>
          <w:sz w:val="24"/>
          <w:szCs w:val="24"/>
        </w:rPr>
      </w:pPr>
      <w:r w:rsidRPr="00C95A56">
        <w:rPr>
          <w:rFonts w:ascii="Times New Roman" w:hAnsi="Times New Roman" w:cs="Times New Roman"/>
          <w:b/>
          <w:bCs/>
          <w:sz w:val="24"/>
          <w:szCs w:val="24"/>
        </w:rPr>
        <w:t>Area Computation</w:t>
      </w:r>
    </w:p>
    <w:p w14:paraId="2AE24665" w14:textId="096D84D0" w:rsidR="00A45494" w:rsidRPr="00C95A56" w:rsidRDefault="00A45494"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lastRenderedPageBreak/>
        <w:t xml:space="preserve">Post-classification, areas are quantified in square kilometers. For each period, the area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oMath>
      <w:r w:rsidRPr="00C95A56">
        <w:rPr>
          <w:rFonts w:ascii="Times New Roman" w:hAnsi="Times New Roman" w:cs="Times New Roman"/>
          <w:sz w:val="24"/>
          <w:szCs w:val="24"/>
        </w:rPr>
        <w:t xml:space="preserve"> of class </w:t>
      </w:r>
      <w:r w:rsidRPr="00C95A56">
        <w:rPr>
          <w:rFonts w:ascii="Times New Roman" w:hAnsi="Times New Roman" w:cs="Times New Roman"/>
          <w:i/>
          <w:iCs/>
          <w:sz w:val="24"/>
          <w:szCs w:val="24"/>
        </w:rPr>
        <w:t>(c)</w:t>
      </w:r>
      <w:r w:rsidRPr="00C95A56">
        <w:rPr>
          <w:rFonts w:ascii="Times New Roman" w:hAnsi="Times New Roman" w:cs="Times New Roman"/>
          <w:sz w:val="24"/>
          <w:szCs w:val="24"/>
        </w:rPr>
        <w:t xml:space="preserve"> is calculated as:</w:t>
      </w:r>
    </w:p>
    <w:p w14:paraId="1B93243C" w14:textId="3C8BC7E0" w:rsidR="00A45494" w:rsidRPr="00C95A56" w:rsidRDefault="00B57603" w:rsidP="00C95A56">
      <w:pPr>
        <w:spacing w:line="36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Pixel Count</m:t>
              </m:r>
            </m:e>
            <m:sub>
              <m:r>
                <w:rPr>
                  <w:rFonts w:ascii="Cambria Math" w:hAnsi="Cambria Math" w:cs="Times New Roman"/>
                  <w:sz w:val="24"/>
                  <w:szCs w:val="24"/>
                </w:rPr>
                <m:t>c</m:t>
              </m:r>
            </m:sub>
          </m:sSub>
          <m:r>
            <w:rPr>
              <w:rFonts w:ascii="Cambria Math" w:hAnsi="Cambria Math" w:cs="Times New Roman"/>
              <w:sz w:val="24"/>
              <w:szCs w:val="24"/>
            </w:rPr>
            <m:t>*</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Pixel Resolution</m:t>
                  </m:r>
                </m:e>
                <m:sup>
                  <m:r>
                    <w:rPr>
                      <w:rFonts w:ascii="Cambria Math" w:hAnsi="Cambria Math" w:cs="Times New Roman"/>
                      <w:sz w:val="24"/>
                      <w:szCs w:val="24"/>
                    </w:rPr>
                    <m:t>2</m:t>
                  </m:r>
                </m:sup>
              </m:sSup>
              <m:r>
                <w:rPr>
                  <w:rFonts w:ascii="Cambria Math" w:hAnsi="Cambria Math" w:cs="Times New Roman"/>
                  <w:sz w:val="24"/>
                  <w:szCs w:val="24"/>
                </w:rPr>
                <m:t>/1,000,000</m:t>
              </m:r>
            </m:e>
          </m:d>
        </m:oMath>
      </m:oMathPara>
    </w:p>
    <w:p w14:paraId="092223CB" w14:textId="3A9A0A67" w:rsidR="00C95A56" w:rsidRPr="00C95A56" w:rsidRDefault="00C95A56" w:rsidP="00C95A56">
      <w:pPr>
        <w:spacing w:line="360" w:lineRule="auto"/>
        <w:jc w:val="both"/>
        <w:rPr>
          <w:rFonts w:ascii="Times New Roman" w:hAnsi="Times New Roman" w:cs="Times New Roman"/>
          <w:sz w:val="24"/>
          <w:szCs w:val="24"/>
        </w:rPr>
      </w:pPr>
      <w:r>
        <w:rPr>
          <w:rFonts w:ascii="Times New Roman" w:hAnsi="Times New Roman" w:cs="Times New Roman"/>
          <w:sz w:val="24"/>
          <w:szCs w:val="24"/>
        </w:rPr>
        <w:t>Where:</w:t>
      </w:r>
    </w:p>
    <w:p w14:paraId="2FFA28EB" w14:textId="54F72B5F" w:rsidR="00B57603" w:rsidRPr="00C95A56" w:rsidRDefault="00B57603" w:rsidP="00C95A56">
      <w:pPr>
        <w:pStyle w:val="ListParagraph"/>
        <w:numPr>
          <w:ilvl w:val="0"/>
          <w:numId w:val="15"/>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Pixel Count</m:t>
            </m:r>
          </m:e>
          <m:sub>
            <m:r>
              <w:rPr>
                <w:rFonts w:ascii="Cambria Math" w:hAnsi="Cambria Math" w:cs="Times New Roman"/>
                <w:sz w:val="24"/>
                <w:szCs w:val="24"/>
              </w:rPr>
              <m:t>c</m:t>
            </m:r>
          </m:sub>
        </m:sSub>
      </m:oMath>
      <w:r w:rsidRPr="00C95A56">
        <w:rPr>
          <w:rFonts w:ascii="Times New Roman" w:hAnsi="Times New Roman" w:cs="Times New Roman"/>
          <w:sz w:val="24"/>
          <w:szCs w:val="24"/>
        </w:rPr>
        <w:t xml:space="preserve"> is the number of pixels classified as class (c), </w:t>
      </w:r>
    </w:p>
    <w:p w14:paraId="3EA353C4" w14:textId="667426BA" w:rsidR="00B57603" w:rsidRPr="00C95A56" w:rsidRDefault="00B57603" w:rsidP="00C95A56">
      <w:pPr>
        <w:pStyle w:val="ListParagraph"/>
        <w:numPr>
          <w:ilvl w:val="0"/>
          <w:numId w:val="15"/>
        </w:numPr>
        <w:spacing w:line="360" w:lineRule="auto"/>
        <w:jc w:val="both"/>
        <w:rPr>
          <w:rFonts w:ascii="Times New Roman" w:hAnsi="Times New Roman" w:cs="Times New Roman"/>
          <w:sz w:val="24"/>
          <w:szCs w:val="24"/>
        </w:rPr>
      </w:pPr>
      <m:oMath>
        <m:r>
          <w:rPr>
            <w:rFonts w:ascii="Cambria Math" w:hAnsi="Cambria Math" w:cs="Times New Roman"/>
            <w:sz w:val="24"/>
            <w:szCs w:val="24"/>
          </w:rPr>
          <m:t>Pixel Resolution</m:t>
        </m:r>
      </m:oMath>
      <w:r w:rsidRPr="00C95A56">
        <w:rPr>
          <w:rFonts w:ascii="Times New Roman" w:hAnsi="Times New Roman" w:cs="Times New Roman"/>
          <w:sz w:val="24"/>
          <w:szCs w:val="24"/>
        </w:rPr>
        <w:t xml:space="preserve"> = 30m (Landsat’s spatial resolution),</w:t>
      </w:r>
    </w:p>
    <w:p w14:paraId="222AFEAC" w14:textId="3E653E73" w:rsidR="00B57603" w:rsidRPr="00C95A56" w:rsidRDefault="00B57603" w:rsidP="00C95A56">
      <w:pPr>
        <w:pStyle w:val="ListParagraph"/>
        <w:numPr>
          <w:ilvl w:val="0"/>
          <w:numId w:val="15"/>
        </w:numPr>
        <w:spacing w:line="360" w:lineRule="auto"/>
        <w:jc w:val="both"/>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Pixel Resolution</m:t>
            </m:r>
          </m:e>
          <m:sup>
            <m:r>
              <w:rPr>
                <w:rFonts w:ascii="Cambria Math" w:hAnsi="Cambria Math" w:cs="Times New Roman"/>
                <w:sz w:val="24"/>
                <w:szCs w:val="24"/>
              </w:rPr>
              <m:t>2</m:t>
            </m:r>
          </m:sup>
        </m:sSup>
      </m:oMath>
      <w:r w:rsidRPr="00C95A56">
        <w:rPr>
          <w:rFonts w:ascii="Times New Roman" w:hAnsi="Times New Roman" w:cs="Times New Roman"/>
          <w:sz w:val="24"/>
          <w:szCs w:val="24"/>
        </w:rPr>
        <w:t xml:space="preserve"> = 30*30=900m</w:t>
      </w:r>
      <w:r w:rsidRPr="00C95A56">
        <w:rPr>
          <w:rFonts w:ascii="Times New Roman" w:hAnsi="Times New Roman" w:cs="Times New Roman"/>
          <w:sz w:val="24"/>
          <w:szCs w:val="24"/>
          <w:vertAlign w:val="superscript"/>
        </w:rPr>
        <w:t>2</w:t>
      </w:r>
      <w:r w:rsidRPr="00C95A56">
        <w:rPr>
          <w:rFonts w:ascii="Times New Roman" w:hAnsi="Times New Roman" w:cs="Times New Roman"/>
          <w:sz w:val="24"/>
          <w:szCs w:val="24"/>
        </w:rPr>
        <w:t xml:space="preserve"> and </w:t>
      </w:r>
      <w:r w:rsidR="008C4606" w:rsidRPr="00C95A56">
        <w:rPr>
          <w:rFonts w:ascii="Times New Roman" w:hAnsi="Times New Roman" w:cs="Times New Roman"/>
          <w:sz w:val="24"/>
          <w:szCs w:val="24"/>
        </w:rPr>
        <w:t>divided</w:t>
      </w:r>
      <w:r w:rsidRPr="00C95A56">
        <w:rPr>
          <w:rFonts w:ascii="Times New Roman" w:hAnsi="Times New Roman" w:cs="Times New Roman"/>
          <w:sz w:val="24"/>
          <w:szCs w:val="24"/>
        </w:rPr>
        <w:t xml:space="preserve"> by 1,000,000 </w:t>
      </w:r>
      <w:proofErr w:type="gramStart"/>
      <w:r w:rsidRPr="00C95A56">
        <w:rPr>
          <w:rFonts w:ascii="Times New Roman" w:hAnsi="Times New Roman" w:cs="Times New Roman"/>
          <w:sz w:val="24"/>
          <w:szCs w:val="24"/>
        </w:rPr>
        <w:t>converts</w:t>
      </w:r>
      <w:proofErr w:type="gramEnd"/>
      <w:r w:rsidRPr="00C95A56">
        <w:rPr>
          <w:rFonts w:ascii="Times New Roman" w:hAnsi="Times New Roman" w:cs="Times New Roman"/>
          <w:sz w:val="24"/>
          <w:szCs w:val="24"/>
        </w:rPr>
        <w:t xml:space="preserve"> square meters to square kilometer, yielding 0.0009 km</w:t>
      </w:r>
      <w:r w:rsidRPr="00C95A56">
        <w:rPr>
          <w:rFonts w:ascii="Times New Roman" w:hAnsi="Times New Roman" w:cs="Times New Roman"/>
          <w:sz w:val="24"/>
          <w:szCs w:val="24"/>
          <w:vertAlign w:val="superscript"/>
        </w:rPr>
        <w:t>2</w:t>
      </w:r>
      <w:r w:rsidRPr="00C95A56">
        <w:rPr>
          <w:rFonts w:ascii="Times New Roman" w:hAnsi="Times New Roman" w:cs="Times New Roman"/>
          <w:sz w:val="24"/>
          <w:szCs w:val="24"/>
        </w:rPr>
        <w:t xml:space="preserve"> per pixel.</w:t>
      </w:r>
    </w:p>
    <w:p w14:paraId="7B840D82" w14:textId="35695FBF" w:rsidR="00B57603" w:rsidRPr="00C95A56" w:rsidRDefault="00B57603"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Thus, </w:t>
      </w:r>
      <w:proofErr w:type="gramStart"/>
      <w:r w:rsidR="008C4606" w:rsidRPr="00C95A56">
        <w:rPr>
          <w:rFonts w:ascii="Times New Roman" w:hAnsi="Times New Roman" w:cs="Times New Roman"/>
          <w:sz w:val="24"/>
          <w:szCs w:val="24"/>
        </w:rPr>
        <w:t>in order to</w:t>
      </w:r>
      <w:proofErr w:type="gramEnd"/>
      <w:r w:rsidR="008C4606" w:rsidRPr="00C95A56">
        <w:rPr>
          <w:rFonts w:ascii="Times New Roman" w:hAnsi="Times New Roman" w:cs="Times New Roman"/>
          <w:sz w:val="24"/>
          <w:szCs w:val="24"/>
        </w:rPr>
        <w:t xml:space="preserve"> ensure consistency with the ROI’s total area while establishing a baseline for trend analysis, </w:t>
      </w:r>
      <w:r w:rsidRPr="00C95A56">
        <w:rPr>
          <w:rFonts w:ascii="Times New Roman" w:hAnsi="Times New Roman" w:cs="Times New Roman"/>
          <w:sz w:val="24"/>
          <w:szCs w:val="24"/>
        </w:rPr>
        <w:t xml:space="preserve">the equation simplifies </w:t>
      </w:r>
      <w:proofErr w:type="gramStart"/>
      <w:r w:rsidRPr="00C95A56">
        <w:rPr>
          <w:rFonts w:ascii="Times New Roman" w:hAnsi="Times New Roman" w:cs="Times New Roman"/>
          <w:sz w:val="24"/>
          <w:szCs w:val="24"/>
        </w:rPr>
        <w:t>to</w:t>
      </w:r>
      <w:proofErr w:type="gramEnd"/>
      <w:r w:rsidRPr="00C95A56">
        <w:rPr>
          <w:rFonts w:ascii="Times New Roman" w:hAnsi="Times New Roman" w:cs="Times New Roman"/>
          <w:sz w:val="24"/>
          <w:szCs w:val="24"/>
        </w:rPr>
        <w:t>:</w:t>
      </w:r>
    </w:p>
    <w:p w14:paraId="3F3A2CCE" w14:textId="3D17D175" w:rsidR="008C4606" w:rsidRPr="00C95A56" w:rsidRDefault="008C4606" w:rsidP="00C95A56">
      <w:pPr>
        <w:spacing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Pixel Count</m:t>
              </m:r>
            </m:e>
            <m:sub>
              <m:r>
                <w:rPr>
                  <w:rFonts w:ascii="Cambria Math" w:hAnsi="Cambria Math" w:cs="Times New Roman"/>
                  <w:sz w:val="24"/>
                  <w:szCs w:val="24"/>
                </w:rPr>
                <m:t>c</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0.0009km</m:t>
              </m:r>
            </m:e>
            <m:sup>
              <m:r>
                <w:rPr>
                  <w:rFonts w:ascii="Cambria Math" w:hAnsi="Cambria Math" w:cs="Times New Roman"/>
                  <w:sz w:val="24"/>
                  <w:szCs w:val="24"/>
                </w:rPr>
                <m:t>2</m:t>
              </m:r>
            </m:sup>
          </m:sSup>
        </m:oMath>
      </m:oMathPara>
    </w:p>
    <w:p w14:paraId="674EF248" w14:textId="5D0375DE" w:rsidR="008C4606" w:rsidRPr="00C95A56" w:rsidRDefault="008C4606" w:rsidP="00C95A56">
      <w:pPr>
        <w:spacing w:line="360" w:lineRule="auto"/>
        <w:jc w:val="both"/>
        <w:rPr>
          <w:rFonts w:ascii="Times New Roman" w:hAnsi="Times New Roman" w:cs="Times New Roman"/>
          <w:b/>
          <w:bCs/>
          <w:sz w:val="24"/>
          <w:szCs w:val="24"/>
        </w:rPr>
      </w:pPr>
      <w:r w:rsidRPr="00C95A56">
        <w:rPr>
          <w:rFonts w:ascii="Times New Roman" w:hAnsi="Times New Roman" w:cs="Times New Roman"/>
          <w:b/>
          <w:bCs/>
          <w:sz w:val="24"/>
          <w:szCs w:val="24"/>
        </w:rPr>
        <w:t>Prediction of Land Cover (2024-2033)</w:t>
      </w:r>
    </w:p>
    <w:p w14:paraId="345AE559" w14:textId="3F8E7971" w:rsidR="008C4606" w:rsidRPr="00C95A56" w:rsidRDefault="00FB6E3F"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Future land cover for 2024-2033 is predicted by extrapolating spectral and area trends based on the full historical dataset from 1994 to 2023, incorporating data points from 2003 (1994-2003 composite), 2013 (2004-2013 composite), and 2023 (2014-2023 composite). To simplify, the annual spectral change rate per band is computed across the 20-year span from 2003 to 2023:</w:t>
      </w:r>
    </w:p>
    <w:p w14:paraId="12C5547B" w14:textId="2141FC98" w:rsidR="00B57603" w:rsidRPr="00C95A56" w:rsidRDefault="00B57603"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vertAlign w:val="superscript"/>
        </w:rPr>
        <w:t xml:space="preserve"> </w:t>
      </w:r>
    </w:p>
    <w:p w14:paraId="6A75A98E" w14:textId="3BF97A89" w:rsidR="0063357B" w:rsidRPr="00C95A56" w:rsidRDefault="00B57603" w:rsidP="00C95A56">
      <w:pPr>
        <w:spacing w:line="360" w:lineRule="auto"/>
        <w:jc w:val="both"/>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Δ</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band</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2023,  band</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20</m:t>
                  </m:r>
                  <m:r>
                    <w:rPr>
                      <w:rFonts w:ascii="Cambria Math" w:hAnsi="Cambria Math" w:cs="Times New Roman"/>
                      <w:sz w:val="24"/>
                      <w:szCs w:val="24"/>
                    </w:rPr>
                    <m:t>03</m:t>
                  </m:r>
                  <m:r>
                    <w:rPr>
                      <w:rFonts w:ascii="Cambria Math" w:hAnsi="Cambria Math" w:cs="Times New Roman"/>
                      <w:sz w:val="24"/>
                      <w:szCs w:val="24"/>
                    </w:rPr>
                    <m:t>, band</m:t>
                  </m:r>
                </m:sub>
              </m:sSub>
            </m:num>
            <m:den>
              <m:r>
                <w:rPr>
                  <w:rFonts w:ascii="Cambria Math" w:hAnsi="Cambria Math" w:cs="Times New Roman"/>
                  <w:sz w:val="24"/>
                  <w:szCs w:val="24"/>
                </w:rPr>
                <m:t>20</m:t>
              </m:r>
            </m:den>
          </m:f>
        </m:oMath>
      </m:oMathPara>
    </w:p>
    <w:p w14:paraId="36555C94" w14:textId="2DC6D6EC" w:rsidR="00FB6E3F" w:rsidRPr="00C95A56" w:rsidRDefault="00FB6E3F"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5D404DE5" w14:textId="77777777" w:rsidR="00C95A56" w:rsidRPr="00C95A56" w:rsidRDefault="00FB6E3F" w:rsidP="00C95A56">
      <w:pPr>
        <w:pStyle w:val="ListParagraph"/>
        <w:numPr>
          <w:ilvl w:val="0"/>
          <w:numId w:val="16"/>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year</m:t>
            </m:r>
            <m:r>
              <w:rPr>
                <w:rFonts w:ascii="Cambria Math" w:hAnsi="Cambria Math" w:cs="Times New Roman"/>
                <w:sz w:val="24"/>
                <w:szCs w:val="24"/>
              </w:rPr>
              <m:t>,  band</m:t>
            </m:r>
          </m:sub>
        </m:sSub>
      </m:oMath>
      <w:r w:rsidRPr="00C95A56">
        <w:rPr>
          <w:rFonts w:ascii="Times New Roman" w:hAnsi="Times New Roman" w:cs="Times New Roman"/>
          <w:sz w:val="24"/>
          <w:szCs w:val="24"/>
        </w:rPr>
        <w:t xml:space="preserve"> is the </w:t>
      </w:r>
      <w:r w:rsidRPr="00C95A56">
        <w:rPr>
          <w:rFonts w:ascii="Times New Roman" w:hAnsi="Times New Roman" w:cs="Times New Roman"/>
          <w:sz w:val="24"/>
          <w:szCs w:val="24"/>
        </w:rPr>
        <w:t xml:space="preserve">median value of the specified band (e.g., SR_B1) in the composite for the respective period, and </w:t>
      </w:r>
    </w:p>
    <w:p w14:paraId="2C27696C" w14:textId="7F04265A" w:rsidR="00C95A56" w:rsidRPr="00C95A56" w:rsidRDefault="00FB6E3F" w:rsidP="00C95A56">
      <w:pPr>
        <w:pStyle w:val="ListParagraph"/>
        <w:numPr>
          <w:ilvl w:val="0"/>
          <w:numId w:val="16"/>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20 is the number of years from 2003 to 2023, providing a straightforward annual change rate. </w:t>
      </w:r>
    </w:p>
    <w:p w14:paraId="7DC241A1" w14:textId="204FB033" w:rsidR="00FB6E3F" w:rsidRPr="00C95A56" w:rsidRDefault="00FB6E3F"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A simulated 2033 composite is generated by applying this rate forward from 2023</w:t>
      </w:r>
      <w:r w:rsidRPr="00C95A56">
        <w:rPr>
          <w:rFonts w:ascii="Times New Roman" w:hAnsi="Times New Roman" w:cs="Times New Roman"/>
          <w:sz w:val="24"/>
          <w:szCs w:val="24"/>
        </w:rPr>
        <w:t>:</w:t>
      </w:r>
    </w:p>
    <w:p w14:paraId="3A637C09" w14:textId="77777777" w:rsidR="00FB6E3F" w:rsidRPr="00C95A56" w:rsidRDefault="00FB6E3F" w:rsidP="00C95A56">
      <w:pPr>
        <w:spacing w:line="360" w:lineRule="auto"/>
        <w:jc w:val="both"/>
        <w:rPr>
          <w:rFonts w:ascii="Times New Roman" w:hAnsi="Times New Roman" w:cs="Times New Roman"/>
          <w:sz w:val="24"/>
          <w:szCs w:val="24"/>
        </w:rPr>
      </w:pPr>
    </w:p>
    <w:p w14:paraId="0B6E3442" w14:textId="30267F55" w:rsidR="00FB6E3F" w:rsidRPr="00C95A56" w:rsidRDefault="00FB6E3F" w:rsidP="00C95A56">
      <w:pPr>
        <w:spacing w:line="36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2033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2023,band</m:t>
              </m:r>
            </m:sub>
          </m:sSub>
          <m: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Δ</m:t>
                  </m:r>
                  <m:r>
                    <w:rPr>
                      <w:rFonts w:ascii="Cambria Math" w:hAnsi="Cambria Math" w:cs="Times New Roman"/>
                      <w:sz w:val="24"/>
                      <w:szCs w:val="24"/>
                    </w:rPr>
                    <m:t>S</m:t>
                  </m:r>
                </m:e>
                <m:sub>
                  <m:r>
                    <w:rPr>
                      <w:rFonts w:ascii="Cambria Math" w:hAnsi="Cambria Math" w:cs="Times New Roman"/>
                      <w:sz w:val="24"/>
                      <w:szCs w:val="24"/>
                    </w:rPr>
                    <m:t>band</m:t>
                  </m:r>
                </m:sub>
              </m:sSub>
              <m:r>
                <w:rPr>
                  <w:rFonts w:ascii="Cambria Math" w:hAnsi="Cambria Math" w:cs="Times New Roman"/>
                  <w:sz w:val="24"/>
                  <w:szCs w:val="24"/>
                </w:rPr>
                <m:t>*10</m:t>
              </m:r>
            </m:e>
          </m:d>
        </m:oMath>
      </m:oMathPara>
    </w:p>
    <w:p w14:paraId="35B8A358" w14:textId="4FB46E28" w:rsidR="00FB6E3F" w:rsidRPr="00C95A56" w:rsidRDefault="00FB6E3F"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0486724E" w14:textId="77777777" w:rsidR="00C95A56" w:rsidRPr="00C95A56" w:rsidRDefault="00FB6E3F" w:rsidP="00C95A56">
      <w:pPr>
        <w:pStyle w:val="ListParagraph"/>
        <w:numPr>
          <w:ilvl w:val="0"/>
          <w:numId w:val="17"/>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m:rPr>
                <m:sty m:val="p"/>
              </m:rPr>
              <w:rPr>
                <w:rFonts w:ascii="Cambria Math" w:hAnsi="Cambria Math" w:cs="Times New Roman"/>
                <w:sz w:val="24"/>
                <w:szCs w:val="24"/>
              </w:rPr>
              <m:t>Δ</m:t>
            </m:r>
            <m:r>
              <w:rPr>
                <w:rFonts w:ascii="Cambria Math" w:hAnsi="Cambria Math" w:cs="Times New Roman"/>
                <w:sz w:val="24"/>
                <w:szCs w:val="24"/>
              </w:rPr>
              <m:t>S</m:t>
            </m:r>
          </m:e>
          <m:sub>
            <m:r>
              <w:rPr>
                <w:rFonts w:ascii="Cambria Math" w:hAnsi="Cambria Math" w:cs="Times New Roman"/>
                <w:sz w:val="24"/>
                <w:szCs w:val="24"/>
              </w:rPr>
              <m:t>band</m:t>
            </m:r>
          </m:sub>
        </m:sSub>
        <m:r>
          <w:rPr>
            <w:rFonts w:ascii="Cambria Math" w:hAnsi="Cambria Math" w:cs="Times New Roman"/>
            <w:sz w:val="24"/>
            <w:szCs w:val="24"/>
          </w:rPr>
          <m:t>*10</m:t>
        </m:r>
      </m:oMath>
      <w:r w:rsidRPr="00C95A56">
        <w:rPr>
          <w:rFonts w:ascii="Times New Roman" w:hAnsi="Times New Roman" w:cs="Times New Roman"/>
          <w:sz w:val="24"/>
          <w:szCs w:val="24"/>
        </w:rPr>
        <w:t xml:space="preserve"> is the total change over the 10 years from 2023 to 2033, assuming a linear trend. </w:t>
      </w:r>
    </w:p>
    <w:p w14:paraId="1B22CA52" w14:textId="51AA1222" w:rsidR="00FB6E3F" w:rsidRPr="00C95A56" w:rsidRDefault="00FB6E3F"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lastRenderedPageBreak/>
        <w:t>This composite is classified using the RF model trained on 2014-2023 data, reflecting the most recent spectral characteristics and training points.</w:t>
      </w:r>
    </w:p>
    <w:p w14:paraId="4C97662D" w14:textId="75DE3E35" w:rsidR="00343284" w:rsidRPr="00C95A56" w:rsidRDefault="00FB6E3F"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For area prediction, a simplified linear growth rate is calculated based on the total change from 2003 to 2033</w:t>
      </w:r>
      <w:r w:rsidR="00343284" w:rsidRPr="00C95A56">
        <w:rPr>
          <w:rFonts w:ascii="Times New Roman" w:hAnsi="Times New Roman" w:cs="Times New Roman"/>
          <w:sz w:val="24"/>
          <w:szCs w:val="24"/>
        </w:rPr>
        <w:t xml:space="preserve"> as:</w:t>
      </w:r>
    </w:p>
    <w:p w14:paraId="6F430F8F" w14:textId="20BF3340" w:rsidR="00343284" w:rsidRPr="00C95A56" w:rsidRDefault="00343284" w:rsidP="00C95A56">
      <w:pPr>
        <w:spacing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c,2023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c,2003</m:t>
                  </m:r>
                </m:sub>
              </m:sSub>
            </m:num>
            <m:den>
              <m:r>
                <w:rPr>
                  <w:rFonts w:ascii="Cambria Math" w:hAnsi="Cambria Math" w:cs="Times New Roman"/>
                  <w:sz w:val="24"/>
                  <w:szCs w:val="24"/>
                </w:rPr>
                <m:t>20</m:t>
              </m:r>
            </m:den>
          </m:f>
        </m:oMath>
      </m:oMathPara>
    </w:p>
    <w:p w14:paraId="5D8D0074" w14:textId="1E64B339" w:rsidR="00343284" w:rsidRPr="00C95A56" w:rsidRDefault="00343284"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5CC95BA4" w14:textId="3EBC0113" w:rsidR="00343284" w:rsidRPr="00C95A56" w:rsidRDefault="00343284" w:rsidP="00C95A56">
      <w:pPr>
        <w:pStyle w:val="ListParagraph"/>
        <w:numPr>
          <w:ilvl w:val="0"/>
          <w:numId w:val="17"/>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c,20</m:t>
            </m:r>
            <m:r>
              <w:rPr>
                <w:rFonts w:ascii="Cambria Math" w:hAnsi="Cambria Math" w:cs="Times New Roman"/>
                <w:sz w:val="24"/>
                <w:szCs w:val="24"/>
              </w:rPr>
              <m:t>0</m:t>
            </m:r>
            <m:r>
              <w:rPr>
                <w:rFonts w:ascii="Cambria Math" w:hAnsi="Cambria Math" w:cs="Times New Roman"/>
                <w:sz w:val="24"/>
                <w:szCs w:val="24"/>
              </w:rPr>
              <m:t>3</m:t>
            </m:r>
          </m:sub>
        </m:sSub>
      </m:oMath>
      <w:r w:rsidRPr="00C95A56">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c,2023</m:t>
            </m:r>
          </m:sub>
        </m:sSub>
      </m:oMath>
      <w:r w:rsidRPr="00C95A56">
        <w:rPr>
          <w:rFonts w:ascii="Times New Roman" w:hAnsi="Times New Roman" w:cs="Times New Roman"/>
          <w:sz w:val="24"/>
          <w:szCs w:val="24"/>
        </w:rPr>
        <w:t xml:space="preserve"> are areas of class (c) from the 1994-2003 and 2014-2023 classifications, and</w:t>
      </w:r>
    </w:p>
    <w:p w14:paraId="25735D5F" w14:textId="77777777" w:rsidR="00C95A56" w:rsidRDefault="00343284" w:rsidP="00C95A56">
      <w:pPr>
        <w:pStyle w:val="ListParagraph"/>
        <w:numPr>
          <w:ilvl w:val="0"/>
          <w:numId w:val="17"/>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20 is the number of years, giving the annual area change in km2. </w:t>
      </w:r>
    </w:p>
    <w:p w14:paraId="10218F07" w14:textId="0B9D1D22" w:rsidR="00343284" w:rsidRPr="00C95A56" w:rsidRDefault="00343284"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The predicted area for class (c) in year (t) (2024-2033) is then computed as:</w:t>
      </w:r>
    </w:p>
    <w:p w14:paraId="496826B0" w14:textId="102AC9BA" w:rsidR="00343284" w:rsidRPr="00C95A56" w:rsidRDefault="00343284" w:rsidP="00C95A56">
      <w:pPr>
        <w:spacing w:line="36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c,2023</m:t>
              </m:r>
            </m:sub>
          </m:sSub>
          <m: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t-2023</m:t>
                  </m:r>
                </m:e>
              </m:d>
            </m:e>
          </m:d>
        </m:oMath>
      </m:oMathPara>
    </w:p>
    <w:p w14:paraId="711DCBA5" w14:textId="7161B4C9" w:rsidR="00343284" w:rsidRPr="00C95A56" w:rsidRDefault="00343284"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5F8B05CE" w14:textId="77777777" w:rsidR="00343284" w:rsidRPr="00C95A56" w:rsidRDefault="00343284" w:rsidP="00C95A56">
      <w:pPr>
        <w:spacing w:line="360" w:lineRule="auto"/>
        <w:jc w:val="both"/>
        <w:rPr>
          <w:rFonts w:ascii="Times New Roman" w:hAnsi="Times New Roman" w:cs="Times New Roman"/>
          <w:sz w:val="24"/>
          <w:szCs w:val="24"/>
        </w:rPr>
      </w:pPr>
    </w:p>
    <w:p w14:paraId="16819F2F" w14:textId="0218F83D" w:rsidR="00343284" w:rsidRPr="00C95A56" w:rsidRDefault="00343284" w:rsidP="00C95A56">
      <w:pPr>
        <w:pStyle w:val="ListParagraph"/>
        <w:numPr>
          <w:ilvl w:val="0"/>
          <w:numId w:val="12"/>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c,2023</m:t>
            </m:r>
          </m:sub>
        </m:sSub>
      </m:oMath>
      <w:r w:rsidRPr="00C95A56">
        <w:rPr>
          <w:rFonts w:ascii="Times New Roman" w:hAnsi="Times New Roman" w:cs="Times New Roman"/>
          <w:sz w:val="24"/>
          <w:szCs w:val="24"/>
        </w:rPr>
        <w:t xml:space="preserve"> is the area in 2023,</w:t>
      </w:r>
    </w:p>
    <w:p w14:paraId="4CFFFC09" w14:textId="77777777" w:rsidR="00343284" w:rsidRPr="00C95A56" w:rsidRDefault="00343284" w:rsidP="00C95A56">
      <w:pPr>
        <w:pStyle w:val="ListParagraph"/>
        <w:numPr>
          <w:ilvl w:val="0"/>
          <w:numId w:val="12"/>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m:t>
            </m:r>
          </m:sub>
        </m:sSub>
      </m:oMath>
      <w:r w:rsidRPr="00C95A56">
        <w:rPr>
          <w:rFonts w:ascii="Times New Roman" w:hAnsi="Times New Roman" w:cs="Times New Roman"/>
          <w:sz w:val="24"/>
          <w:szCs w:val="24"/>
        </w:rPr>
        <w:t xml:space="preserve"> is the annual area change, and</w:t>
      </w:r>
    </w:p>
    <w:p w14:paraId="12F98A06" w14:textId="6ADA1FB9" w:rsidR="00343284" w:rsidRPr="00C95A56" w:rsidRDefault="00343284" w:rsidP="00C95A56">
      <w:pPr>
        <w:pStyle w:val="ListParagraph"/>
        <w:numPr>
          <w:ilvl w:val="0"/>
          <w:numId w:val="12"/>
        </w:numPr>
        <w:spacing w:line="360" w:lineRule="auto"/>
        <w:jc w:val="both"/>
        <w:rPr>
          <w:rFonts w:ascii="Times New Roman" w:hAnsi="Times New Roman" w:cs="Times New Roman"/>
          <w:sz w:val="24"/>
          <w:szCs w:val="24"/>
        </w:rPr>
      </w:pPr>
      <m:oMath>
        <m:r>
          <w:rPr>
            <w:rFonts w:ascii="Cambria Math" w:hAnsi="Cambria Math" w:cs="Times New Roman"/>
            <w:sz w:val="24"/>
            <w:szCs w:val="24"/>
          </w:rPr>
          <m:t>t</m:t>
        </m:r>
        <m:r>
          <w:rPr>
            <w:rFonts w:ascii="Cambria Math" w:hAnsi="Cambria Math" w:cs="Times New Roman"/>
            <w:sz w:val="24"/>
            <w:szCs w:val="24"/>
          </w:rPr>
          <m:t>-2023</m:t>
        </m:r>
      </m:oMath>
      <w:r w:rsidRPr="00C95A56">
        <w:rPr>
          <w:rFonts w:ascii="Times New Roman" w:hAnsi="Times New Roman" w:cs="Times New Roman"/>
          <w:sz w:val="24"/>
          <w:szCs w:val="24"/>
        </w:rPr>
        <w:t xml:space="preserve"> is the number of years from 2023 to (t) (for instance 1 for 2024, 10 for 2033), providing a linear year-by-year projection to 2033.</w:t>
      </w:r>
    </w:p>
    <w:p w14:paraId="2B59FA82" w14:textId="77777777" w:rsidR="0019640C" w:rsidRPr="00C95A56" w:rsidRDefault="0019640C" w:rsidP="00C95A56">
      <w:pPr>
        <w:spacing w:line="360" w:lineRule="auto"/>
        <w:jc w:val="both"/>
        <w:rPr>
          <w:rFonts w:ascii="Times New Roman" w:hAnsi="Times New Roman" w:cs="Times New Roman"/>
          <w:sz w:val="24"/>
          <w:szCs w:val="24"/>
        </w:rPr>
      </w:pPr>
    </w:p>
    <w:p w14:paraId="3002B720" w14:textId="08F449C5" w:rsidR="0019640C" w:rsidRPr="00C95A56" w:rsidRDefault="0019640C" w:rsidP="00C95A56">
      <w:pPr>
        <w:spacing w:line="360" w:lineRule="auto"/>
        <w:jc w:val="both"/>
        <w:rPr>
          <w:rFonts w:ascii="Times New Roman" w:hAnsi="Times New Roman" w:cs="Times New Roman"/>
          <w:b/>
          <w:bCs/>
          <w:sz w:val="24"/>
          <w:szCs w:val="24"/>
        </w:rPr>
      </w:pPr>
      <w:r w:rsidRPr="00C95A56">
        <w:rPr>
          <w:rFonts w:ascii="Times New Roman" w:hAnsi="Times New Roman" w:cs="Times New Roman"/>
          <w:b/>
          <w:bCs/>
          <w:sz w:val="24"/>
          <w:szCs w:val="24"/>
        </w:rPr>
        <w:t>Evaluation Metric</w:t>
      </w:r>
    </w:p>
    <w:p w14:paraId="1D06CA65" w14:textId="77777777" w:rsidR="0019640C" w:rsidRPr="00C95A56" w:rsidRDefault="0019640C"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The performance of the Random Forest classifier is evaluated using a confusion matrix, a widely used metric in classification tasks to assess accuracy and error rates. In this project, the confusion matrix is generated within GEE to validate the classifications for each period (1994-2003, 2004-2013, 2014-2023) against ground truth data from GCPs. It provides a tabular summary of predicted versus actual class labels, enabling the calculation of overall accuracy and per-class performance.</w:t>
      </w:r>
    </w:p>
    <w:p w14:paraId="6574BCBC" w14:textId="3D289954" w:rsidR="0019640C" w:rsidRPr="00C95A56" w:rsidRDefault="0019640C" w:rsidP="00C95A56">
      <w:pPr>
        <w:spacing w:line="360" w:lineRule="auto"/>
        <w:jc w:val="both"/>
        <w:rPr>
          <w:rFonts w:ascii="Times New Roman" w:hAnsi="Times New Roman" w:cs="Times New Roman"/>
          <w:sz w:val="24"/>
          <w:szCs w:val="24"/>
        </w:rPr>
      </w:pPr>
      <w:r w:rsidRPr="00C95A56">
        <w:rPr>
          <w:rFonts w:ascii="Times New Roman" w:hAnsi="Times New Roman" w:cs="Times New Roman"/>
          <w:b/>
          <w:bCs/>
          <w:sz w:val="24"/>
          <w:szCs w:val="24"/>
        </w:rPr>
        <w:t>Definition:</w:t>
      </w:r>
      <w:r w:rsidRPr="00C95A56">
        <w:rPr>
          <w:rFonts w:ascii="Times New Roman" w:hAnsi="Times New Roman" w:cs="Times New Roman"/>
          <w:sz w:val="24"/>
          <w:szCs w:val="24"/>
        </w:rPr>
        <w:t xml:space="preserve"> For the four land cover classes (Urban </w:t>
      </w:r>
      <w:hyperlink w:anchor="ref[0]" w:history="1">
        <w:r w:rsidRPr="00C81EC5">
          <w:rPr>
            <w:rStyle w:val="Hyperlink"/>
            <w:rFonts w:ascii="Times New Roman" w:hAnsi="Times New Roman" w:cs="Times New Roman"/>
            <w:sz w:val="24"/>
            <w:szCs w:val="24"/>
          </w:rPr>
          <w:t>[0]</w:t>
        </w:r>
      </w:hyperlink>
      <w:r w:rsidRPr="00C95A56">
        <w:rPr>
          <w:rFonts w:ascii="Times New Roman" w:hAnsi="Times New Roman" w:cs="Times New Roman"/>
          <w:sz w:val="24"/>
          <w:szCs w:val="24"/>
        </w:rPr>
        <w:t>, Bare [1], Water [2], Vegetation [3]), the confusion matrix is a 4x4 table where rows represent actual classes (from validation GCPs</w:t>
      </w:r>
      <w:proofErr w:type="gramStart"/>
      <w:r w:rsidRPr="00C95A56">
        <w:rPr>
          <w:rFonts w:ascii="Times New Roman" w:hAnsi="Times New Roman" w:cs="Times New Roman"/>
          <w:sz w:val="24"/>
          <w:szCs w:val="24"/>
        </w:rPr>
        <w:t>)</w:t>
      </w:r>
      <w:proofErr w:type="gramEnd"/>
      <w:r w:rsidRPr="00C95A56">
        <w:rPr>
          <w:rFonts w:ascii="Times New Roman" w:hAnsi="Times New Roman" w:cs="Times New Roman"/>
          <w:sz w:val="24"/>
          <w:szCs w:val="24"/>
        </w:rPr>
        <w:t xml:space="preserve"> and columns represent predicted classes (from the RF classifier). Each cell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oMath>
      <w:r w:rsidRPr="00C95A56">
        <w:rPr>
          <w:rFonts w:ascii="Times New Roman" w:hAnsi="Times New Roman" w:cs="Times New Roman"/>
          <w:sz w:val="24"/>
          <w:szCs w:val="24"/>
        </w:rPr>
        <w:t xml:space="preserve"> contains the number of pixels where the actual class is (</w:t>
      </w:r>
      <w:proofErr w:type="spellStart"/>
      <w:r w:rsidRPr="00C95A56">
        <w:rPr>
          <w:rFonts w:ascii="Times New Roman" w:hAnsi="Times New Roman" w:cs="Times New Roman"/>
          <w:sz w:val="24"/>
          <w:szCs w:val="24"/>
        </w:rPr>
        <w:t>i</w:t>
      </w:r>
      <w:proofErr w:type="spellEnd"/>
      <w:r w:rsidRPr="00C95A56">
        <w:rPr>
          <w:rFonts w:ascii="Times New Roman" w:hAnsi="Times New Roman" w:cs="Times New Roman"/>
          <w:sz w:val="24"/>
          <w:szCs w:val="24"/>
        </w:rPr>
        <w:t>) and the predicted class is (j). Diagonal elements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r>
              <w:rPr>
                <w:rFonts w:ascii="Cambria Math" w:hAnsi="Cambria Math" w:cs="Times New Roman"/>
                <w:sz w:val="24"/>
                <w:szCs w:val="24"/>
              </w:rPr>
              <m:t>i</m:t>
            </m:r>
          </m:sub>
        </m:sSub>
      </m:oMath>
      <w:r w:rsidRPr="00C95A56">
        <w:rPr>
          <w:rFonts w:ascii="Times New Roman" w:hAnsi="Times New Roman" w:cs="Times New Roman"/>
          <w:sz w:val="24"/>
          <w:szCs w:val="24"/>
        </w:rPr>
        <w:t>) are correct predictions (true positives), while the off-diagonal elements are misclassifications. This is represented by:</w:t>
      </w:r>
    </w:p>
    <w:p w14:paraId="34CA4D24" w14:textId="352D5E04" w:rsidR="0019640C" w:rsidRPr="00C95A56" w:rsidRDefault="0019640C" w:rsidP="00C95A56">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w:lastRenderedPageBreak/>
            <m:t>Overal Accuracy=</m:t>
          </m:r>
          <m:f>
            <m:fPr>
              <m:ctrlPr>
                <w:rPr>
                  <w:rFonts w:ascii="Cambria Math" w:hAnsi="Cambria Math" w:cs="Times New Roman"/>
                  <w:i/>
                  <w:sz w:val="24"/>
                  <w:szCs w:val="24"/>
                </w:rPr>
              </m:ctrlPr>
            </m:fPr>
            <m:num>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m:t>
                  </m:r>
                </m:sub>
                <m:sup>
                  <m:r>
                    <w:rPr>
                      <w:rFonts w:ascii="Cambria Math" w:hAnsi="Cambria Math" w:cs="Times New Roman"/>
                      <w:sz w:val="24"/>
                      <w:szCs w:val="24"/>
                    </w:rPr>
                    <m:t>3</m:t>
                  </m:r>
                </m:sup>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ii</m:t>
                      </m:r>
                    </m:sub>
                  </m:sSub>
                </m:e>
              </m:nary>
            </m:num>
            <m:den>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3</m:t>
                  </m:r>
                </m:sup>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j=0</m:t>
                      </m:r>
                    </m:sub>
                    <m:sup>
                      <m:r>
                        <w:rPr>
                          <w:rFonts w:ascii="Cambria Math" w:hAnsi="Cambria Math" w:cs="Times New Roman"/>
                          <w:sz w:val="24"/>
                          <w:szCs w:val="24"/>
                        </w:rPr>
                        <m:t>3</m:t>
                      </m:r>
                    </m:sup>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e>
                  </m:nary>
                </m:e>
              </m:nary>
            </m:den>
          </m:f>
        </m:oMath>
      </m:oMathPara>
    </w:p>
    <w:p w14:paraId="2D2F377A" w14:textId="23ACFAAC" w:rsidR="003D3E96" w:rsidRPr="00C95A56" w:rsidRDefault="003D3E96"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6C6703D2" w14:textId="233B1A8F" w:rsidR="003D3E96" w:rsidRPr="00C95A56" w:rsidRDefault="003D3E96" w:rsidP="00C95A56">
      <w:pPr>
        <w:pStyle w:val="ListParagraph"/>
        <w:numPr>
          <w:ilvl w:val="0"/>
          <w:numId w:val="18"/>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r>
              <w:rPr>
                <w:rFonts w:ascii="Cambria Math" w:hAnsi="Cambria Math" w:cs="Times New Roman"/>
                <w:sz w:val="24"/>
                <w:szCs w:val="24"/>
              </w:rPr>
              <m:t>i</m:t>
            </m:r>
          </m:sub>
        </m:sSub>
      </m:oMath>
      <w:r w:rsidRPr="00C95A56">
        <w:rPr>
          <w:rFonts w:ascii="Times New Roman" w:hAnsi="Times New Roman" w:cs="Times New Roman"/>
          <w:sz w:val="24"/>
          <w:szCs w:val="24"/>
        </w:rPr>
        <w:t>is the number of true positives for class (</w:t>
      </w:r>
      <w:proofErr w:type="spellStart"/>
      <w:r w:rsidRPr="00C95A56">
        <w:rPr>
          <w:rFonts w:ascii="Times New Roman" w:hAnsi="Times New Roman" w:cs="Times New Roman"/>
          <w:sz w:val="24"/>
          <w:szCs w:val="24"/>
        </w:rPr>
        <w:t>i</w:t>
      </w:r>
      <w:proofErr w:type="spellEnd"/>
      <w:r w:rsidRPr="00C95A56">
        <w:rPr>
          <w:rFonts w:ascii="Times New Roman" w:hAnsi="Times New Roman" w:cs="Times New Roman"/>
          <w:sz w:val="24"/>
          <w:szCs w:val="24"/>
        </w:rPr>
        <w:t>) – diagonal elements, and</w:t>
      </w:r>
    </w:p>
    <w:p w14:paraId="1B81433E" w14:textId="5B569674" w:rsidR="0019640C" w:rsidRPr="00C95A56" w:rsidRDefault="003D3E96" w:rsidP="00C95A56">
      <w:pPr>
        <w:pStyle w:val="ListParagraph"/>
        <w:numPr>
          <w:ilvl w:val="0"/>
          <w:numId w:val="18"/>
        </w:numPr>
        <w:spacing w:line="360" w:lineRule="auto"/>
        <w:jc w:val="both"/>
        <w:rPr>
          <w:rFonts w:ascii="Times New Roman" w:hAnsi="Times New Roman" w:cs="Times New Roman"/>
          <w:sz w:val="24"/>
          <w:szCs w:val="24"/>
        </w:rPr>
      </w:pP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3</m:t>
            </m:r>
          </m:sup>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j=0</m:t>
                </m:r>
              </m:sub>
              <m:sup>
                <m:r>
                  <w:rPr>
                    <w:rFonts w:ascii="Cambria Math" w:hAnsi="Cambria Math" w:cs="Times New Roman"/>
                    <w:sz w:val="24"/>
                    <w:szCs w:val="24"/>
                  </w:rPr>
                  <m:t>3</m:t>
                </m:r>
              </m:sup>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e>
            </m:nary>
          </m:e>
        </m:nary>
      </m:oMath>
      <w:r w:rsidRPr="00C95A56">
        <w:rPr>
          <w:rFonts w:ascii="Times New Roman" w:hAnsi="Times New Roman" w:cs="Times New Roman"/>
          <w:sz w:val="24"/>
          <w:szCs w:val="24"/>
        </w:rPr>
        <w:t xml:space="preserve"> is the </w:t>
      </w:r>
      <w:r w:rsidR="00C95A56" w:rsidRPr="00C95A56">
        <w:rPr>
          <w:rFonts w:ascii="Times New Roman" w:hAnsi="Times New Roman" w:cs="Times New Roman"/>
          <w:sz w:val="24"/>
          <w:szCs w:val="24"/>
        </w:rPr>
        <w:t>total number of pixels in the validation set (sum of all matrix elements).</w:t>
      </w:r>
    </w:p>
    <w:p w14:paraId="66E8C8B4" w14:textId="77777777" w:rsidR="00343284" w:rsidRPr="00C95A56" w:rsidRDefault="00343284" w:rsidP="00C95A56">
      <w:pPr>
        <w:spacing w:line="360" w:lineRule="auto"/>
        <w:jc w:val="both"/>
        <w:rPr>
          <w:rFonts w:ascii="Times New Roman" w:hAnsi="Times New Roman" w:cs="Times New Roman"/>
          <w:sz w:val="24"/>
          <w:szCs w:val="24"/>
        </w:rPr>
      </w:pPr>
    </w:p>
    <w:p w14:paraId="334AF050" w14:textId="77777777" w:rsidR="00343284" w:rsidRPr="00C95A56" w:rsidRDefault="00343284" w:rsidP="00C95A56">
      <w:pPr>
        <w:spacing w:line="360" w:lineRule="auto"/>
        <w:jc w:val="both"/>
        <w:rPr>
          <w:rFonts w:ascii="Times New Roman" w:hAnsi="Times New Roman" w:cs="Times New Roman"/>
          <w:b/>
          <w:bCs/>
          <w:sz w:val="24"/>
          <w:szCs w:val="24"/>
        </w:rPr>
      </w:pPr>
      <w:r w:rsidRPr="00C95A56">
        <w:rPr>
          <w:rFonts w:ascii="Times New Roman" w:hAnsi="Times New Roman" w:cs="Times New Roman"/>
          <w:b/>
          <w:bCs/>
          <w:sz w:val="24"/>
          <w:szCs w:val="24"/>
        </w:rPr>
        <w:t>Visualizations and Further Processing</w:t>
      </w:r>
    </w:p>
    <w:p w14:paraId="1761867A" w14:textId="232B54C6" w:rsidR="00343284" w:rsidRPr="00C95A56" w:rsidRDefault="00343284"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Initial </w:t>
      </w:r>
      <w:r w:rsidRPr="00C95A56">
        <w:rPr>
          <w:rFonts w:ascii="Times New Roman" w:hAnsi="Times New Roman" w:cs="Times New Roman"/>
          <w:sz w:val="24"/>
          <w:szCs w:val="24"/>
        </w:rPr>
        <w:t>visualizations</w:t>
      </w:r>
      <w:r w:rsidRPr="00C95A56">
        <w:rPr>
          <w:rFonts w:ascii="Times New Roman" w:hAnsi="Times New Roman" w:cs="Times New Roman"/>
          <w:sz w:val="24"/>
          <w:szCs w:val="24"/>
        </w:rPr>
        <w:t xml:space="preserve"> such as </w:t>
      </w:r>
      <w:r w:rsidRPr="00C95A56">
        <w:rPr>
          <w:rFonts w:ascii="Times New Roman" w:hAnsi="Times New Roman" w:cs="Times New Roman"/>
          <w:sz w:val="24"/>
          <w:szCs w:val="24"/>
        </w:rPr>
        <w:t>classified maps for 1994-2003, 2004-2013, 2014-2023, and 2024-2033, plus time series charts (2003-2033), bar and pie charts, and confusion matrices</w:t>
      </w:r>
      <w:r w:rsidRPr="00C95A56">
        <w:rPr>
          <w:rFonts w:ascii="Times New Roman" w:hAnsi="Times New Roman" w:cs="Times New Roman"/>
          <w:sz w:val="24"/>
          <w:szCs w:val="24"/>
        </w:rPr>
        <w:t xml:space="preserve"> </w:t>
      </w:r>
      <w:r w:rsidRPr="00C95A56">
        <w:rPr>
          <w:rFonts w:ascii="Times New Roman" w:hAnsi="Times New Roman" w:cs="Times New Roman"/>
          <w:sz w:val="24"/>
          <w:szCs w:val="24"/>
        </w:rPr>
        <w:t xml:space="preserve">are generated in GEE. For further processing and enhanced mapping, data is exported from GEE to Google Drive. Classified images are saved as </w:t>
      </w:r>
      <w:proofErr w:type="spellStart"/>
      <w:r w:rsidRPr="00C95A56">
        <w:rPr>
          <w:rFonts w:ascii="Times New Roman" w:hAnsi="Times New Roman" w:cs="Times New Roman"/>
          <w:sz w:val="24"/>
          <w:szCs w:val="24"/>
        </w:rPr>
        <w:t>GeoTIFFs</w:t>
      </w:r>
      <w:proofErr w:type="spellEnd"/>
      <w:r w:rsidRPr="00C95A56">
        <w:rPr>
          <w:rFonts w:ascii="Times New Roman" w:hAnsi="Times New Roman" w:cs="Times New Roman"/>
          <w:sz w:val="24"/>
          <w:szCs w:val="24"/>
        </w:rPr>
        <w:t xml:space="preserve"> (e.g., Collection_1994_2003.tif), preserving the 30 m resolution and class values (0-3). GCPs are exported as Shapefiles (e.g., GCPs_2003.shp) for reference, and area statistics and chart data are saved as CSVs. </w:t>
      </w:r>
      <w:r w:rsidR="003B550A" w:rsidRPr="00C95A56">
        <w:rPr>
          <w:rFonts w:ascii="Times New Roman" w:hAnsi="Times New Roman" w:cs="Times New Roman"/>
          <w:sz w:val="24"/>
          <w:szCs w:val="24"/>
        </w:rPr>
        <w:t>Further processing to generate visualization map files are done using QGIS.</w:t>
      </w:r>
    </w:p>
    <w:p w14:paraId="0A3F1779" w14:textId="77777777" w:rsidR="003B550A" w:rsidRPr="00C95A56" w:rsidRDefault="003B550A" w:rsidP="00C95A56">
      <w:pPr>
        <w:spacing w:line="360" w:lineRule="auto"/>
        <w:jc w:val="both"/>
        <w:rPr>
          <w:rFonts w:ascii="Times New Roman" w:hAnsi="Times New Roman" w:cs="Times New Roman"/>
          <w:sz w:val="24"/>
          <w:szCs w:val="24"/>
        </w:rPr>
      </w:pPr>
    </w:p>
    <w:p w14:paraId="5286D794" w14:textId="13A11A7A" w:rsidR="003B550A" w:rsidRPr="00C95A56" w:rsidRDefault="003B550A"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Software and Applications</w:t>
      </w:r>
    </w:p>
    <w:p w14:paraId="3B5E634C" w14:textId="77777777" w:rsidR="003B550A" w:rsidRPr="00C95A56" w:rsidRDefault="003B550A" w:rsidP="00C95A56">
      <w:pPr>
        <w:spacing w:line="360" w:lineRule="auto"/>
        <w:jc w:val="both"/>
        <w:rPr>
          <w:rFonts w:ascii="Times New Roman" w:hAnsi="Times New Roman" w:cs="Times New Roman"/>
          <w:sz w:val="24"/>
          <w:szCs w:val="24"/>
        </w:rPr>
      </w:pPr>
      <w:r w:rsidRPr="003B550A">
        <w:rPr>
          <w:rFonts w:ascii="Times New Roman" w:hAnsi="Times New Roman" w:cs="Times New Roman"/>
          <w:sz w:val="24"/>
          <w:szCs w:val="24"/>
        </w:rPr>
        <w:t>This study employs a combination of software tools and programming languages to process satellite imagery, classify land cover, predict urban growth, and visualize results for Juba, South Sudan. The primary platforms used are Google Earth Engine (GEE) and QGIS, with JavaScript serving as the programming language within GEE. These tools facilitate data acquisition, preprocessing, classification, and visualization, ensuring a comprehensive workflow for urban growth prediction.</w:t>
      </w:r>
    </w:p>
    <w:p w14:paraId="671313CD" w14:textId="77777777" w:rsidR="003B550A" w:rsidRPr="003B550A" w:rsidRDefault="003B550A" w:rsidP="00C95A56">
      <w:pPr>
        <w:spacing w:line="360" w:lineRule="auto"/>
        <w:jc w:val="both"/>
        <w:rPr>
          <w:rFonts w:ascii="Times New Roman" w:hAnsi="Times New Roman" w:cs="Times New Roman"/>
          <w:sz w:val="24"/>
          <w:szCs w:val="24"/>
        </w:rPr>
      </w:pPr>
      <w:r w:rsidRPr="003B550A">
        <w:rPr>
          <w:rFonts w:ascii="Times New Roman" w:hAnsi="Times New Roman" w:cs="Times New Roman"/>
          <w:b/>
          <w:bCs/>
          <w:sz w:val="24"/>
          <w:szCs w:val="24"/>
        </w:rPr>
        <w:t>Google Earth Engine (GEE)</w:t>
      </w:r>
    </w:p>
    <w:p w14:paraId="61EB8ED0" w14:textId="23B0375F" w:rsidR="003B550A" w:rsidRPr="003B550A" w:rsidRDefault="003B550A" w:rsidP="00C95A56">
      <w:pPr>
        <w:spacing w:line="360" w:lineRule="auto"/>
        <w:jc w:val="both"/>
        <w:rPr>
          <w:rFonts w:ascii="Times New Roman" w:hAnsi="Times New Roman" w:cs="Times New Roman"/>
          <w:sz w:val="24"/>
          <w:szCs w:val="24"/>
        </w:rPr>
      </w:pPr>
      <w:r w:rsidRPr="003B550A">
        <w:rPr>
          <w:rFonts w:ascii="Times New Roman" w:hAnsi="Times New Roman" w:cs="Times New Roman"/>
          <w:sz w:val="24"/>
          <w:szCs w:val="24"/>
        </w:rPr>
        <w:t>GEE</w:t>
      </w:r>
      <w:r w:rsidRPr="00C95A56">
        <w:rPr>
          <w:rFonts w:ascii="Times New Roman" w:hAnsi="Times New Roman" w:cs="Times New Roman"/>
          <w:sz w:val="24"/>
          <w:szCs w:val="24"/>
        </w:rPr>
        <w:t xml:space="preserve">, as </w:t>
      </w:r>
      <w:r w:rsidRPr="003B550A">
        <w:rPr>
          <w:rFonts w:ascii="Times New Roman" w:hAnsi="Times New Roman" w:cs="Times New Roman"/>
          <w:sz w:val="24"/>
          <w:szCs w:val="24"/>
        </w:rPr>
        <w:t>a cloud-based geospatial processing platform</w:t>
      </w:r>
      <w:r w:rsidRPr="00C95A56">
        <w:rPr>
          <w:rFonts w:ascii="Times New Roman" w:hAnsi="Times New Roman" w:cs="Times New Roman"/>
          <w:sz w:val="24"/>
          <w:szCs w:val="24"/>
        </w:rPr>
        <w:t>, is</w:t>
      </w:r>
      <w:r w:rsidRPr="003B550A">
        <w:rPr>
          <w:rFonts w:ascii="Times New Roman" w:hAnsi="Times New Roman" w:cs="Times New Roman"/>
          <w:sz w:val="24"/>
          <w:szCs w:val="24"/>
        </w:rPr>
        <w:t xml:space="preserve"> designed for large-scale environmental data analysis. It provides access to extensive satellite imagery archives, including Landsat 5 and Landsat 7 data, used in this study. The platform supports data acquisition, preprocessing, classification using the Random Forest algorithm</w:t>
      </w:r>
      <w:r w:rsidRPr="00C95A56">
        <w:rPr>
          <w:rFonts w:ascii="Times New Roman" w:hAnsi="Times New Roman" w:cs="Times New Roman"/>
          <w:sz w:val="24"/>
          <w:szCs w:val="24"/>
        </w:rPr>
        <w:t xml:space="preserve"> (selected for this study)</w:t>
      </w:r>
      <w:r w:rsidRPr="003B550A">
        <w:rPr>
          <w:rFonts w:ascii="Times New Roman" w:hAnsi="Times New Roman" w:cs="Times New Roman"/>
          <w:sz w:val="24"/>
          <w:szCs w:val="24"/>
        </w:rPr>
        <w:t xml:space="preserve">, and visualization. It also offers preprocessing capabilities such as cloud and shadow masking, band scaling, and composite creation. The built-in Random Forest classifier is used for land cover classification and prediction, and results are visualized through maps, time series charts, and accuracy assessments. The GEE Code Editor, accessible via </w:t>
      </w:r>
      <w:hyperlink r:id="rId13" w:history="1">
        <w:r w:rsidRPr="00C95A56">
          <w:rPr>
            <w:rStyle w:val="Hyperlink"/>
            <w:rFonts w:ascii="Times New Roman" w:hAnsi="Times New Roman" w:cs="Times New Roman"/>
            <w:sz w:val="24"/>
            <w:szCs w:val="24"/>
          </w:rPr>
          <w:t>https://</w:t>
        </w:r>
        <w:r w:rsidRPr="003B550A">
          <w:rPr>
            <w:rStyle w:val="Hyperlink"/>
            <w:rFonts w:ascii="Times New Roman" w:hAnsi="Times New Roman" w:cs="Times New Roman"/>
            <w:sz w:val="24"/>
            <w:szCs w:val="24"/>
          </w:rPr>
          <w:t>code.earthengine.google.com</w:t>
        </w:r>
      </w:hyperlink>
      <w:r w:rsidRPr="003B550A">
        <w:rPr>
          <w:rFonts w:ascii="Times New Roman" w:hAnsi="Times New Roman" w:cs="Times New Roman"/>
          <w:sz w:val="24"/>
          <w:szCs w:val="24"/>
        </w:rPr>
        <w:t xml:space="preserve">, serves as the development </w:t>
      </w:r>
      <w:r w:rsidRPr="003B550A">
        <w:rPr>
          <w:rFonts w:ascii="Times New Roman" w:hAnsi="Times New Roman" w:cs="Times New Roman"/>
          <w:sz w:val="24"/>
          <w:szCs w:val="24"/>
        </w:rPr>
        <w:lastRenderedPageBreak/>
        <w:t xml:space="preserve">environment where the project script </w:t>
      </w:r>
      <w:r w:rsidRPr="00C95A56">
        <w:rPr>
          <w:rFonts w:ascii="Times New Roman" w:hAnsi="Times New Roman" w:cs="Times New Roman"/>
          <w:sz w:val="24"/>
          <w:szCs w:val="24"/>
        </w:rPr>
        <w:t>was</w:t>
      </w:r>
      <w:r w:rsidRPr="003B550A">
        <w:rPr>
          <w:rFonts w:ascii="Times New Roman" w:hAnsi="Times New Roman" w:cs="Times New Roman"/>
          <w:sz w:val="24"/>
          <w:szCs w:val="24"/>
        </w:rPr>
        <w:t xml:space="preserve"> written and managed, with integration to Google Drive for exporting processed outputs.</w:t>
      </w:r>
    </w:p>
    <w:p w14:paraId="464402CD" w14:textId="77777777" w:rsidR="003B550A" w:rsidRPr="003B550A" w:rsidRDefault="003B550A" w:rsidP="00C95A56">
      <w:pPr>
        <w:spacing w:line="360" w:lineRule="auto"/>
        <w:jc w:val="both"/>
        <w:rPr>
          <w:rFonts w:ascii="Times New Roman" w:hAnsi="Times New Roman" w:cs="Times New Roman"/>
          <w:sz w:val="24"/>
          <w:szCs w:val="24"/>
        </w:rPr>
      </w:pPr>
    </w:p>
    <w:p w14:paraId="62708EF6" w14:textId="77777777" w:rsidR="003B550A" w:rsidRPr="00C95A56" w:rsidRDefault="003B550A"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JavaScript in GEE</w:t>
      </w:r>
    </w:p>
    <w:p w14:paraId="13294F88" w14:textId="77777777" w:rsidR="003B550A" w:rsidRPr="00C95A56" w:rsidRDefault="003B550A" w:rsidP="00C95A56">
      <w:pPr>
        <w:spacing w:line="360" w:lineRule="auto"/>
        <w:jc w:val="both"/>
        <w:rPr>
          <w:rFonts w:ascii="Times New Roman" w:hAnsi="Times New Roman" w:cs="Times New Roman"/>
          <w:sz w:val="24"/>
          <w:szCs w:val="24"/>
        </w:rPr>
      </w:pPr>
    </w:p>
    <w:p w14:paraId="32DCD7EB" w14:textId="77777777" w:rsidR="003B550A" w:rsidRPr="00C95A56" w:rsidRDefault="003B550A"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JavaScript is the primary scripting language for implementing the methodology in GEE. It enables the definition of functions, data handling, and algorithm implementation. Custom functions are written for image preprocessing, cloud masking, classification, and area computation. The language facilitates the loading of Landsat imagery, filtering by date and region of interest, and managing training data as feature collections. JavaScript commands allow seamless export of classified images and tabular data to Google Drive, while the GEE Earth Engine API supports efficient geospatial processing.</w:t>
      </w:r>
    </w:p>
    <w:p w14:paraId="5D541F19" w14:textId="77777777" w:rsidR="003B550A" w:rsidRPr="00C95A56" w:rsidRDefault="003B550A" w:rsidP="00C95A56">
      <w:pPr>
        <w:spacing w:line="360" w:lineRule="auto"/>
        <w:jc w:val="both"/>
        <w:rPr>
          <w:rFonts w:ascii="Times New Roman" w:hAnsi="Times New Roman" w:cs="Times New Roman"/>
          <w:sz w:val="24"/>
          <w:szCs w:val="24"/>
        </w:rPr>
      </w:pPr>
    </w:p>
    <w:p w14:paraId="7F39DBEB" w14:textId="77777777" w:rsidR="003B550A" w:rsidRPr="00C95A56" w:rsidRDefault="003B550A"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Random Forest in GEE</w:t>
      </w:r>
    </w:p>
    <w:p w14:paraId="69B6BE67" w14:textId="77777777" w:rsidR="003B550A" w:rsidRPr="00C95A56" w:rsidRDefault="003B550A" w:rsidP="00C95A56">
      <w:pPr>
        <w:spacing w:line="360" w:lineRule="auto"/>
        <w:jc w:val="both"/>
        <w:rPr>
          <w:rFonts w:ascii="Times New Roman" w:hAnsi="Times New Roman" w:cs="Times New Roman"/>
          <w:sz w:val="24"/>
          <w:szCs w:val="24"/>
        </w:rPr>
      </w:pPr>
    </w:p>
    <w:p w14:paraId="503E072F" w14:textId="22B37553" w:rsidR="003B550A" w:rsidRPr="00C95A56" w:rsidRDefault="003B550A"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The Random Forest (RF) classifier is integrated into GEE as part of its supervised classification tools under the </w:t>
      </w:r>
      <w:proofErr w:type="spellStart"/>
      <w:r w:rsidRPr="00C95A56">
        <w:rPr>
          <w:rFonts w:ascii="Times New Roman" w:hAnsi="Times New Roman" w:cs="Times New Roman"/>
          <w:sz w:val="24"/>
          <w:szCs w:val="24"/>
        </w:rPr>
        <w:t>ee.Classifier</w:t>
      </w:r>
      <w:proofErr w:type="spellEnd"/>
      <w:r w:rsidRPr="00C95A56">
        <w:rPr>
          <w:rFonts w:ascii="Times New Roman" w:hAnsi="Times New Roman" w:cs="Times New Roman"/>
          <w:sz w:val="24"/>
          <w:szCs w:val="24"/>
        </w:rPr>
        <w:t xml:space="preserve"> namespace. It is implemented using the SMILE (Statistical Machine Intelligence and Learning Engine) library and optimized for large-scale geospatial data analysis. The RF classifier is instantiated using JavaScript (</w:t>
      </w:r>
      <w:proofErr w:type="spellStart"/>
      <w:r w:rsidRPr="00C95A56">
        <w:rPr>
          <w:rFonts w:ascii="Times New Roman" w:hAnsi="Times New Roman" w:cs="Times New Roman"/>
          <w:sz w:val="24"/>
          <w:szCs w:val="24"/>
        </w:rPr>
        <w:t>ee.Classifier.smileRandomForest</w:t>
      </w:r>
      <w:proofErr w:type="spellEnd"/>
      <w:r w:rsidRPr="00C95A56">
        <w:rPr>
          <w:rFonts w:ascii="Times New Roman" w:hAnsi="Times New Roman" w:cs="Times New Roman"/>
          <w:sz w:val="24"/>
          <w:szCs w:val="24"/>
        </w:rPr>
        <w:t>(50)), where 50 decision trees balance accuracy and efficiency. Training data, consisting of labeled ground control points (GCPs), is used to train the classifier, which is then applied to median composites for historical periods and the predicted 2033 dataset. Validation is performed using confusion matrices to assess classification accuracy, and results are exported for further analysis.</w:t>
      </w:r>
    </w:p>
    <w:p w14:paraId="78DF0DEF" w14:textId="77777777" w:rsidR="0019640C" w:rsidRPr="0019640C" w:rsidRDefault="0019640C" w:rsidP="00C95A56">
      <w:pPr>
        <w:spacing w:line="360" w:lineRule="auto"/>
        <w:jc w:val="both"/>
        <w:rPr>
          <w:rFonts w:ascii="Times New Roman" w:hAnsi="Times New Roman" w:cs="Times New Roman"/>
          <w:sz w:val="24"/>
          <w:szCs w:val="24"/>
        </w:rPr>
      </w:pPr>
      <w:r w:rsidRPr="0019640C">
        <w:rPr>
          <w:rFonts w:ascii="Times New Roman" w:hAnsi="Times New Roman" w:cs="Times New Roman"/>
          <w:b/>
          <w:bCs/>
          <w:sz w:val="24"/>
          <w:szCs w:val="24"/>
        </w:rPr>
        <w:t>QGIS</w:t>
      </w:r>
    </w:p>
    <w:p w14:paraId="202694AB" w14:textId="77777777" w:rsidR="0019640C" w:rsidRPr="0019640C" w:rsidRDefault="0019640C" w:rsidP="00C95A56">
      <w:pPr>
        <w:spacing w:line="360" w:lineRule="auto"/>
        <w:jc w:val="both"/>
        <w:rPr>
          <w:rFonts w:ascii="Times New Roman" w:hAnsi="Times New Roman" w:cs="Times New Roman"/>
          <w:sz w:val="24"/>
          <w:szCs w:val="24"/>
        </w:rPr>
      </w:pPr>
      <w:r w:rsidRPr="0019640C">
        <w:rPr>
          <w:rFonts w:ascii="Times New Roman" w:hAnsi="Times New Roman" w:cs="Times New Roman"/>
          <w:sz w:val="24"/>
          <w:szCs w:val="24"/>
        </w:rPr>
        <w:t xml:space="preserve">QGIS is an open-source Geographic Information System (GIS) software used for advanced visualization and spatial analysis of the study’s outputs. It enables the import of </w:t>
      </w:r>
      <w:proofErr w:type="spellStart"/>
      <w:r w:rsidRPr="0019640C">
        <w:rPr>
          <w:rFonts w:ascii="Times New Roman" w:hAnsi="Times New Roman" w:cs="Times New Roman"/>
          <w:sz w:val="24"/>
          <w:szCs w:val="24"/>
        </w:rPr>
        <w:t>GeoTIFFs</w:t>
      </w:r>
      <w:proofErr w:type="spellEnd"/>
      <w:r w:rsidRPr="0019640C">
        <w:rPr>
          <w:rFonts w:ascii="Times New Roman" w:hAnsi="Times New Roman" w:cs="Times New Roman"/>
          <w:sz w:val="24"/>
          <w:szCs w:val="24"/>
        </w:rPr>
        <w:t xml:space="preserve"> and Shapefiles while maintaining spatial resolution and metadata. The platform provides tools for symbology customization, comparative time series analysis, and cartographic enhancements such as legends and scale bars. QGIS also supports supplementary processing, including CSV integration for area statistics and spatial data manipulation. Its robust visualization capabilities enhance interpretability, making it a valuable complement to GEE.</w:t>
      </w:r>
    </w:p>
    <w:p w14:paraId="03222DEE" w14:textId="77777777" w:rsidR="0019640C" w:rsidRPr="0019640C" w:rsidRDefault="0019640C" w:rsidP="00C95A56">
      <w:pPr>
        <w:spacing w:line="360" w:lineRule="auto"/>
        <w:jc w:val="both"/>
        <w:rPr>
          <w:rFonts w:ascii="Times New Roman" w:hAnsi="Times New Roman" w:cs="Times New Roman"/>
          <w:sz w:val="24"/>
          <w:szCs w:val="24"/>
        </w:rPr>
      </w:pPr>
      <w:r w:rsidRPr="0019640C">
        <w:rPr>
          <w:rFonts w:ascii="Times New Roman" w:hAnsi="Times New Roman" w:cs="Times New Roman"/>
          <w:b/>
          <w:bCs/>
          <w:sz w:val="24"/>
          <w:szCs w:val="24"/>
        </w:rPr>
        <w:lastRenderedPageBreak/>
        <w:t>Integration and Workflow</w:t>
      </w:r>
    </w:p>
    <w:p w14:paraId="5148B3B7" w14:textId="77777777" w:rsidR="0019640C" w:rsidRPr="0019640C" w:rsidRDefault="0019640C" w:rsidP="00C95A56">
      <w:pPr>
        <w:spacing w:line="360" w:lineRule="auto"/>
        <w:jc w:val="both"/>
        <w:rPr>
          <w:rFonts w:ascii="Times New Roman" w:hAnsi="Times New Roman" w:cs="Times New Roman"/>
          <w:sz w:val="24"/>
          <w:szCs w:val="24"/>
        </w:rPr>
      </w:pPr>
      <w:r w:rsidRPr="0019640C">
        <w:rPr>
          <w:rFonts w:ascii="Times New Roman" w:hAnsi="Times New Roman" w:cs="Times New Roman"/>
          <w:sz w:val="24"/>
          <w:szCs w:val="24"/>
        </w:rPr>
        <w:t>The integration of GEE and QGIS ensures an efficient workflow for urban growth prediction. GEE handles cloud-based data processing, classification, and initial visualization, while QGIS refines and presents the results offline. JavaScript scripts orchestrate the RF classification process in GEE, exporting outputs to Google Drive for import into QGIS. This workflow leverages GEE’s computational scalability and QGIS’s visualization capabilities, providing a robust pipeline from raw satellite data to actionable urban planning insights.</w:t>
      </w:r>
    </w:p>
    <w:p w14:paraId="0A1EDDAD" w14:textId="77777777" w:rsidR="0019640C" w:rsidRPr="00343284" w:rsidRDefault="0019640C" w:rsidP="003B550A">
      <w:pPr>
        <w:rPr>
          <w:rFonts w:ascii="Times New Roman" w:hAnsi="Times New Roman" w:cs="Times New Roman"/>
        </w:rPr>
      </w:pPr>
    </w:p>
    <w:p w14:paraId="47B01A07" w14:textId="1370AE4B" w:rsidR="00343284" w:rsidRPr="00343284" w:rsidRDefault="00343284" w:rsidP="00343284">
      <w:pPr>
        <w:rPr>
          <w:rFonts w:ascii="Times New Roman" w:hAnsi="Times New Roman" w:cs="Times New Roman"/>
        </w:rPr>
      </w:pPr>
    </w:p>
    <w:p w14:paraId="7AF40AFB" w14:textId="77777777" w:rsidR="00343284" w:rsidRPr="00343284" w:rsidRDefault="00343284" w:rsidP="00343284">
      <w:pPr>
        <w:rPr>
          <w:rFonts w:ascii="Times New Roman" w:hAnsi="Times New Roman" w:cs="Times New Roman"/>
        </w:rPr>
      </w:pPr>
    </w:p>
    <w:p w14:paraId="20BD91FD" w14:textId="363D3741" w:rsidR="00BE3DCB" w:rsidRPr="00C95A56" w:rsidRDefault="00BE3DCB" w:rsidP="00C95A56">
      <w:pPr>
        <w:rPr>
          <w:rFonts w:ascii="Times New Roman" w:hAnsi="Times New Roman" w:cs="Times New Roman"/>
        </w:rPr>
      </w:pPr>
    </w:p>
    <w:p w14:paraId="1D1201B2" w14:textId="77777777" w:rsidR="00C95A56" w:rsidRDefault="00C95A56">
      <w:pPr>
        <w:rPr>
          <w:rFonts w:ascii="Times New Roman" w:eastAsia="Times New Roman" w:hAnsi="Times New Roman" w:cs="Times New Roman"/>
          <w:b/>
          <w:sz w:val="24"/>
          <w:szCs w:val="24"/>
        </w:rPr>
      </w:pPr>
      <w:bookmarkStart w:id="25" w:name="_v4s8x1uannkh" w:colFirst="0" w:colLast="0"/>
      <w:bookmarkStart w:id="26" w:name="_1gmsuju8uro1" w:colFirst="0" w:colLast="0"/>
      <w:bookmarkEnd w:id="25"/>
      <w:bookmarkEnd w:id="26"/>
      <w:r>
        <w:br w:type="page"/>
      </w:r>
    </w:p>
    <w:p w14:paraId="081E4720" w14:textId="657D9034" w:rsidR="00BE3DCB" w:rsidRPr="00571085" w:rsidRDefault="00000000">
      <w:pPr>
        <w:pStyle w:val="Heading3"/>
        <w:widowControl w:val="0"/>
        <w:ind w:left="0"/>
      </w:pPr>
      <w:r w:rsidRPr="00571085">
        <w:lastRenderedPageBreak/>
        <w:t xml:space="preserve">REFERENCES </w:t>
      </w:r>
    </w:p>
    <w:p w14:paraId="4556E700" w14:textId="77777777" w:rsidR="00C95A56" w:rsidRPr="00C95A56" w:rsidRDefault="00F42C5B"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571085">
        <w:rPr>
          <w:rFonts w:ascii="Times New Roman" w:eastAsia="Times New Roman" w:hAnsi="Times New Roman" w:cs="Times New Roman"/>
          <w:b/>
          <w:bCs/>
          <w:color w:val="000000"/>
          <w:sz w:val="21"/>
          <w:szCs w:val="21"/>
        </w:rPr>
        <w:fldChar w:fldCharType="begin"/>
      </w:r>
      <w:r w:rsidR="003C2E34" w:rsidRPr="00571085">
        <w:rPr>
          <w:rFonts w:ascii="Times New Roman" w:eastAsia="Times New Roman" w:hAnsi="Times New Roman" w:cs="Times New Roman"/>
          <w:b/>
          <w:bCs/>
          <w:color w:val="000000"/>
          <w:sz w:val="21"/>
          <w:szCs w:val="21"/>
        </w:rPr>
        <w:instrText xml:space="preserve"> ADDIN ZOTERO_BIBL {"uncited":[],"omitted":[],"custom":[]} CSL_BIBLIOGRAPHY </w:instrText>
      </w:r>
      <w:r w:rsidRPr="00571085">
        <w:rPr>
          <w:rFonts w:ascii="Times New Roman" w:eastAsia="Times New Roman" w:hAnsi="Times New Roman" w:cs="Times New Roman"/>
          <w:b/>
          <w:bCs/>
          <w:color w:val="000000"/>
          <w:sz w:val="21"/>
          <w:szCs w:val="21"/>
        </w:rPr>
        <w:fldChar w:fldCharType="separate"/>
      </w:r>
      <w:r w:rsidR="00C95A56" w:rsidRPr="00C95A56">
        <w:rPr>
          <w:rFonts w:ascii="Times New Roman" w:hAnsi="Times New Roman" w:cs="Times New Roman"/>
          <w:sz w:val="18"/>
        </w:rPr>
        <w:t>1. Al-</w:t>
      </w:r>
      <w:proofErr w:type="spellStart"/>
      <w:r w:rsidR="00C95A56" w:rsidRPr="00C95A56">
        <w:rPr>
          <w:rFonts w:ascii="Times New Roman" w:hAnsi="Times New Roman" w:cs="Times New Roman"/>
          <w:sz w:val="18"/>
        </w:rPr>
        <w:t>Hameedi</w:t>
      </w:r>
      <w:proofErr w:type="spellEnd"/>
      <w:r w:rsidR="00C95A56" w:rsidRPr="00C95A56">
        <w:rPr>
          <w:rFonts w:ascii="Times New Roman" w:hAnsi="Times New Roman" w:cs="Times New Roman"/>
          <w:sz w:val="18"/>
        </w:rPr>
        <w:t>, W.M.M. et al. (2021) ‘Remote Sensing-Based Urban Sprawl Modeling Using Multilayer Perceptron Neural Network Markov Chain in Baghdad, Iraq’, Remote Sensing, 13(20), p. 4034. Available at: https://doi.org/10.3390/rs13204034.</w:t>
      </w:r>
    </w:p>
    <w:p w14:paraId="48D474C0"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5FA09268"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2. </w:t>
      </w:r>
      <w:proofErr w:type="spellStart"/>
      <w:r w:rsidRPr="00C95A56">
        <w:rPr>
          <w:rFonts w:ascii="Times New Roman" w:hAnsi="Times New Roman" w:cs="Times New Roman"/>
          <w:sz w:val="18"/>
        </w:rPr>
        <w:t>Balzter</w:t>
      </w:r>
      <w:proofErr w:type="spellEnd"/>
      <w:r w:rsidRPr="00C95A56">
        <w:rPr>
          <w:rFonts w:ascii="Times New Roman" w:hAnsi="Times New Roman" w:cs="Times New Roman"/>
          <w:sz w:val="18"/>
        </w:rPr>
        <w:t>, H. et al. (2015) ‘Mapping CORINE Land Cover from Sentinel-1A SAR and SRTM Digital Elevation Model Data using Random Forests’, Remote Sensing, 7(11), pp. 14876–14898. Available at: https://doi.org/10.3390/rs71114876.</w:t>
      </w:r>
    </w:p>
    <w:p w14:paraId="3E17202E"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261F5F37"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3. Bouaziz, M., Eisold, S. and </w:t>
      </w:r>
      <w:proofErr w:type="spellStart"/>
      <w:r w:rsidRPr="00C95A56">
        <w:rPr>
          <w:rFonts w:ascii="Times New Roman" w:hAnsi="Times New Roman" w:cs="Times New Roman"/>
          <w:sz w:val="18"/>
        </w:rPr>
        <w:t>Guermazi</w:t>
      </w:r>
      <w:proofErr w:type="spellEnd"/>
      <w:r w:rsidRPr="00C95A56">
        <w:rPr>
          <w:rFonts w:ascii="Times New Roman" w:hAnsi="Times New Roman" w:cs="Times New Roman"/>
          <w:sz w:val="18"/>
        </w:rPr>
        <w:t>, E. (2017) ‘Semiautomatic approach for land cover classification: a remote sensing study for arid climate in southeastern Tunisia’, Euro-Mediterranean Journal for Environmental Integration, 2(1), p. 24. Available at: https://doi.org/10.1007/s41207-017-0036-7.</w:t>
      </w:r>
    </w:p>
    <w:p w14:paraId="06D157D8"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A1943D1"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4. </w:t>
      </w:r>
      <w:proofErr w:type="spellStart"/>
      <w:r w:rsidRPr="00C95A56">
        <w:rPr>
          <w:rFonts w:ascii="Times New Roman" w:hAnsi="Times New Roman" w:cs="Times New Roman"/>
          <w:sz w:val="18"/>
        </w:rPr>
        <w:t>Breiman</w:t>
      </w:r>
      <w:proofErr w:type="spellEnd"/>
      <w:r w:rsidRPr="00C95A56">
        <w:rPr>
          <w:rFonts w:ascii="Times New Roman" w:hAnsi="Times New Roman" w:cs="Times New Roman"/>
          <w:sz w:val="18"/>
        </w:rPr>
        <w:t>, L. (2001) ‘Random Forests’, Machine Learning, 45(1), pp. 5–32. Available at: https://doi.org/10.1023/A:1010933404324.</w:t>
      </w:r>
    </w:p>
    <w:p w14:paraId="106A7FBD"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B1FB619"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5. Bruno Soares, M., Daly, M. and </w:t>
      </w:r>
      <w:proofErr w:type="spellStart"/>
      <w:r w:rsidRPr="00C95A56">
        <w:rPr>
          <w:rFonts w:ascii="Times New Roman" w:hAnsi="Times New Roman" w:cs="Times New Roman"/>
          <w:sz w:val="18"/>
        </w:rPr>
        <w:t>Dessai</w:t>
      </w:r>
      <w:proofErr w:type="spellEnd"/>
      <w:r w:rsidRPr="00C95A56">
        <w:rPr>
          <w:rFonts w:ascii="Times New Roman" w:hAnsi="Times New Roman" w:cs="Times New Roman"/>
          <w:sz w:val="18"/>
        </w:rPr>
        <w:t>, S. (2018) ‘Assessing the value of seasonal climate forecasts for decision‐making’, WIREs Climate Change, 9(4), p. e523. Available at: https://doi.org/10.1002/wcc.523.</w:t>
      </w:r>
    </w:p>
    <w:p w14:paraId="495E2733"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4130EEC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6. Cifuentes, J. et al. (</w:t>
      </w:r>
      <w:proofErr w:type="gramStart"/>
      <w:r w:rsidRPr="00C95A56">
        <w:rPr>
          <w:rFonts w:ascii="Times New Roman" w:hAnsi="Times New Roman" w:cs="Times New Roman"/>
          <w:sz w:val="18"/>
        </w:rPr>
        <w:t>2020) ‘</w:t>
      </w:r>
      <w:proofErr w:type="gramEnd"/>
      <w:r w:rsidRPr="00C95A56">
        <w:rPr>
          <w:rFonts w:ascii="Times New Roman" w:hAnsi="Times New Roman" w:cs="Times New Roman"/>
          <w:sz w:val="18"/>
        </w:rPr>
        <w:t>Air Temperature Forecasting Using Machine Learning Techniques: A Review’, Energies, 13(16), p. 4215. Available at: https://doi.org/10.3390/en13164215.</w:t>
      </w:r>
    </w:p>
    <w:p w14:paraId="4A7615EB"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6D934FED"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7. Dai, E. et al. (2020) ‘Agent-based model of land system: Theory, application and modelling framework’, Journal of Geographical Sciences, 30(10), pp. 1555–1570. Available at: https://doi.org/10.1007/s11442-020-1799-3.</w:t>
      </w:r>
    </w:p>
    <w:p w14:paraId="65AC0C00"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6A2123B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8. Das, S. and Angadi, D.P. (2022) ‘Land use land cover change detection and monitoring of urban growth using remote sensing and GIS techniques: a micro-level study’, </w:t>
      </w:r>
      <w:proofErr w:type="spellStart"/>
      <w:r w:rsidRPr="00C95A56">
        <w:rPr>
          <w:rFonts w:ascii="Times New Roman" w:hAnsi="Times New Roman" w:cs="Times New Roman"/>
          <w:sz w:val="18"/>
        </w:rPr>
        <w:t>GeoJournal</w:t>
      </w:r>
      <w:proofErr w:type="spellEnd"/>
      <w:r w:rsidRPr="00C95A56">
        <w:rPr>
          <w:rFonts w:ascii="Times New Roman" w:hAnsi="Times New Roman" w:cs="Times New Roman"/>
          <w:sz w:val="18"/>
        </w:rPr>
        <w:t>, 87(3), pp. 2101–2123. Available at: https://doi.org/10.1007/s10708-020-10359-1.</w:t>
      </w:r>
    </w:p>
    <w:p w14:paraId="7C870208"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238D0842"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9. Faisal Koko, A. et al. (2021) ‘Analyzing urban growth and land cover change scenario in Lagos, Nigeria using multi-temporal remote sensing data and GIS to mitigate flooding’, Geomatics, Natural Hazards and Risk, 12(1), pp. 631–652. Available at: https://doi.org/10.1080/19475705.2021.1887940.</w:t>
      </w:r>
    </w:p>
    <w:p w14:paraId="4DE770B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6E73FCA2"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10. Feng, Y. et al. (2011) ‘Modeling dynamic urban growth using cellular automata and particle swarm optimization rules’, Landscape and Urban Planning, 102(3), pp. 188–196. Available at: https://doi.org/10.1016/j.landurbplan.2011.04.004.</w:t>
      </w:r>
    </w:p>
    <w:p w14:paraId="5AD3D95A"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BAD70AE"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11. Gobin, A. and Van </w:t>
      </w:r>
      <w:proofErr w:type="spellStart"/>
      <w:r w:rsidRPr="00C95A56">
        <w:rPr>
          <w:rFonts w:ascii="Times New Roman" w:hAnsi="Times New Roman" w:cs="Times New Roman"/>
          <w:sz w:val="18"/>
        </w:rPr>
        <w:t>Herzele</w:t>
      </w:r>
      <w:proofErr w:type="spellEnd"/>
      <w:r w:rsidRPr="00C95A56">
        <w:rPr>
          <w:rFonts w:ascii="Times New Roman" w:hAnsi="Times New Roman" w:cs="Times New Roman"/>
          <w:sz w:val="18"/>
        </w:rPr>
        <w:t>, A. (2023) ‘A Data-Driven Farm Typology as a Basis for Agricultural Land Use Decisions’, Land, 12(11), p. 2032. Available at: https://doi.org/10.3390/land12112032.</w:t>
      </w:r>
    </w:p>
    <w:p w14:paraId="795CE983"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0862F22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12. Gudo, A.J.A., Deng, J. and Qureshi, A.S. (2022a) ‘Analysis of Spatiotemporal Dynamics of Land Use/Cover Changes in </w:t>
      </w:r>
      <w:proofErr w:type="spellStart"/>
      <w:r w:rsidRPr="00C95A56">
        <w:rPr>
          <w:rFonts w:ascii="Times New Roman" w:hAnsi="Times New Roman" w:cs="Times New Roman"/>
          <w:sz w:val="18"/>
        </w:rPr>
        <w:t>Jubek</w:t>
      </w:r>
      <w:proofErr w:type="spellEnd"/>
      <w:r w:rsidRPr="00C95A56">
        <w:rPr>
          <w:rFonts w:ascii="Times New Roman" w:hAnsi="Times New Roman" w:cs="Times New Roman"/>
          <w:sz w:val="18"/>
        </w:rPr>
        <w:t xml:space="preserve"> State, South Sudan’, Sustainability, 14(17), p. 10753. Available at: https://doi.org/10.3390/su141710753.</w:t>
      </w:r>
    </w:p>
    <w:p w14:paraId="00FB4641"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1814FC5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13. Gudo, A.J.A., Deng, J. and Qureshi, A.S. (2022b) ‘Analysis of Spatiotemporal Dynamics of Land Use/Cover Changes in </w:t>
      </w:r>
      <w:proofErr w:type="spellStart"/>
      <w:r w:rsidRPr="00C95A56">
        <w:rPr>
          <w:rFonts w:ascii="Times New Roman" w:hAnsi="Times New Roman" w:cs="Times New Roman"/>
          <w:sz w:val="18"/>
        </w:rPr>
        <w:t>Jubek</w:t>
      </w:r>
      <w:proofErr w:type="spellEnd"/>
      <w:r w:rsidRPr="00C95A56">
        <w:rPr>
          <w:rFonts w:ascii="Times New Roman" w:hAnsi="Times New Roman" w:cs="Times New Roman"/>
          <w:sz w:val="18"/>
        </w:rPr>
        <w:t xml:space="preserve"> State, South Sudan’, Sustainability, 14(17), p. 10753. Available at: https://doi.org/10.3390/su141710753.</w:t>
      </w:r>
    </w:p>
    <w:p w14:paraId="4D4ECAA1"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45C36E2E"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14. </w:t>
      </w:r>
      <w:proofErr w:type="spellStart"/>
      <w:r w:rsidRPr="00C95A56">
        <w:rPr>
          <w:rFonts w:ascii="Times New Roman" w:hAnsi="Times New Roman" w:cs="Times New Roman"/>
          <w:sz w:val="18"/>
        </w:rPr>
        <w:t>Ishtiaque</w:t>
      </w:r>
      <w:proofErr w:type="spellEnd"/>
      <w:r w:rsidRPr="00C95A56">
        <w:rPr>
          <w:rFonts w:ascii="Times New Roman" w:hAnsi="Times New Roman" w:cs="Times New Roman"/>
          <w:sz w:val="18"/>
        </w:rPr>
        <w:t>, A., Shrestha, M. and Chhetri, N. (2017) ‘Rapid Urban Growth in the Kathmandu Valley, Nepal: Monitoring Land Use Land Cover Dynamics of a Himalayan City with Landsat Imageries’, Environments, 4(4), p. 72. Available at: https://doi.org/10.3390/environments4040072.</w:t>
      </w:r>
    </w:p>
    <w:p w14:paraId="01A1E5F5"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2E871B81"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15. Jiang, F. and </w:t>
      </w:r>
      <w:proofErr w:type="spellStart"/>
      <w:r w:rsidRPr="00C95A56">
        <w:rPr>
          <w:rFonts w:ascii="Times New Roman" w:hAnsi="Times New Roman" w:cs="Times New Roman"/>
          <w:sz w:val="18"/>
        </w:rPr>
        <w:t>Lv</w:t>
      </w:r>
      <w:proofErr w:type="spellEnd"/>
      <w:r w:rsidRPr="00C95A56">
        <w:rPr>
          <w:rFonts w:ascii="Times New Roman" w:hAnsi="Times New Roman" w:cs="Times New Roman"/>
          <w:sz w:val="18"/>
        </w:rPr>
        <w:t>, Y. (</w:t>
      </w:r>
      <w:proofErr w:type="gramStart"/>
      <w:r w:rsidRPr="00C95A56">
        <w:rPr>
          <w:rFonts w:ascii="Times New Roman" w:hAnsi="Times New Roman" w:cs="Times New Roman"/>
          <w:sz w:val="18"/>
        </w:rPr>
        <w:t>2022) ‘</w:t>
      </w:r>
      <w:proofErr w:type="gramEnd"/>
      <w:r w:rsidRPr="00C95A56">
        <w:rPr>
          <w:rFonts w:ascii="Times New Roman" w:hAnsi="Times New Roman" w:cs="Times New Roman"/>
          <w:sz w:val="18"/>
        </w:rPr>
        <w:t>Changes in the spatial distribution of population in urban agglomerations: A spatial-temporal perspective’. In Review. Available at: https://doi.org/10.21203/rs.3.rs-1244609/v1.</w:t>
      </w:r>
    </w:p>
    <w:p w14:paraId="2922AEE4"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6EE8168"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16. Justin, L. (2017) South Sudan Governance: A Call for Federalism to Address : Marginalization and Prevent Armed Conflict Recurrence - 21_Justin Laku.pdf. Available at: https://sonar.ch/documents/324250/preview/21_Justin%20Laku.pdf (Accessed: 30 March 2025).</w:t>
      </w:r>
    </w:p>
    <w:p w14:paraId="69161526"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2247A8FE"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17. Justin, P.H. and </w:t>
      </w:r>
      <w:proofErr w:type="spellStart"/>
      <w:r w:rsidRPr="00C95A56">
        <w:rPr>
          <w:rFonts w:ascii="Times New Roman" w:hAnsi="Times New Roman" w:cs="Times New Roman"/>
          <w:sz w:val="18"/>
        </w:rPr>
        <w:t>and</w:t>
      </w:r>
      <w:proofErr w:type="spellEnd"/>
      <w:r w:rsidRPr="00C95A56">
        <w:rPr>
          <w:rFonts w:ascii="Times New Roman" w:hAnsi="Times New Roman" w:cs="Times New Roman"/>
          <w:sz w:val="18"/>
        </w:rPr>
        <w:t xml:space="preserve"> De Vries, L. (2019) ‘Governing Unclear Lines: Local Boundaries as a (Re)source of Conflict in South Sudan’, Journal of Borderlands Studies, 34(1), pp. 31–46. Available at: https://doi.org/10.1080/08865655.2017.1294497.</w:t>
      </w:r>
    </w:p>
    <w:p w14:paraId="2EF9D4DF"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4C8FEDF"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18. </w:t>
      </w:r>
      <w:proofErr w:type="spellStart"/>
      <w:r w:rsidRPr="00C95A56">
        <w:rPr>
          <w:rFonts w:ascii="Times New Roman" w:hAnsi="Times New Roman" w:cs="Times New Roman"/>
          <w:sz w:val="18"/>
        </w:rPr>
        <w:t>Khawaldah</w:t>
      </w:r>
      <w:proofErr w:type="spellEnd"/>
      <w:r w:rsidRPr="00C95A56">
        <w:rPr>
          <w:rFonts w:ascii="Times New Roman" w:hAnsi="Times New Roman" w:cs="Times New Roman"/>
          <w:sz w:val="18"/>
        </w:rPr>
        <w:t xml:space="preserve">, H., Farhan, I. and </w:t>
      </w:r>
      <w:proofErr w:type="spellStart"/>
      <w:r w:rsidRPr="00C95A56">
        <w:rPr>
          <w:rFonts w:ascii="Times New Roman" w:hAnsi="Times New Roman" w:cs="Times New Roman"/>
          <w:sz w:val="18"/>
        </w:rPr>
        <w:t>Alzboun</w:t>
      </w:r>
      <w:proofErr w:type="spellEnd"/>
      <w:r w:rsidRPr="00C95A56">
        <w:rPr>
          <w:rFonts w:ascii="Times New Roman" w:hAnsi="Times New Roman" w:cs="Times New Roman"/>
          <w:sz w:val="18"/>
        </w:rPr>
        <w:t>, N. (2020) ‘Simulation and prediction of land use and land cover change using GIS, remote sensing and CA-Markov model’, Global Journal of Environmental Science and Management, 6, pp. 215–232. Available at: https://doi.org/10.22034/gjesm.2020.02.07.</w:t>
      </w:r>
    </w:p>
    <w:p w14:paraId="7745EFFF"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1C29C748"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19. Maqbool, A. et al. (2020) ‘Disaster Mitigation in Urban Pakistan Using Agent Based Modeling with GIS’, ISPRS International </w:t>
      </w:r>
      <w:r w:rsidRPr="00C95A56">
        <w:rPr>
          <w:rFonts w:ascii="Times New Roman" w:hAnsi="Times New Roman" w:cs="Times New Roman"/>
          <w:sz w:val="18"/>
        </w:rPr>
        <w:lastRenderedPageBreak/>
        <w:t>Journal of Geo-Information, 9(4), p. 203. Available at: https://doi.org/10.3390/ijgi9040203.</w:t>
      </w:r>
    </w:p>
    <w:p w14:paraId="5D557C20"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4B7BE380"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20. Micheal, D. (2025) Schools closed after 12 students fainted daily </w:t>
      </w:r>
      <w:proofErr w:type="gramStart"/>
      <w:r w:rsidRPr="00C95A56">
        <w:rPr>
          <w:rFonts w:ascii="Times New Roman" w:hAnsi="Times New Roman" w:cs="Times New Roman"/>
          <w:sz w:val="18"/>
        </w:rPr>
        <w:t>over heat</w:t>
      </w:r>
      <w:proofErr w:type="gramEnd"/>
      <w:r w:rsidRPr="00C95A56">
        <w:rPr>
          <w:rFonts w:ascii="Times New Roman" w:hAnsi="Times New Roman" w:cs="Times New Roman"/>
          <w:sz w:val="18"/>
        </w:rPr>
        <w:t xml:space="preserve"> exhaustion: Official - Eye Radio, Eye Radio. Available at: https://www.eyeradio.org/schools-closed-after-12-students-fainted-daily-over-heat-exhaustion-official/ (Accessed: 29 March 2025).</w:t>
      </w:r>
    </w:p>
    <w:p w14:paraId="50F6A530"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337E7B50"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21. Munthali, K.G. and Murayama, Y. (2011) ‘Land use/cover change detection and analysis for </w:t>
      </w:r>
      <w:proofErr w:type="spellStart"/>
      <w:r w:rsidRPr="00C95A56">
        <w:rPr>
          <w:rFonts w:ascii="Times New Roman" w:hAnsi="Times New Roman" w:cs="Times New Roman"/>
          <w:sz w:val="18"/>
        </w:rPr>
        <w:t>Dzalanyama</w:t>
      </w:r>
      <w:proofErr w:type="spellEnd"/>
      <w:r w:rsidRPr="00C95A56">
        <w:rPr>
          <w:rFonts w:ascii="Times New Roman" w:hAnsi="Times New Roman" w:cs="Times New Roman"/>
          <w:sz w:val="18"/>
        </w:rPr>
        <w:t xml:space="preserve"> forest reserve, Lilongwe, Malawi’, Procedia - Social and Behavioral Sciences, 21, pp. 203–211. Available at: https://doi.org/10.1016/j.sbspro.2011.07.035.</w:t>
      </w:r>
    </w:p>
    <w:p w14:paraId="33DDC5B5"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08D1E62"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22. Munthali, M.G. et al. (2019) ‘Local Perception of Drivers of Land-Use and Land-Cover Change Dynamics across </w:t>
      </w:r>
      <w:proofErr w:type="spellStart"/>
      <w:r w:rsidRPr="00C95A56">
        <w:rPr>
          <w:rFonts w:ascii="Times New Roman" w:hAnsi="Times New Roman" w:cs="Times New Roman"/>
          <w:sz w:val="18"/>
        </w:rPr>
        <w:t>Dedza</w:t>
      </w:r>
      <w:proofErr w:type="spellEnd"/>
      <w:r w:rsidRPr="00C95A56">
        <w:rPr>
          <w:rFonts w:ascii="Times New Roman" w:hAnsi="Times New Roman" w:cs="Times New Roman"/>
          <w:sz w:val="18"/>
        </w:rPr>
        <w:t xml:space="preserve"> District, Central Malawi Region’, Sustainability, 11(3), p. 832. Available at: https://doi.org/10.3390/su11030832.</w:t>
      </w:r>
    </w:p>
    <w:p w14:paraId="7EF05F8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4D23BFD"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23. Nyasulu, C. et al. (2022) ‘Towards Resilient Agriculture to Hostile Climate Change in the Sahel Region: A Case Study of Machine Learning-Based Weather Prediction in Senegal’, Agriculture, 12(9), p. 1473. Available at: https://doi.org/10.3390/agriculture12091473.</w:t>
      </w:r>
    </w:p>
    <w:p w14:paraId="7BCC7A29"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410BC7D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24. Ouma, Y.O. et al. (2024) ‘Land-Use Change Prediction in Dam Catchment Using Logistic Regression-CA, ANN-CA and Random Forest Regression and Implications for Sustainable Land–Water Nexus’, Sustainability, 16(4), p. 1699. Available at: https://doi.org/10.3390/su16041699.</w:t>
      </w:r>
    </w:p>
    <w:p w14:paraId="0383C796"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4316AA07"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25. Rodríguez-Cuenca, B., Alonso, M.C. and </w:t>
      </w:r>
      <w:proofErr w:type="spellStart"/>
      <w:r w:rsidRPr="00C95A56">
        <w:rPr>
          <w:rFonts w:ascii="Times New Roman" w:hAnsi="Times New Roman" w:cs="Times New Roman"/>
          <w:sz w:val="18"/>
        </w:rPr>
        <w:t>Tamés</w:t>
      </w:r>
      <w:proofErr w:type="spellEnd"/>
      <w:r w:rsidRPr="00C95A56">
        <w:rPr>
          <w:rFonts w:ascii="Times New Roman" w:hAnsi="Times New Roman" w:cs="Times New Roman"/>
          <w:sz w:val="18"/>
        </w:rPr>
        <w:t>-Noriega, A. (2015) ‘LULC database updating from VHR images and LIDAR data using evidence theory’, in. 2015 Conference of the International Fuzzy Systems Association and the European Society for Fuzzy Logic and Technology (IFSA-EUSFLAT-15), Atlantis Press, pp. 987–993. Available at: https://doi.org/10.2991/ifsa-eusflat-15.2015.139.</w:t>
      </w:r>
    </w:p>
    <w:p w14:paraId="3F8DB2C5"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49C496E9"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26. Sexton, J.O. et al. (2013) ‘Urban growth of the Washington, D.C.–Baltimore, MD metropolitan region from 1984 to 2010 by annual, Landsat-based estimates of impervious cover’, Remote Sensing of Environment, 129, pp. 42–53. Available at: https://doi.org/10.1016/j.rse.2012.10.025.</w:t>
      </w:r>
    </w:p>
    <w:p w14:paraId="0BB4B4B2"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D76B73F"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27. </w:t>
      </w:r>
      <w:proofErr w:type="spellStart"/>
      <w:r w:rsidRPr="00C95A56">
        <w:rPr>
          <w:rFonts w:ascii="Times New Roman" w:hAnsi="Times New Roman" w:cs="Times New Roman"/>
          <w:sz w:val="18"/>
        </w:rPr>
        <w:t>Somvanshi</w:t>
      </w:r>
      <w:proofErr w:type="spellEnd"/>
      <w:r w:rsidRPr="00C95A56">
        <w:rPr>
          <w:rFonts w:ascii="Times New Roman" w:hAnsi="Times New Roman" w:cs="Times New Roman"/>
          <w:sz w:val="18"/>
        </w:rPr>
        <w:t>, S.S. et al. (2020) ‘Monitoring spatial LULC changes and its growth prediction based on statistical models and earth observation datasets of Gautam Budh Nagar, Uttar Pradesh, India’, Environment, Development and Sustainability, 22(2), pp. 1073–1091. Available at: https://doi.org/10.1007/s10668-018-0234-8.</w:t>
      </w:r>
    </w:p>
    <w:p w14:paraId="758214CB"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319DC362"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28. Sulistiyono, N. et al. (2024) ‘Identification of mangrove forests using Sentinel-1 Synthetic Aperture Radar (SAR) satellite imagery in Medan </w:t>
      </w:r>
      <w:proofErr w:type="spellStart"/>
      <w:r w:rsidRPr="00C95A56">
        <w:rPr>
          <w:rFonts w:ascii="Times New Roman" w:hAnsi="Times New Roman" w:cs="Times New Roman"/>
          <w:sz w:val="18"/>
        </w:rPr>
        <w:t>Belawan</w:t>
      </w:r>
      <w:proofErr w:type="spellEnd"/>
      <w:r w:rsidRPr="00C95A56">
        <w:rPr>
          <w:rFonts w:ascii="Times New Roman" w:hAnsi="Times New Roman" w:cs="Times New Roman"/>
          <w:sz w:val="18"/>
        </w:rPr>
        <w:t xml:space="preserve"> District, Medan City’, IOP Conference Series: Earth and Environmental Science, 1352(1), p. 012051. Available at: https://doi.org/10.1088/1755-1315/1352/1/012051.</w:t>
      </w:r>
    </w:p>
    <w:p w14:paraId="71169116"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494FE4A6"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29. Trabelsi, N. et al. (2023) ‘Classification and </w:t>
      </w:r>
      <w:proofErr w:type="spellStart"/>
      <w:r w:rsidRPr="00C95A56">
        <w:rPr>
          <w:rFonts w:ascii="Times New Roman" w:hAnsi="Times New Roman" w:cs="Times New Roman"/>
          <w:sz w:val="18"/>
        </w:rPr>
        <w:t>Spatio</w:t>
      </w:r>
      <w:proofErr w:type="spellEnd"/>
      <w:r w:rsidRPr="00C95A56">
        <w:rPr>
          <w:rFonts w:ascii="Times New Roman" w:hAnsi="Times New Roman" w:cs="Times New Roman"/>
          <w:sz w:val="18"/>
        </w:rPr>
        <w:t xml:space="preserve">-Temporal Change Detection of Land Use/Land Cover Using Remote Sensing and Geographic Information System in the </w:t>
      </w:r>
      <w:proofErr w:type="spellStart"/>
      <w:r w:rsidRPr="00C95A56">
        <w:rPr>
          <w:rFonts w:ascii="Times New Roman" w:hAnsi="Times New Roman" w:cs="Times New Roman"/>
          <w:sz w:val="18"/>
        </w:rPr>
        <w:t>Manouba</w:t>
      </w:r>
      <w:proofErr w:type="spellEnd"/>
      <w:r w:rsidRPr="00C95A56">
        <w:rPr>
          <w:rFonts w:ascii="Times New Roman" w:hAnsi="Times New Roman" w:cs="Times New Roman"/>
          <w:sz w:val="18"/>
        </w:rPr>
        <w:t xml:space="preserve"> Region, NE Tunisia’, Journal of Geographic Information System, 15(06), pp. 652–668. Available at: https://doi.org/10.4236/jgis.2023.156033.</w:t>
      </w:r>
    </w:p>
    <w:p w14:paraId="3A25DF75"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41A8924"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30. Turner, M.G. and Ruscher, C.L. (1988) ‘Changes in landscape patterns in Georgia, USA’, Landscape Ecology, 1(4), pp. 241–251. Available at: https://doi.org/10.1007/BF00157696.</w:t>
      </w:r>
    </w:p>
    <w:p w14:paraId="20E7731D"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0988232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31. UN-HABITAT (2006) Meeting Development Goals in Small Urban </w:t>
      </w:r>
      <w:proofErr w:type="spellStart"/>
      <w:r w:rsidRPr="00C95A56">
        <w:rPr>
          <w:rFonts w:ascii="Times New Roman" w:hAnsi="Times New Roman" w:cs="Times New Roman"/>
          <w:sz w:val="18"/>
        </w:rPr>
        <w:t>Centres</w:t>
      </w:r>
      <w:proofErr w:type="spellEnd"/>
      <w:r w:rsidRPr="00C95A56">
        <w:rPr>
          <w:rFonts w:ascii="Times New Roman" w:hAnsi="Times New Roman" w:cs="Times New Roman"/>
          <w:sz w:val="18"/>
        </w:rPr>
        <w:t xml:space="preserve"> - Water and Sanitation in the World’s Cities 2006 | UN-Habitat. Available at: https://unhabitat.org/meeting-development-goals-in-small-urban-centres-water-and-sanitation-in-the-worlds-cities-2006 (Accessed: 30 March 2025).</w:t>
      </w:r>
    </w:p>
    <w:p w14:paraId="66E0D2DA"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0CFA1A9"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32. UN-HABITAT et al. (2023) Juba Strategic Plan | UN-Habitat. Available at: https://unhabitat.org/juba-strategic-plan (Accessed: 30 March 2025).</w:t>
      </w:r>
    </w:p>
    <w:p w14:paraId="220E08E2"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13280F53"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33. Wild, H., Jok, J.M. and Patel, R. (2018) ‘The Militarization of Cattle Raiding in South Sudan: How a Traditional Practice Became a Tool for Political Violence’, Journal of International Humanitarian Action, 3(1). Available at: https://doi.org/10.1186/s41018-018-0030-y.</w:t>
      </w:r>
    </w:p>
    <w:p w14:paraId="7E865E91"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1BCEF19F"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34. Zeng, Y. et al. (2016) ‘MULTI-AGENT BASED SIMULATION OF OPTIMAL URBAN LAND USE ALLOCATION IN THE MIDDLE REACHES OF THE YANGTZE RIVER, CHINA’, The International Archives of the Photogrammetry, Remote Sensing and Spatial Information Sciences, XLI-B8, pp. 1089–1092. Available at: https://doi.org/10.5194/isprs-archives-XLI-B8-1089-2016.</w:t>
      </w:r>
    </w:p>
    <w:p w14:paraId="5353D139"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6089895D"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35. Zhao, S. et al. (</w:t>
      </w:r>
      <w:proofErr w:type="gramStart"/>
      <w:r w:rsidRPr="00C95A56">
        <w:rPr>
          <w:rFonts w:ascii="Times New Roman" w:hAnsi="Times New Roman" w:cs="Times New Roman"/>
          <w:sz w:val="18"/>
        </w:rPr>
        <w:t>2009) ‘</w:t>
      </w:r>
      <w:proofErr w:type="gramEnd"/>
      <w:r w:rsidRPr="00C95A56">
        <w:rPr>
          <w:rFonts w:ascii="Times New Roman" w:hAnsi="Times New Roman" w:cs="Times New Roman"/>
          <w:sz w:val="18"/>
        </w:rPr>
        <w:t>A spatial resolution threshold of land cover in estimating regional terrestrial carbon sequestration’. Biogeochemistry: Modelling, Terrestrial. Available at: https://doi.org/10.5194/bgd-6-7983-2009.</w:t>
      </w:r>
    </w:p>
    <w:p w14:paraId="7AC342B3"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35773764" w14:textId="17678E1A" w:rsidR="00F42C5B" w:rsidRPr="00571085" w:rsidRDefault="00F42C5B" w:rsidP="00F42C5B">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1"/>
          <w:szCs w:val="21"/>
        </w:rPr>
      </w:pPr>
      <w:r w:rsidRPr="00571085">
        <w:rPr>
          <w:rFonts w:ascii="Times New Roman" w:eastAsia="Times New Roman" w:hAnsi="Times New Roman" w:cs="Times New Roman"/>
          <w:b/>
          <w:bCs/>
          <w:color w:val="000000"/>
          <w:sz w:val="21"/>
          <w:szCs w:val="21"/>
        </w:rPr>
        <w:fldChar w:fldCharType="end"/>
      </w:r>
    </w:p>
    <w:sectPr w:rsidR="00F42C5B" w:rsidRPr="00571085">
      <w:pgSz w:w="12240" w:h="15840"/>
      <w:pgMar w:top="1414" w:right="1377" w:bottom="1508"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Jalle Bennie" w:date="2024-10-05T11:36:00Z" w:initials="">
    <w:p w14:paraId="64A4BB25" w14:textId="77777777" w:rsidR="00BE3DCB" w:rsidRDefault="00000000">
      <w:pPr>
        <w:widowControl w:val="0"/>
        <w:pBdr>
          <w:top w:val="nil"/>
          <w:left w:val="nil"/>
          <w:bottom w:val="nil"/>
          <w:right w:val="nil"/>
          <w:between w:val="nil"/>
        </w:pBdr>
        <w:spacing w:line="240" w:lineRule="auto"/>
        <w:rPr>
          <w:color w:val="000000"/>
        </w:rPr>
      </w:pPr>
      <w:r>
        <w:rPr>
          <w:color w:val="000000"/>
        </w:rPr>
        <w:t>This is how I was advised to change the objectives.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A4BB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A4BB25" w16cid:durableId="67EF4E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33B68" w14:textId="77777777" w:rsidR="005D3767" w:rsidRDefault="005D3767">
      <w:pPr>
        <w:spacing w:line="240" w:lineRule="auto"/>
      </w:pPr>
      <w:r>
        <w:separator/>
      </w:r>
    </w:p>
  </w:endnote>
  <w:endnote w:type="continuationSeparator" w:id="0">
    <w:p w14:paraId="1C5639BC" w14:textId="77777777" w:rsidR="005D3767" w:rsidRDefault="005D37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NimbusRomNo9L-Regu">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7730E" w14:textId="77777777" w:rsidR="005D3767" w:rsidRDefault="005D3767">
      <w:pPr>
        <w:spacing w:line="240" w:lineRule="auto"/>
      </w:pPr>
      <w:r>
        <w:separator/>
      </w:r>
    </w:p>
  </w:footnote>
  <w:footnote w:type="continuationSeparator" w:id="0">
    <w:p w14:paraId="13C12410" w14:textId="77777777" w:rsidR="005D3767" w:rsidRDefault="005D37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5FAE"/>
    <w:multiLevelType w:val="multilevel"/>
    <w:tmpl w:val="E8743A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1F35B4E"/>
    <w:multiLevelType w:val="hybridMultilevel"/>
    <w:tmpl w:val="092AE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B41AB"/>
    <w:multiLevelType w:val="hybridMultilevel"/>
    <w:tmpl w:val="12EEB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23261B"/>
    <w:multiLevelType w:val="multilevel"/>
    <w:tmpl w:val="25D00E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9DF015D"/>
    <w:multiLevelType w:val="multilevel"/>
    <w:tmpl w:val="1108E2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A4F4384"/>
    <w:multiLevelType w:val="multilevel"/>
    <w:tmpl w:val="FEDA82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62E529A"/>
    <w:multiLevelType w:val="hybridMultilevel"/>
    <w:tmpl w:val="471EA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3B6212"/>
    <w:multiLevelType w:val="multilevel"/>
    <w:tmpl w:val="5296BB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29C1E14"/>
    <w:multiLevelType w:val="multilevel"/>
    <w:tmpl w:val="51D82A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6916842"/>
    <w:multiLevelType w:val="multilevel"/>
    <w:tmpl w:val="FEDA82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9450722"/>
    <w:multiLevelType w:val="hybridMultilevel"/>
    <w:tmpl w:val="62748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A841DD"/>
    <w:multiLevelType w:val="hybridMultilevel"/>
    <w:tmpl w:val="1108D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8F113C"/>
    <w:multiLevelType w:val="multilevel"/>
    <w:tmpl w:val="C8CCE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1A1743D"/>
    <w:multiLevelType w:val="multilevel"/>
    <w:tmpl w:val="0F3605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3486FEC"/>
    <w:multiLevelType w:val="hybridMultilevel"/>
    <w:tmpl w:val="08A64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7F0E5C"/>
    <w:multiLevelType w:val="hybridMultilevel"/>
    <w:tmpl w:val="3CF85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616262"/>
    <w:multiLevelType w:val="hybridMultilevel"/>
    <w:tmpl w:val="16F04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AB4748"/>
    <w:multiLevelType w:val="hybridMultilevel"/>
    <w:tmpl w:val="9D7AB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2314768">
    <w:abstractNumId w:val="13"/>
  </w:num>
  <w:num w:numId="2" w16cid:durableId="1296984395">
    <w:abstractNumId w:val="4"/>
  </w:num>
  <w:num w:numId="3" w16cid:durableId="830677769">
    <w:abstractNumId w:val="7"/>
  </w:num>
  <w:num w:numId="4" w16cid:durableId="607589426">
    <w:abstractNumId w:val="8"/>
  </w:num>
  <w:num w:numId="5" w16cid:durableId="930774279">
    <w:abstractNumId w:val="12"/>
  </w:num>
  <w:num w:numId="6" w16cid:durableId="926697700">
    <w:abstractNumId w:val="0"/>
  </w:num>
  <w:num w:numId="7" w16cid:durableId="134686812">
    <w:abstractNumId w:val="3"/>
  </w:num>
  <w:num w:numId="8" w16cid:durableId="488060669">
    <w:abstractNumId w:val="9"/>
  </w:num>
  <w:num w:numId="9" w16cid:durableId="1347950173">
    <w:abstractNumId w:val="5"/>
  </w:num>
  <w:num w:numId="10" w16cid:durableId="1291937865">
    <w:abstractNumId w:val="1"/>
  </w:num>
  <w:num w:numId="11" w16cid:durableId="914779803">
    <w:abstractNumId w:val="17"/>
  </w:num>
  <w:num w:numId="12" w16cid:durableId="854344797">
    <w:abstractNumId w:val="16"/>
  </w:num>
  <w:num w:numId="13" w16cid:durableId="148062115">
    <w:abstractNumId w:val="2"/>
  </w:num>
  <w:num w:numId="14" w16cid:durableId="2095393659">
    <w:abstractNumId w:val="6"/>
  </w:num>
  <w:num w:numId="15" w16cid:durableId="909076025">
    <w:abstractNumId w:val="11"/>
  </w:num>
  <w:num w:numId="16" w16cid:durableId="820006823">
    <w:abstractNumId w:val="15"/>
  </w:num>
  <w:num w:numId="17" w16cid:durableId="1017927440">
    <w:abstractNumId w:val="10"/>
  </w:num>
  <w:num w:numId="18" w16cid:durableId="16776843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DCB"/>
    <w:rsid w:val="00050F6E"/>
    <w:rsid w:val="00061766"/>
    <w:rsid w:val="000A07E5"/>
    <w:rsid w:val="00152235"/>
    <w:rsid w:val="00155865"/>
    <w:rsid w:val="0019640C"/>
    <w:rsid w:val="001E2E32"/>
    <w:rsid w:val="002A26AD"/>
    <w:rsid w:val="002A70F7"/>
    <w:rsid w:val="002C1399"/>
    <w:rsid w:val="002E306E"/>
    <w:rsid w:val="00343284"/>
    <w:rsid w:val="0035345A"/>
    <w:rsid w:val="003A07C7"/>
    <w:rsid w:val="003B550A"/>
    <w:rsid w:val="003B56D5"/>
    <w:rsid w:val="003C2E34"/>
    <w:rsid w:val="003C39B6"/>
    <w:rsid w:val="003D2C93"/>
    <w:rsid w:val="003D3E96"/>
    <w:rsid w:val="003E011B"/>
    <w:rsid w:val="004877BE"/>
    <w:rsid w:val="004B7B60"/>
    <w:rsid w:val="00520029"/>
    <w:rsid w:val="00571085"/>
    <w:rsid w:val="00583CFB"/>
    <w:rsid w:val="005D3767"/>
    <w:rsid w:val="005D4E93"/>
    <w:rsid w:val="00630675"/>
    <w:rsid w:val="0063357B"/>
    <w:rsid w:val="006849D4"/>
    <w:rsid w:val="00700655"/>
    <w:rsid w:val="007E7B32"/>
    <w:rsid w:val="00815F2A"/>
    <w:rsid w:val="008C4606"/>
    <w:rsid w:val="009132D9"/>
    <w:rsid w:val="00915C95"/>
    <w:rsid w:val="00970291"/>
    <w:rsid w:val="00980748"/>
    <w:rsid w:val="00981667"/>
    <w:rsid w:val="009B66CA"/>
    <w:rsid w:val="009E4EF6"/>
    <w:rsid w:val="00A37103"/>
    <w:rsid w:val="00A45494"/>
    <w:rsid w:val="00AB1157"/>
    <w:rsid w:val="00AE5E64"/>
    <w:rsid w:val="00B57603"/>
    <w:rsid w:val="00BA45DF"/>
    <w:rsid w:val="00BE3DCB"/>
    <w:rsid w:val="00BF6161"/>
    <w:rsid w:val="00C0397A"/>
    <w:rsid w:val="00C75645"/>
    <w:rsid w:val="00C81EC5"/>
    <w:rsid w:val="00C95A56"/>
    <w:rsid w:val="00CE074E"/>
    <w:rsid w:val="00D459CD"/>
    <w:rsid w:val="00D756A6"/>
    <w:rsid w:val="00DE3AF6"/>
    <w:rsid w:val="00DE61E8"/>
    <w:rsid w:val="00DF7CB2"/>
    <w:rsid w:val="00E030DD"/>
    <w:rsid w:val="00E62925"/>
    <w:rsid w:val="00E90CF0"/>
    <w:rsid w:val="00E90F40"/>
    <w:rsid w:val="00EE5313"/>
    <w:rsid w:val="00F42C5B"/>
    <w:rsid w:val="00F77269"/>
    <w:rsid w:val="00F87FB4"/>
    <w:rsid w:val="00FB6E3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F3EF9"/>
  <w15:docId w15:val="{F438B018-FEC9-420F-8EC4-1E56990CB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9" w:line="240" w:lineRule="auto"/>
      <w:ind w:left="2"/>
      <w:outlineLvl w:val="2"/>
    </w:pPr>
    <w:rPr>
      <w:rFonts w:ascii="Times New Roman" w:eastAsia="Times New Roman" w:hAnsi="Times New Roman" w:cs="Times New Roman"/>
      <w:b/>
      <w:sz w:val="24"/>
      <w:szCs w:val="24"/>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fontstyle01">
    <w:name w:val="fontstyle01"/>
    <w:basedOn w:val="DefaultParagraphFont"/>
    <w:rsid w:val="00C75645"/>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C75645"/>
    <w:rPr>
      <w:rFonts w:ascii="NimbusRomNo9L-Regu" w:hAnsi="NimbusRomNo9L-Regu" w:hint="default"/>
      <w:b w:val="0"/>
      <w:bCs w:val="0"/>
      <w:i w:val="0"/>
      <w:iCs w:val="0"/>
      <w:color w:val="000000"/>
      <w:sz w:val="20"/>
      <w:szCs w:val="20"/>
    </w:rPr>
  </w:style>
  <w:style w:type="paragraph" w:styleId="Header">
    <w:name w:val="header"/>
    <w:basedOn w:val="Normal"/>
    <w:link w:val="HeaderChar"/>
    <w:uiPriority w:val="99"/>
    <w:unhideWhenUsed/>
    <w:rsid w:val="009E4EF6"/>
    <w:pPr>
      <w:tabs>
        <w:tab w:val="center" w:pos="4680"/>
        <w:tab w:val="right" w:pos="9360"/>
      </w:tabs>
      <w:spacing w:line="240" w:lineRule="auto"/>
    </w:pPr>
  </w:style>
  <w:style w:type="character" w:customStyle="1" w:styleId="HeaderChar">
    <w:name w:val="Header Char"/>
    <w:basedOn w:val="DefaultParagraphFont"/>
    <w:link w:val="Header"/>
    <w:uiPriority w:val="99"/>
    <w:rsid w:val="009E4EF6"/>
  </w:style>
  <w:style w:type="paragraph" w:styleId="Footer">
    <w:name w:val="footer"/>
    <w:basedOn w:val="Normal"/>
    <w:link w:val="FooterChar"/>
    <w:uiPriority w:val="99"/>
    <w:unhideWhenUsed/>
    <w:rsid w:val="009E4EF6"/>
    <w:pPr>
      <w:tabs>
        <w:tab w:val="center" w:pos="4680"/>
        <w:tab w:val="right" w:pos="9360"/>
      </w:tabs>
      <w:spacing w:line="240" w:lineRule="auto"/>
    </w:pPr>
  </w:style>
  <w:style w:type="character" w:customStyle="1" w:styleId="FooterChar">
    <w:name w:val="Footer Char"/>
    <w:basedOn w:val="DefaultParagraphFont"/>
    <w:link w:val="Footer"/>
    <w:uiPriority w:val="99"/>
    <w:rsid w:val="009E4EF6"/>
  </w:style>
  <w:style w:type="paragraph" w:styleId="Bibliography">
    <w:name w:val="Bibliography"/>
    <w:basedOn w:val="Normal"/>
    <w:next w:val="Normal"/>
    <w:uiPriority w:val="37"/>
    <w:unhideWhenUsed/>
    <w:rsid w:val="00F42C5B"/>
    <w:pPr>
      <w:spacing w:after="240" w:line="240" w:lineRule="auto"/>
    </w:pPr>
  </w:style>
  <w:style w:type="paragraph" w:styleId="ListParagraph">
    <w:name w:val="List Paragraph"/>
    <w:basedOn w:val="Normal"/>
    <w:uiPriority w:val="34"/>
    <w:qFormat/>
    <w:rsid w:val="00980748"/>
    <w:pPr>
      <w:ind w:left="720"/>
      <w:contextualSpacing/>
    </w:pPr>
  </w:style>
  <w:style w:type="character" w:styleId="PlaceholderText">
    <w:name w:val="Placeholder Text"/>
    <w:basedOn w:val="DefaultParagraphFont"/>
    <w:uiPriority w:val="99"/>
    <w:semiHidden/>
    <w:rsid w:val="00A37103"/>
    <w:rPr>
      <w:color w:val="666666"/>
    </w:rPr>
  </w:style>
  <w:style w:type="character" w:styleId="Hyperlink">
    <w:name w:val="Hyperlink"/>
    <w:basedOn w:val="DefaultParagraphFont"/>
    <w:uiPriority w:val="99"/>
    <w:unhideWhenUsed/>
    <w:rsid w:val="003B550A"/>
    <w:rPr>
      <w:color w:val="0000FF" w:themeColor="hyperlink"/>
      <w:u w:val="single"/>
    </w:rPr>
  </w:style>
  <w:style w:type="character" w:styleId="UnresolvedMention">
    <w:name w:val="Unresolved Mention"/>
    <w:basedOn w:val="DefaultParagraphFont"/>
    <w:uiPriority w:val="99"/>
    <w:semiHidden/>
    <w:unhideWhenUsed/>
    <w:rsid w:val="003B55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824969">
      <w:bodyDiv w:val="1"/>
      <w:marLeft w:val="0"/>
      <w:marRight w:val="0"/>
      <w:marTop w:val="0"/>
      <w:marBottom w:val="0"/>
      <w:divBdr>
        <w:top w:val="none" w:sz="0" w:space="0" w:color="auto"/>
        <w:left w:val="none" w:sz="0" w:space="0" w:color="auto"/>
        <w:bottom w:val="none" w:sz="0" w:space="0" w:color="auto"/>
        <w:right w:val="none" w:sz="0" w:space="0" w:color="auto"/>
      </w:divBdr>
    </w:div>
    <w:div w:id="336152168">
      <w:bodyDiv w:val="1"/>
      <w:marLeft w:val="0"/>
      <w:marRight w:val="0"/>
      <w:marTop w:val="0"/>
      <w:marBottom w:val="0"/>
      <w:divBdr>
        <w:top w:val="none" w:sz="0" w:space="0" w:color="auto"/>
        <w:left w:val="none" w:sz="0" w:space="0" w:color="auto"/>
        <w:bottom w:val="none" w:sz="0" w:space="0" w:color="auto"/>
        <w:right w:val="none" w:sz="0" w:space="0" w:color="auto"/>
      </w:divBdr>
    </w:div>
    <w:div w:id="477503198">
      <w:bodyDiv w:val="1"/>
      <w:marLeft w:val="0"/>
      <w:marRight w:val="0"/>
      <w:marTop w:val="0"/>
      <w:marBottom w:val="0"/>
      <w:divBdr>
        <w:top w:val="none" w:sz="0" w:space="0" w:color="auto"/>
        <w:left w:val="none" w:sz="0" w:space="0" w:color="auto"/>
        <w:bottom w:val="none" w:sz="0" w:space="0" w:color="auto"/>
        <w:right w:val="none" w:sz="0" w:space="0" w:color="auto"/>
      </w:divBdr>
      <w:divsChild>
        <w:div w:id="245967352">
          <w:marLeft w:val="0"/>
          <w:marRight w:val="0"/>
          <w:marTop w:val="0"/>
          <w:marBottom w:val="0"/>
          <w:divBdr>
            <w:top w:val="none" w:sz="0" w:space="0" w:color="auto"/>
            <w:left w:val="none" w:sz="0" w:space="0" w:color="auto"/>
            <w:bottom w:val="none" w:sz="0" w:space="0" w:color="auto"/>
            <w:right w:val="none" w:sz="0" w:space="0" w:color="auto"/>
          </w:divBdr>
        </w:div>
      </w:divsChild>
    </w:div>
    <w:div w:id="501748447">
      <w:bodyDiv w:val="1"/>
      <w:marLeft w:val="0"/>
      <w:marRight w:val="0"/>
      <w:marTop w:val="0"/>
      <w:marBottom w:val="0"/>
      <w:divBdr>
        <w:top w:val="none" w:sz="0" w:space="0" w:color="auto"/>
        <w:left w:val="none" w:sz="0" w:space="0" w:color="auto"/>
        <w:bottom w:val="none" w:sz="0" w:space="0" w:color="auto"/>
        <w:right w:val="none" w:sz="0" w:space="0" w:color="auto"/>
      </w:divBdr>
      <w:divsChild>
        <w:div w:id="1043824299">
          <w:marLeft w:val="0"/>
          <w:marRight w:val="0"/>
          <w:marTop w:val="0"/>
          <w:marBottom w:val="0"/>
          <w:divBdr>
            <w:top w:val="none" w:sz="0" w:space="0" w:color="auto"/>
            <w:left w:val="none" w:sz="0" w:space="0" w:color="auto"/>
            <w:bottom w:val="none" w:sz="0" w:space="0" w:color="auto"/>
            <w:right w:val="none" w:sz="0" w:space="0" w:color="auto"/>
          </w:divBdr>
        </w:div>
      </w:divsChild>
    </w:div>
    <w:div w:id="899168049">
      <w:bodyDiv w:val="1"/>
      <w:marLeft w:val="0"/>
      <w:marRight w:val="0"/>
      <w:marTop w:val="0"/>
      <w:marBottom w:val="0"/>
      <w:divBdr>
        <w:top w:val="none" w:sz="0" w:space="0" w:color="auto"/>
        <w:left w:val="none" w:sz="0" w:space="0" w:color="auto"/>
        <w:bottom w:val="none" w:sz="0" w:space="0" w:color="auto"/>
        <w:right w:val="none" w:sz="0" w:space="0" w:color="auto"/>
      </w:divBdr>
    </w:div>
    <w:div w:id="1070345269">
      <w:bodyDiv w:val="1"/>
      <w:marLeft w:val="0"/>
      <w:marRight w:val="0"/>
      <w:marTop w:val="0"/>
      <w:marBottom w:val="0"/>
      <w:divBdr>
        <w:top w:val="none" w:sz="0" w:space="0" w:color="auto"/>
        <w:left w:val="none" w:sz="0" w:space="0" w:color="auto"/>
        <w:bottom w:val="none" w:sz="0" w:space="0" w:color="auto"/>
        <w:right w:val="none" w:sz="0" w:space="0" w:color="auto"/>
      </w:divBdr>
      <w:divsChild>
        <w:div w:id="313221085">
          <w:marLeft w:val="0"/>
          <w:marRight w:val="0"/>
          <w:marTop w:val="0"/>
          <w:marBottom w:val="0"/>
          <w:divBdr>
            <w:top w:val="none" w:sz="0" w:space="0" w:color="auto"/>
            <w:left w:val="none" w:sz="0" w:space="0" w:color="auto"/>
            <w:bottom w:val="none" w:sz="0" w:space="0" w:color="auto"/>
            <w:right w:val="none" w:sz="0" w:space="0" w:color="auto"/>
          </w:divBdr>
          <w:divsChild>
            <w:div w:id="433868551">
              <w:marLeft w:val="0"/>
              <w:marRight w:val="0"/>
              <w:marTop w:val="0"/>
              <w:marBottom w:val="0"/>
              <w:divBdr>
                <w:top w:val="single" w:sz="2" w:space="0" w:color="000000"/>
                <w:left w:val="single" w:sz="2" w:space="0" w:color="000000"/>
                <w:bottom w:val="single" w:sz="2" w:space="0" w:color="000000"/>
                <w:right w:val="single" w:sz="2" w:space="0" w:color="000000"/>
              </w:divBdr>
            </w:div>
            <w:div w:id="1339429737">
              <w:marLeft w:val="0"/>
              <w:marRight w:val="0"/>
              <w:marTop w:val="0"/>
              <w:marBottom w:val="0"/>
              <w:divBdr>
                <w:top w:val="single" w:sz="2" w:space="0" w:color="000000"/>
                <w:left w:val="single" w:sz="2" w:space="0" w:color="000000"/>
                <w:bottom w:val="single" w:sz="2" w:space="0" w:color="000000"/>
                <w:right w:val="single" w:sz="2" w:space="0" w:color="000000"/>
              </w:divBdr>
            </w:div>
            <w:div w:id="10799054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98601578">
      <w:bodyDiv w:val="1"/>
      <w:marLeft w:val="0"/>
      <w:marRight w:val="0"/>
      <w:marTop w:val="0"/>
      <w:marBottom w:val="0"/>
      <w:divBdr>
        <w:top w:val="none" w:sz="0" w:space="0" w:color="auto"/>
        <w:left w:val="none" w:sz="0" w:space="0" w:color="auto"/>
        <w:bottom w:val="none" w:sz="0" w:space="0" w:color="auto"/>
        <w:right w:val="none" w:sz="0" w:space="0" w:color="auto"/>
      </w:divBdr>
      <w:divsChild>
        <w:div w:id="857545164">
          <w:marLeft w:val="0"/>
          <w:marRight w:val="0"/>
          <w:marTop w:val="0"/>
          <w:marBottom w:val="0"/>
          <w:divBdr>
            <w:top w:val="none" w:sz="0" w:space="0" w:color="auto"/>
            <w:left w:val="none" w:sz="0" w:space="0" w:color="auto"/>
            <w:bottom w:val="none" w:sz="0" w:space="0" w:color="auto"/>
            <w:right w:val="none" w:sz="0" w:space="0" w:color="auto"/>
          </w:divBdr>
          <w:divsChild>
            <w:div w:id="811681615">
              <w:marLeft w:val="0"/>
              <w:marRight w:val="0"/>
              <w:marTop w:val="0"/>
              <w:marBottom w:val="0"/>
              <w:divBdr>
                <w:top w:val="single" w:sz="2" w:space="0" w:color="000000"/>
                <w:left w:val="single" w:sz="2" w:space="0" w:color="000000"/>
                <w:bottom w:val="single" w:sz="2" w:space="0" w:color="000000"/>
                <w:right w:val="single" w:sz="2" w:space="0" w:color="000000"/>
              </w:divBdr>
            </w:div>
            <w:div w:id="1253079597">
              <w:marLeft w:val="0"/>
              <w:marRight w:val="0"/>
              <w:marTop w:val="0"/>
              <w:marBottom w:val="0"/>
              <w:divBdr>
                <w:top w:val="single" w:sz="2" w:space="0" w:color="000000"/>
                <w:left w:val="single" w:sz="2" w:space="0" w:color="000000"/>
                <w:bottom w:val="single" w:sz="2" w:space="0" w:color="000000"/>
                <w:right w:val="single" w:sz="2" w:space="0" w:color="000000"/>
              </w:divBdr>
            </w:div>
            <w:div w:id="109709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77512346">
      <w:bodyDiv w:val="1"/>
      <w:marLeft w:val="0"/>
      <w:marRight w:val="0"/>
      <w:marTop w:val="0"/>
      <w:marBottom w:val="0"/>
      <w:divBdr>
        <w:top w:val="none" w:sz="0" w:space="0" w:color="auto"/>
        <w:left w:val="none" w:sz="0" w:space="0" w:color="auto"/>
        <w:bottom w:val="none" w:sz="0" w:space="0" w:color="auto"/>
        <w:right w:val="none" w:sz="0" w:space="0" w:color="auto"/>
      </w:divBdr>
    </w:div>
    <w:div w:id="1520199096">
      <w:bodyDiv w:val="1"/>
      <w:marLeft w:val="0"/>
      <w:marRight w:val="0"/>
      <w:marTop w:val="0"/>
      <w:marBottom w:val="0"/>
      <w:divBdr>
        <w:top w:val="none" w:sz="0" w:space="0" w:color="auto"/>
        <w:left w:val="none" w:sz="0" w:space="0" w:color="auto"/>
        <w:bottom w:val="none" w:sz="0" w:space="0" w:color="auto"/>
        <w:right w:val="none" w:sz="0" w:space="0" w:color="auto"/>
      </w:divBdr>
      <w:divsChild>
        <w:div w:id="93013409">
          <w:marLeft w:val="0"/>
          <w:marRight w:val="0"/>
          <w:marTop w:val="0"/>
          <w:marBottom w:val="0"/>
          <w:divBdr>
            <w:top w:val="none" w:sz="0" w:space="0" w:color="auto"/>
            <w:left w:val="none" w:sz="0" w:space="0" w:color="auto"/>
            <w:bottom w:val="none" w:sz="0" w:space="0" w:color="auto"/>
            <w:right w:val="none" w:sz="0" w:space="0" w:color="auto"/>
          </w:divBdr>
        </w:div>
      </w:divsChild>
    </w:div>
    <w:div w:id="1562207071">
      <w:bodyDiv w:val="1"/>
      <w:marLeft w:val="0"/>
      <w:marRight w:val="0"/>
      <w:marTop w:val="0"/>
      <w:marBottom w:val="0"/>
      <w:divBdr>
        <w:top w:val="none" w:sz="0" w:space="0" w:color="auto"/>
        <w:left w:val="none" w:sz="0" w:space="0" w:color="auto"/>
        <w:bottom w:val="none" w:sz="0" w:space="0" w:color="auto"/>
        <w:right w:val="none" w:sz="0" w:space="0" w:color="auto"/>
      </w:divBdr>
    </w:div>
    <w:div w:id="1592931573">
      <w:bodyDiv w:val="1"/>
      <w:marLeft w:val="0"/>
      <w:marRight w:val="0"/>
      <w:marTop w:val="0"/>
      <w:marBottom w:val="0"/>
      <w:divBdr>
        <w:top w:val="none" w:sz="0" w:space="0" w:color="auto"/>
        <w:left w:val="none" w:sz="0" w:space="0" w:color="auto"/>
        <w:bottom w:val="none" w:sz="0" w:space="0" w:color="auto"/>
        <w:right w:val="none" w:sz="0" w:space="0" w:color="auto"/>
      </w:divBdr>
    </w:div>
    <w:div w:id="1651247276">
      <w:bodyDiv w:val="1"/>
      <w:marLeft w:val="0"/>
      <w:marRight w:val="0"/>
      <w:marTop w:val="0"/>
      <w:marBottom w:val="0"/>
      <w:divBdr>
        <w:top w:val="none" w:sz="0" w:space="0" w:color="auto"/>
        <w:left w:val="none" w:sz="0" w:space="0" w:color="auto"/>
        <w:bottom w:val="none" w:sz="0" w:space="0" w:color="auto"/>
        <w:right w:val="none" w:sz="0" w:space="0" w:color="auto"/>
      </w:divBdr>
    </w:div>
    <w:div w:id="1677725120">
      <w:bodyDiv w:val="1"/>
      <w:marLeft w:val="0"/>
      <w:marRight w:val="0"/>
      <w:marTop w:val="0"/>
      <w:marBottom w:val="0"/>
      <w:divBdr>
        <w:top w:val="none" w:sz="0" w:space="0" w:color="auto"/>
        <w:left w:val="none" w:sz="0" w:space="0" w:color="auto"/>
        <w:bottom w:val="none" w:sz="0" w:space="0" w:color="auto"/>
        <w:right w:val="none" w:sz="0" w:space="0" w:color="auto"/>
      </w:divBdr>
      <w:divsChild>
        <w:div w:id="247271528">
          <w:marLeft w:val="0"/>
          <w:marRight w:val="0"/>
          <w:marTop w:val="0"/>
          <w:marBottom w:val="0"/>
          <w:divBdr>
            <w:top w:val="none" w:sz="0" w:space="0" w:color="auto"/>
            <w:left w:val="none" w:sz="0" w:space="0" w:color="auto"/>
            <w:bottom w:val="none" w:sz="0" w:space="0" w:color="auto"/>
            <w:right w:val="none" w:sz="0" w:space="0" w:color="auto"/>
          </w:divBdr>
        </w:div>
      </w:divsChild>
    </w:div>
    <w:div w:id="19900140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ode.earthengine.google.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1292</TotalTime>
  <Pages>34</Pages>
  <Words>38456</Words>
  <Characters>219200</Characters>
  <Application>Microsoft Office Word</Application>
  <DocSecurity>0</DocSecurity>
  <Lines>1826</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MANZU GERALD</cp:lastModifiedBy>
  <cp:revision>8</cp:revision>
  <dcterms:created xsi:type="dcterms:W3CDTF">2025-03-29T17:14:00Z</dcterms:created>
  <dcterms:modified xsi:type="dcterms:W3CDTF">2025-03-30T14:57:00Z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id="izuXWwAi"/&gt;&lt;style id="http://www.zotero.org/styles/harvard-cite-them-right" hasBibliography="1" bibliographyStyleHasBeenSet="1"/&gt;&lt;prefs&gt;&lt;pref name="fieldType" value="Field"/&gt;&lt;pref name="automatic</vt:lpwstr>
  </property>
  <property fmtid="{D5CDD505-2E9C-101B-9397-08002B2CF9AE}" pid="3" name="ZOTERO_PREF_2">
    <vt:lpwstr>JournalAbbreviations" value="true"/&gt;&lt;/prefs&gt;&lt;/data&gt;</vt:lpwstr>
  </property>
</Properties>
</file>