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黑体" w:hAnsi="黑体" w:eastAsia="黑体"/>
          <w:sz w:val="30"/>
          <w:szCs w:val="30"/>
        </w:rPr>
      </w:pPr>
      <w:r>
        <w:rPr>
          <w:rStyle w:val="11"/>
          <w:rFonts w:hint="eastAsia" w:ascii="黑体" w:hAnsi="黑体" w:eastAsia="黑体"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</w:pPr>
      <w:r>
        <w:rPr>
          <w:rStyle w:val="11"/>
          <w:rFonts w:hint="eastAsia" w:ascii="黑体" w:hAnsi="黑体" w:eastAsia="黑体"/>
          <w:sz w:val="30"/>
          <w:szCs w:val="30"/>
        </w:rPr>
        <w:t xml:space="preserve">本科毕业论文(设计)任务书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18"/>
        <w:gridCol w:w="7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基于Vue+</w:t>
            </w:r>
            <w:r>
              <w:rPr>
                <w:rFonts w:hint="eastAsia" w:ascii="仿宋_GB2312" w:hAnsi="Times New Roman" w:eastAsia="仿宋_GB2312"/>
                <w:szCs w:val="21"/>
                <w:lang w:val="en-US" w:eastAsia="zh-CN"/>
              </w:rPr>
              <w:t>s</w:t>
            </w:r>
            <w:r>
              <w:rPr>
                <w:rFonts w:hint="eastAsia" w:ascii="仿宋_GB2312" w:hAnsi="Times New Roman" w:eastAsia="仿宋_GB2312"/>
                <w:szCs w:val="21"/>
              </w:rPr>
              <w:t>pringboot的数据可视化展示及管理系统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月3日至202</w:t>
            </w:r>
            <w:r>
              <w:rPr>
                <w:rFonts w:hint="eastAsia" w:ascii="仿宋_GB2312" w:eastAsia="仿宋_GB2312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年5日6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3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eastAsia="仿宋_GB2312"/>
              </w:rPr>
              <w:t>1．按时完成开题报告，最终提交符合学校规定的、6000字以上的毕业论文</w:t>
            </w:r>
            <w:r>
              <w:rPr>
                <w:rFonts w:hint="eastAsia" w:eastAsia="仿宋_GB2312"/>
              </w:rPr>
              <w:t>或8</w:t>
            </w:r>
            <w:r>
              <w:rPr>
                <w:rFonts w:eastAsia="仿宋_GB2312"/>
              </w:rPr>
              <w:t>000</w:t>
            </w:r>
            <w:r>
              <w:rPr>
                <w:rFonts w:hint="eastAsia" w:eastAsia="仿宋_GB2312"/>
              </w:rPr>
              <w:t>字以上毕业设计</w:t>
            </w:r>
            <w:r>
              <w:rPr>
                <w:rFonts w:eastAsia="仿宋_GB2312"/>
              </w:rPr>
              <w:t xml:space="preserve">一份，并附电子稿；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2．运用外语翻译至少2000汉字以上的与本专业、课题相关的外文文献一份，译文要准确流畅；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hint="eastAsia" w:eastAsia="仿宋_GB2312"/>
              </w:rPr>
              <w:t>3</w:t>
            </w:r>
            <w:r>
              <w:rPr>
                <w:rFonts w:eastAsia="仿宋_GB2312"/>
              </w:rPr>
              <w:t xml:space="preserve">．毕业设计（论文）应中心突出，有创新、有应用价值，内容充实，论据充分，论证有力，数据可靠，结构紧凑，层次分明，文字流畅，结论正确；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hint="eastAsia" w:eastAsia="仿宋_GB2312"/>
              </w:rPr>
              <w:t>4</w:t>
            </w:r>
            <w:r>
              <w:rPr>
                <w:rFonts w:eastAsia="仿宋_GB2312"/>
              </w:rPr>
              <w:t xml:space="preserve">．至少15条以上的参考文献，其中至少5条为引用文献； </w:t>
            </w:r>
          </w:p>
          <w:p>
            <w:pPr>
              <w:tabs>
                <w:tab w:val="left" w:pos="6870"/>
              </w:tabs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eastAsia="仿宋_GB2312"/>
              </w:rPr>
              <w:t>5</w:t>
            </w:r>
            <w:r>
              <w:rPr>
                <w:rFonts w:eastAsia="仿宋_GB2312"/>
              </w:rPr>
              <w:t>．遵守学校及学院毕业论文撰写纪律，确保论文质量，按时完成任务。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月3日-202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3年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2月18日：查阅与课题相关的文献资料，并完成不少于2000字的外文资料翻译；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月25日前完成开题报告；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年2月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8日起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进行实验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设计或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搜集数据；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月11日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月15日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：进行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中期检查；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月16日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日：起撰写毕业论文，完成论文初稿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年5月1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5月6日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修改并提交论文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终稿；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3年5月1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日：论文答辩。</w:t>
            </w:r>
            <w:bookmarkStart w:id="0" w:name="_GoBack"/>
            <w:bookmarkEnd w:id="0"/>
          </w:p>
          <w:p>
            <w:pPr>
              <w:spacing w:line="0" w:lineRule="atLeast"/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6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ascii="仿宋_GB2312" w:hAnsi="Calibri" w:eastAsia="仿宋_GB2312" w:cs="仿宋_GB2312"/>
                <w:szCs w:val="21"/>
              </w:rPr>
              <w:t>[1]朱励哲</w:t>
            </w:r>
            <w:r>
              <w:rPr>
                <w:rFonts w:hint="eastAsia" w:ascii="仿宋_GB2312" w:hAnsi="Calibri" w:eastAsia="仿宋_GB2312" w:cs="仿宋_GB2312"/>
                <w:szCs w:val="21"/>
              </w:rPr>
              <w:t>,吕杰锋</w:t>
            </w:r>
            <w:r>
              <w:rPr>
                <w:rFonts w:ascii="仿宋_GB2312" w:hAnsi="Calibri" w:eastAsia="仿宋_GB2312" w:cs="仿宋_GB2312"/>
                <w:szCs w:val="21"/>
              </w:rPr>
              <w:t>.</w:t>
            </w:r>
            <w:r>
              <w:rPr>
                <w:rFonts w:hint="eastAsia" w:ascii="仿宋_GB2312" w:hAnsi="Calibri" w:eastAsia="仿宋_GB2312" w:cs="仿宋_GB2312"/>
                <w:szCs w:val="21"/>
              </w:rPr>
              <w:t xml:space="preserve"> </w:t>
            </w:r>
            <w:r>
              <w:rPr>
                <w:rFonts w:ascii="仿宋_GB2312" w:hAnsi="Calibri" w:eastAsia="仿宋_GB2312" w:cs="仿宋_GB2312"/>
                <w:szCs w:val="21"/>
              </w:rPr>
              <w:t>数据可视化中的交互设计研究</w:t>
            </w:r>
            <w:r>
              <w:rPr>
                <w:rFonts w:hint="eastAsia" w:ascii="仿宋_GB2312" w:hAnsi="Calibri" w:eastAsia="仿宋_GB2312" w:cs="仿宋_GB2312"/>
                <w:szCs w:val="21"/>
              </w:rPr>
              <w:t>[D]</w:t>
            </w:r>
            <w:r>
              <w:rPr>
                <w:rFonts w:ascii="仿宋_GB2312" w:hAnsi="Calibri" w:eastAsia="仿宋_GB2312" w:cs="仿宋_GB2312"/>
                <w:szCs w:val="21"/>
              </w:rPr>
              <w:t>.</w:t>
            </w:r>
            <w:r>
              <w:rPr>
                <w:rFonts w:hint="eastAsia" w:ascii="仿宋_GB2312" w:hAnsi="Calibri" w:eastAsia="仿宋_GB2312" w:cs="仿宋_GB2312"/>
                <w:szCs w:val="21"/>
              </w:rPr>
              <w:t>武汉:武汉理工大学</w:t>
            </w:r>
            <w:r>
              <w:rPr>
                <w:rFonts w:ascii="仿宋_GB2312" w:hAnsi="Calibri" w:eastAsia="仿宋_GB2312" w:cs="仿宋_GB2312"/>
                <w:szCs w:val="21"/>
              </w:rPr>
              <w:t>,</w:t>
            </w:r>
            <w:r>
              <w:rPr>
                <w:rFonts w:hint="eastAsia" w:ascii="仿宋_GB2312" w:hAnsi="Calibri" w:eastAsia="仿宋_GB2312" w:cs="仿宋_GB2312"/>
                <w:szCs w:val="21"/>
              </w:rPr>
              <w:t>2016</w:t>
            </w:r>
            <w:r>
              <w:rPr>
                <w:rFonts w:ascii="仿宋_GB2312" w:hAnsi="Calibri" w:eastAsia="仿宋_GB2312" w:cs="仿宋_GB2312"/>
                <w:szCs w:val="21"/>
              </w:rPr>
              <w:t>.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hAnsi="Calibri" w:eastAsia="仿宋_GB2312" w:cs="仿宋_GB2312"/>
                <w:szCs w:val="21"/>
              </w:rPr>
              <w:t>[2]邱德清,吴国仕. 基于web的多维数据可视化工具的研究与实现[D].北京:北京邮电大学,2014.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hAnsi="Calibri" w:eastAsia="仿宋_GB2312" w:cs="仿宋_GB2312"/>
                <w:szCs w:val="21"/>
              </w:rPr>
              <w:t>[3]施皓，范磊,李品新,高工. 面向布局推荐的数据可视化系统设计与实现[D]. 西安:西安电子科技大学,2019.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hAnsi="Calibri" w:eastAsia="仿宋_GB2312" w:cs="仿宋_GB2312"/>
                <w:szCs w:val="21"/>
              </w:rPr>
              <w:t>[4]郑娅峰,亚宁,白雪,傅骞. 教育大数据可视化研究综述[J].计算机科学与探索,15(3):1-20.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hAnsi="Calibri" w:eastAsia="仿宋_GB2312" w:cs="仿宋_GB2312"/>
                <w:szCs w:val="21"/>
              </w:rPr>
              <w:t>[5]吴飞燕. 基于HTML5 Canvas绘图技术应用[J].电子测试,2018(4):57.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hAnsi="Calibri" w:eastAsia="仿宋_GB2312" w:cs="仿宋_GB2312"/>
                <w:szCs w:val="21"/>
              </w:rPr>
              <w:t>[6]罗永梅. 基于Vue的响应式数据可视化平台的设计与实现[J].计算机应用信息技术与信息化,2022,第9期:20-21.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hAnsi="Calibri" w:eastAsia="仿宋_GB2312" w:cs="仿宋_GB2312"/>
                <w:szCs w:val="21"/>
              </w:rPr>
              <w:t>[7]王荟奥,蔡永香,杨岸霖,游小玲,何宗宜. 大屏数据可视化易用工具的研究与开发[J].计算机系统应用,31(2):114-119.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hAnsi="Calibri" w:eastAsia="仿宋_GB2312" w:cs="仿宋_GB2312"/>
                <w:szCs w:val="21"/>
              </w:rPr>
              <w:t>[8]dataV [EB/OL]. https://data.aliyun.com/visual/datav/.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hAnsi="Calibri" w:eastAsia="仿宋_GB2312" w:cs="仿宋_GB2312"/>
                <w:szCs w:val="21"/>
              </w:rPr>
              <w:t>[9]Ware,C.(2013). Information visualization: perception for design. Elsevier.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hAnsi="Calibri" w:eastAsia="仿宋_GB2312" w:cs="仿宋_GB2312"/>
                <w:szCs w:val="21"/>
              </w:rPr>
              <w:t>[10]Munzner,T.(2014). Visualization analysis and design. CRC Press.</w:t>
            </w:r>
          </w:p>
          <w:p>
            <w:pPr>
              <w:spacing w:line="0" w:lineRule="atLeast"/>
              <w:ind w:firstLine="420" w:firstLineChars="200"/>
              <w:jc w:val="left"/>
              <w:rPr>
                <w:rFonts w:ascii="仿宋_GB2312" w:eastAsia="仿宋_GB2312"/>
                <w:b/>
                <w:color w:val="FF0000"/>
                <w:szCs w:val="21"/>
              </w:rPr>
            </w:pPr>
            <w:r>
              <w:rPr>
                <w:rFonts w:hint="eastAsia" w:ascii="仿宋_GB2312" w:hAnsi="Calibri" w:eastAsia="仿宋_GB2312" w:cs="仿宋_GB2312"/>
                <w:szCs w:val="21"/>
              </w:rPr>
              <w:t>[11]Wilkinson, L.(2006). The grammar of graphics (2nd ed.). Springer.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mODIwYWY2NDRlZDY4NzJmOWZhZGQ1MzVmMWE0OGUifQ=="/>
  </w:docVars>
  <w:rsids>
    <w:rsidRoot w:val="00B01315"/>
    <w:rsid w:val="00000D75"/>
    <w:rsid w:val="000018A3"/>
    <w:rsid w:val="000069E5"/>
    <w:rsid w:val="00014B97"/>
    <w:rsid w:val="0004037F"/>
    <w:rsid w:val="00041AD0"/>
    <w:rsid w:val="00056FB8"/>
    <w:rsid w:val="0006794D"/>
    <w:rsid w:val="000B6536"/>
    <w:rsid w:val="000C3EE5"/>
    <w:rsid w:val="000D5181"/>
    <w:rsid w:val="0011228B"/>
    <w:rsid w:val="00145542"/>
    <w:rsid w:val="00154896"/>
    <w:rsid w:val="00184C8A"/>
    <w:rsid w:val="001947B9"/>
    <w:rsid w:val="001B5839"/>
    <w:rsid w:val="001E0622"/>
    <w:rsid w:val="00200B6C"/>
    <w:rsid w:val="0024386E"/>
    <w:rsid w:val="0026065E"/>
    <w:rsid w:val="00262858"/>
    <w:rsid w:val="002A16E8"/>
    <w:rsid w:val="002A2952"/>
    <w:rsid w:val="002D182B"/>
    <w:rsid w:val="002D1CE0"/>
    <w:rsid w:val="002F2CCE"/>
    <w:rsid w:val="00305485"/>
    <w:rsid w:val="00306163"/>
    <w:rsid w:val="0033798F"/>
    <w:rsid w:val="003653BC"/>
    <w:rsid w:val="00377F68"/>
    <w:rsid w:val="003C1BDD"/>
    <w:rsid w:val="003D6FB3"/>
    <w:rsid w:val="003F13C6"/>
    <w:rsid w:val="004044C6"/>
    <w:rsid w:val="00465B42"/>
    <w:rsid w:val="004754B4"/>
    <w:rsid w:val="004907FD"/>
    <w:rsid w:val="004C5614"/>
    <w:rsid w:val="004E3CD0"/>
    <w:rsid w:val="004F1FF5"/>
    <w:rsid w:val="004F3AB6"/>
    <w:rsid w:val="00510FFC"/>
    <w:rsid w:val="005953C9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D6F3F"/>
    <w:rsid w:val="007E2E0E"/>
    <w:rsid w:val="007E3B1A"/>
    <w:rsid w:val="00841F12"/>
    <w:rsid w:val="00862E98"/>
    <w:rsid w:val="00867A91"/>
    <w:rsid w:val="008778CE"/>
    <w:rsid w:val="00887E95"/>
    <w:rsid w:val="00897497"/>
    <w:rsid w:val="008978C9"/>
    <w:rsid w:val="008A7CAA"/>
    <w:rsid w:val="008B3AC5"/>
    <w:rsid w:val="008C77F3"/>
    <w:rsid w:val="008E11B7"/>
    <w:rsid w:val="009474BE"/>
    <w:rsid w:val="00952A78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D740F"/>
    <w:rsid w:val="00B01315"/>
    <w:rsid w:val="00B40221"/>
    <w:rsid w:val="00B443AF"/>
    <w:rsid w:val="00B90A53"/>
    <w:rsid w:val="00BA3E5B"/>
    <w:rsid w:val="00BB0417"/>
    <w:rsid w:val="00BD21FF"/>
    <w:rsid w:val="00BF5EC6"/>
    <w:rsid w:val="00C04EAB"/>
    <w:rsid w:val="00C168CA"/>
    <w:rsid w:val="00C37DC0"/>
    <w:rsid w:val="00C62D9A"/>
    <w:rsid w:val="00C8286A"/>
    <w:rsid w:val="00C92CD4"/>
    <w:rsid w:val="00CA398E"/>
    <w:rsid w:val="00CB701F"/>
    <w:rsid w:val="00CC37A3"/>
    <w:rsid w:val="00CC4DDE"/>
    <w:rsid w:val="00D25F3B"/>
    <w:rsid w:val="00D46B87"/>
    <w:rsid w:val="00DA2130"/>
    <w:rsid w:val="00DC30D7"/>
    <w:rsid w:val="00DD0244"/>
    <w:rsid w:val="00DD658D"/>
    <w:rsid w:val="00DE7AEE"/>
    <w:rsid w:val="00E82326"/>
    <w:rsid w:val="00E831E4"/>
    <w:rsid w:val="00E90B57"/>
    <w:rsid w:val="00E927C2"/>
    <w:rsid w:val="00EE6BBE"/>
    <w:rsid w:val="00F055A7"/>
    <w:rsid w:val="00F35497"/>
    <w:rsid w:val="03B825BD"/>
    <w:rsid w:val="03DD2173"/>
    <w:rsid w:val="06BC5734"/>
    <w:rsid w:val="09CF253A"/>
    <w:rsid w:val="0D604FF5"/>
    <w:rsid w:val="24230FD4"/>
    <w:rsid w:val="2E610FF9"/>
    <w:rsid w:val="43122A4F"/>
    <w:rsid w:val="46AE44CB"/>
    <w:rsid w:val="48E0019A"/>
    <w:rsid w:val="4C54719E"/>
    <w:rsid w:val="529B5CA8"/>
    <w:rsid w:val="60A44956"/>
    <w:rsid w:val="66F6569E"/>
    <w:rsid w:val="699147E0"/>
    <w:rsid w:val="6D3B1C7F"/>
    <w:rsid w:val="6D4907AF"/>
    <w:rsid w:val="6E810FF8"/>
    <w:rsid w:val="71EA2ACC"/>
    <w:rsid w:val="78F2753E"/>
    <w:rsid w:val="7C6644AE"/>
    <w:rsid w:val="7D331C8E"/>
    <w:rsid w:val="7E3278B3"/>
    <w:rsid w:val="7F7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style11"/>
    <w:qFormat/>
    <w:uiPriority w:val="0"/>
    <w:rPr>
      <w:sz w:val="36"/>
      <w:szCs w:val="36"/>
    </w:r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737</Words>
  <Characters>1148</Characters>
  <Lines>8</Lines>
  <Paragraphs>2</Paragraphs>
  <TotalTime>2</TotalTime>
  <ScaleCrop>false</ScaleCrop>
  <LinksUpToDate>false</LinksUpToDate>
  <CharactersWithSpaces>1188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2020-04-17T05:55:00Z</dcterms:created>
  <dc:creator>张 丽莉</dc:creator>
  <cp:lastModifiedBy>舒克啊</cp:lastModifiedBy>
  <dcterms:modified xsi:type="dcterms:W3CDTF">2023-04-23T13:41:48Z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1D07140692994C8BA4BDBC7534E2C74A</vt:lpwstr>
  </property>
</Properties>
</file>