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河南科技学院</w:t>
      </w:r>
    </w:p>
    <w:p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本科毕业论文(设计)开题报告</w:t>
      </w:r>
    </w:p>
    <w:tbl>
      <w:tblPr>
        <w:tblStyle w:val="5"/>
        <w:tblW w:w="8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1"/>
        <w:gridCol w:w="1412"/>
        <w:gridCol w:w="1117"/>
        <w:gridCol w:w="2476"/>
        <w:gridCol w:w="884"/>
        <w:gridCol w:w="1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</w:rPr>
              <w:t>题目名称：</w:t>
            </w:r>
            <w:r>
              <w:rPr>
                <w:rFonts w:hint="eastAsia" w:ascii="仿宋_GB2312" w:eastAsia="仿宋_GB2312"/>
                <w:lang w:val="en-US" w:eastAsia="zh-CN"/>
              </w:rPr>
              <w:t>基于vue的记账app的设计与实现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学生姓名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詹圆圆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tLeast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计算机科学与技术</w:t>
            </w: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学号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20191514330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指导教师姓名</w:t>
            </w:r>
          </w:p>
        </w:tc>
        <w:tc>
          <w:tcPr>
            <w:tcW w:w="14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/>
              <w:jc w:val="left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宋毓震</w:t>
            </w:r>
          </w:p>
        </w:tc>
        <w:tc>
          <w:tcPr>
            <w:tcW w:w="1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105" w:firstLineChars="5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所学专业</w:t>
            </w:r>
          </w:p>
        </w:tc>
        <w:tc>
          <w:tcPr>
            <w:tcW w:w="25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/>
              <w:rPr>
                <w:rFonts w:ascii="仿宋_GB2312" w:eastAsia="仿宋_GB2312"/>
              </w:rPr>
            </w:pPr>
          </w:p>
        </w:tc>
        <w:tc>
          <w:tcPr>
            <w:tcW w:w="8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105" w:firstLineChars="5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职称</w:t>
            </w:r>
          </w:p>
        </w:tc>
        <w:tc>
          <w:tcPr>
            <w:tcW w:w="13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/>
              <w:rPr>
                <w:rFonts w:hint="eastAsia" w:ascii="仿宋_GB2312" w:eastAsia="仿宋_GB2312"/>
                <w:lang w:val="en-US" w:eastAsia="zh-CN"/>
              </w:rPr>
            </w:pPr>
            <w:r>
              <w:rPr>
                <w:rFonts w:hint="eastAsia" w:ascii="仿宋_GB2312" w:eastAsia="仿宋_GB2312"/>
                <w:lang w:val="en-US" w:eastAsia="zh-CN"/>
              </w:rPr>
              <w:t>讲师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 w:leftChars="-51" w:firstLine="105" w:firstLineChars="5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完成期限</w:t>
            </w:r>
          </w:p>
        </w:tc>
        <w:tc>
          <w:tcPr>
            <w:tcW w:w="725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07"/>
              <w:jc w:val="center"/>
              <w:rPr>
                <w:rFonts w:ascii="仿宋_GB2312" w:eastAsia="仿宋_GB2312"/>
              </w:rPr>
            </w:pPr>
            <w:r>
              <w:rPr>
                <w:rFonts w:ascii="仿宋_GB2312" w:eastAsia="仿宋_GB2312"/>
              </w:rPr>
              <w:t>2</w:t>
            </w:r>
            <w:r>
              <w:rPr>
                <w:rFonts w:ascii="仿宋_GB2312" w:eastAsia="仿宋_GB2312"/>
                <w:szCs w:val="21"/>
              </w:rPr>
              <w:t>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1</w:t>
            </w:r>
            <w:r>
              <w:rPr>
                <w:rFonts w:ascii="仿宋_GB2312" w:eastAsia="仿宋_GB2312"/>
                <w:szCs w:val="21"/>
              </w:rPr>
              <w:t>月</w:t>
            </w:r>
            <w:r>
              <w:rPr>
                <w:rFonts w:hint="eastAsia" w:ascii="仿宋_GB2312" w:eastAsia="仿宋_GB2312"/>
                <w:szCs w:val="21"/>
              </w:rPr>
              <w:t>4</w:t>
            </w:r>
            <w:r>
              <w:rPr>
                <w:rFonts w:ascii="仿宋_GB2312" w:eastAsia="仿宋_GB2312"/>
                <w:szCs w:val="21"/>
              </w:rPr>
              <w:t>日至202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3</w:t>
            </w:r>
            <w:r>
              <w:rPr>
                <w:rFonts w:ascii="仿宋_GB2312" w:eastAsia="仿宋_GB2312"/>
                <w:szCs w:val="21"/>
              </w:rPr>
              <w:t>年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日</w:t>
            </w:r>
            <w:r>
              <w:rPr>
                <w:rFonts w:hint="eastAsia" w:ascii="仿宋_GB2312" w:eastAsia="仿宋_GB2312"/>
                <w:szCs w:val="21"/>
              </w:rPr>
              <w:t>2</w:t>
            </w:r>
            <w:r>
              <w:rPr>
                <w:rFonts w:ascii="仿宋_GB2312" w:eastAsia="仿宋_GB2312"/>
                <w:szCs w:val="21"/>
              </w:rPr>
              <w:t>5</w:t>
            </w:r>
            <w:r>
              <w:rPr>
                <w:rFonts w:hint="eastAsia" w:ascii="仿宋_GB2312" w:eastAsia="仿宋_GB2312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9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一、选题的目的意义</w:t>
            </w:r>
          </w:p>
          <w:p>
            <w:pPr>
              <w:spacing w:line="240" w:lineRule="atLeast"/>
              <w:ind w:firstLine="420" w:firstLineChars="200"/>
              <w:rPr>
                <w:rFonts w:hint="eastAsia"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时代逐步靠近信息化，互联网计算机为大众生活带来了高效便捷的工作或学习方式，人们已经逐渐习惯了无纸化</w:t>
            </w: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生活方式</w:t>
            </w:r>
            <w:r>
              <w:rPr>
                <w:rFonts w:hint="eastAsia" w:ascii="仿宋_GB2312" w:hAnsi="Times New Roman" w:eastAsia="仿宋_GB2312"/>
                <w:szCs w:val="21"/>
              </w:rPr>
              <w:t>。现如今越来越</w:t>
            </w: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多</w:t>
            </w:r>
            <w:r>
              <w:rPr>
                <w:rFonts w:hint="eastAsia" w:ascii="仿宋_GB2312" w:hAnsi="Times New Roman" w:eastAsia="仿宋_GB2312"/>
                <w:szCs w:val="21"/>
              </w:rPr>
              <w:t>人注重记账，在生活中我们都需要好好的记录自己的每一笔支出和收入，这时候记账类APP开发就能派上用场</w:t>
            </w: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了</w:t>
            </w:r>
            <w:r>
              <w:rPr>
                <w:rFonts w:hint="eastAsia" w:ascii="仿宋_GB2312" w:hAnsi="Times New Roman" w:eastAsia="仿宋_GB2312"/>
                <w:szCs w:val="21"/>
              </w:rPr>
              <w:t>。</w:t>
            </w:r>
          </w:p>
          <w:p>
            <w:pPr>
              <w:spacing w:line="240" w:lineRule="atLeast"/>
              <w:ind w:firstLine="420" w:firstLineChars="200"/>
              <w:rPr>
                <w:rFonts w:hint="eastAsia"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记账能够帮助用户及时了解自己的每天、每月的消费情况，这样子就能够更好的规划自己财政支出的用途。当代大多数年轻人的金钱消费观都是及时享乐，导致过了好几年都不能攒到钱，而用户使用记账类的APP就能够培养用户节省金钱的意识，避免成为月光族。用户使用记账软件，就能准确掌握自己的财政收入和支出，这样就方便用户合理分配自己的钱财。</w:t>
            </w:r>
          </w:p>
          <w:p>
            <w:pPr>
              <w:spacing w:line="240" w:lineRule="atLeast"/>
              <w:ind w:firstLine="420" w:firstLineChars="200"/>
              <w:rPr>
                <w:rFonts w:ascii="仿宋_GB2312" w:hAnsi="Times New Roman" w:eastAsia="仿宋_GB2312"/>
                <w:szCs w:val="21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用户可以设置每月的财政收入，这样就能方便平台根据用户的需求计算出每日的支出情况，若是需要节省一定的钱财，也能够自己设置每日支出金额。用户可以记录复制其它平台的花费金钱，就能够轻松完成记账操作，另外在现实中花费的金钱就需要用户手动记账。平台会根据用户的记账记录，生成一个消费表格，里面记录了用户每一</w:t>
            </w: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天</w:t>
            </w:r>
            <w:r>
              <w:rPr>
                <w:rFonts w:hint="eastAsia" w:ascii="仿宋_GB2312" w:hAnsi="Times New Roman" w:eastAsia="仿宋_GB2312"/>
                <w:szCs w:val="21"/>
              </w:rPr>
              <w:t>或者一个月的支出情况并且生成统计图方便用户了解。</w:t>
            </w:r>
          </w:p>
          <w:p>
            <w:pPr>
              <w:spacing w:line="0" w:lineRule="atLeast"/>
              <w:ind w:firstLine="420" w:firstLineChars="200"/>
              <w:rPr>
                <w:rFonts w:hint="default" w:ascii="仿宋_GB2312" w:eastAsia="仿宋_GB2312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szCs w:val="21"/>
              </w:rPr>
              <w:t>该</w:t>
            </w: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软件</w:t>
            </w:r>
            <w:r>
              <w:rPr>
                <w:rFonts w:hint="eastAsia" w:ascii="仿宋_GB2312" w:hAnsi="Times New Roman" w:eastAsia="仿宋_GB2312"/>
                <w:szCs w:val="21"/>
              </w:rPr>
              <w:t>的意义在于实现对</w:t>
            </w: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账单</w:t>
            </w:r>
            <w:r>
              <w:rPr>
                <w:rFonts w:hint="eastAsia" w:ascii="仿宋_GB2312" w:hAnsi="Times New Roman" w:eastAsia="仿宋_GB2312"/>
                <w:szCs w:val="21"/>
              </w:rPr>
              <w:t>的科学管理，</w:t>
            </w: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使得</w:t>
            </w:r>
            <w:r>
              <w:rPr>
                <w:rFonts w:hint="eastAsia" w:ascii="仿宋_GB2312" w:hAnsi="Times New Roman" w:eastAsia="仿宋_GB2312"/>
                <w:szCs w:val="21"/>
              </w:rPr>
              <w:t>学生</w:t>
            </w:r>
            <w:r>
              <w:rPr>
                <w:rFonts w:hint="eastAsia" w:ascii="仿宋_GB2312" w:hAnsi="Times New Roman" w:eastAsia="仿宋_GB2312"/>
                <w:szCs w:val="21"/>
                <w:lang w:val="en-US" w:eastAsia="zh-CN"/>
              </w:rPr>
              <w:t>更加清楚支出明细。具有实用意义，深受用户喜爱。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>二、国内外研究现状</w:t>
            </w:r>
          </w:p>
          <w:p>
            <w:pPr>
              <w:numPr>
                <w:numId w:val="0"/>
              </w:numPr>
              <w:ind w:firstLine="422" w:firstLineChars="200"/>
              <w:rPr>
                <w:rFonts w:hint="eastAsia"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(</w:t>
            </w: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一</w:t>
            </w:r>
            <w:r>
              <w:rPr>
                <w:rFonts w:hint="eastAsia" w:ascii="仿宋_GB2312" w:eastAsia="仿宋_GB2312"/>
                <w:b/>
                <w:szCs w:val="21"/>
              </w:rPr>
              <w:t>)国</w:t>
            </w:r>
            <w:r>
              <w:rPr>
                <w:rFonts w:hint="eastAsia" w:ascii="仿宋_GB2312" w:eastAsia="仿宋_GB2312"/>
                <w:b/>
                <w:szCs w:val="21"/>
                <w:lang w:val="en-US" w:eastAsia="zh-CN"/>
              </w:rPr>
              <w:t>外</w:t>
            </w:r>
            <w:r>
              <w:rPr>
                <w:rFonts w:hint="eastAsia" w:ascii="仿宋_GB2312" w:eastAsia="仿宋_GB2312"/>
                <w:b/>
                <w:szCs w:val="21"/>
              </w:rPr>
              <w:t>研究现状</w:t>
            </w:r>
          </w:p>
          <w:p>
            <w:pPr>
              <w:spacing w:line="400" w:lineRule="exact"/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在国外，基于Vue的记账App的设计与实现也得到了广泛的研究和应用。以下是一些相关的研究现状：</w:t>
            </w:r>
          </w:p>
          <w:p>
            <w:pPr>
              <w:spacing w:line="400" w:lineRule="exact"/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设计模式的应用：在Vue的记账App中，常常使用了一些设计模式来提高代码的可维护性和可扩展性。例如，使用Vuex来管理应用的状态、使用组件化来实现代码的复用等。</w:t>
            </w:r>
          </w:p>
          <w:p>
            <w:pPr>
              <w:spacing w:line="400" w:lineRule="exact"/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2.</w:t>
            </w:r>
            <w:r>
              <w:rPr>
                <w:rFonts w:hint="eastAsia" w:ascii="仿宋_GB2312" w:eastAsia="仿宋_GB2312"/>
                <w:szCs w:val="21"/>
              </w:rPr>
              <w:t>数据可视化的实现：记账App中的数据可视化是非常重要的一部分，可以帮助用户更好地了解自己的财务状况。在Vue的记账App中，常常使用了一些数据可视化的库，如Echarts、Chart.js等。</w:t>
            </w:r>
          </w:p>
          <w:p>
            <w:pPr>
              <w:spacing w:line="400" w:lineRule="exact"/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3.</w:t>
            </w:r>
            <w:r>
              <w:rPr>
                <w:rFonts w:hint="eastAsia" w:ascii="仿宋_GB2312" w:eastAsia="仿宋_GB2312"/>
                <w:szCs w:val="21"/>
              </w:rPr>
              <w:t>移动端适配的实现：记账App通常是在移动端使用的，因此需要进行移动端适配。在Vue的记账App中，常常使用了一些移动端适配的库，如Vant、Mint UI等。</w:t>
            </w:r>
          </w:p>
          <w:p>
            <w:pPr>
              <w:spacing w:line="400" w:lineRule="exact"/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4.</w:t>
            </w:r>
            <w:r>
              <w:rPr>
                <w:rFonts w:hint="eastAsia" w:ascii="仿宋_GB2312" w:eastAsia="仿宋_GB2312"/>
                <w:szCs w:val="21"/>
              </w:rPr>
              <w:t>云同步的实现：记账App中的数据通常需要进行云同步，以便用户在不同设备上都能够访问到自己的数据。在Vue的记账App中，常常使用了一些云同步的库，如Firebase、LeanCloud等。</w:t>
            </w:r>
            <w:bookmarkStart w:id="0" w:name="_GoBack"/>
            <w:bookmarkEnd w:id="0"/>
          </w:p>
          <w:p>
            <w:pPr>
              <w:spacing w:line="400" w:lineRule="exact"/>
              <w:ind w:firstLine="420" w:firstLineChars="20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总的来说，国外的研究者在基于Vue的记账App的设计与实现方面已经取得了一些成果，这些成果可以为国内的研究者提供一些借鉴和启示。</w:t>
            </w:r>
          </w:p>
          <w:p>
            <w:pPr>
              <w:spacing w:line="400" w:lineRule="exact"/>
              <w:ind w:firstLine="422" w:firstLineChars="200"/>
              <w:rPr>
                <w:rFonts w:ascii="仿宋_GB2312" w:eastAsia="仿宋_GB2312"/>
                <w:b/>
                <w:szCs w:val="21"/>
              </w:rPr>
            </w:pPr>
            <w:r>
              <w:rPr>
                <w:rFonts w:hint="eastAsia" w:ascii="仿宋_GB2312" w:eastAsia="仿宋_GB2312"/>
                <w:b/>
                <w:szCs w:val="21"/>
              </w:rPr>
              <w:t>(二)国内研究现状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基于Vue的记账App在研究和应用方面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在国内</w:t>
            </w:r>
            <w:r>
              <w:rPr>
                <w:rFonts w:hint="eastAsia" w:ascii="仿宋_GB2312" w:eastAsia="仿宋_GB2312"/>
                <w:szCs w:val="21"/>
              </w:rPr>
              <w:t>都有着较为广泛的现状，以下是一些主要的研究现状：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记账App的设计和实现：许多研究者都探讨了如何使用Vue框架设计和实现记账App，包括前端页面的设计、数据结构的设计、接口的设计等方面。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2.</w:t>
            </w:r>
            <w:r>
              <w:rPr>
                <w:rFonts w:hint="eastAsia" w:ascii="仿宋_GB2312" w:eastAsia="仿宋_GB2312"/>
                <w:szCs w:val="21"/>
              </w:rPr>
              <w:t>记账App的性能优化：随着记账App的功能越来越复杂，性能优化也成为了一个重要的研究方向。一些研究者通过使用Vue的异步组件、懒加载等技术来提高应用的性能。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3.</w:t>
            </w:r>
            <w:r>
              <w:rPr>
                <w:rFonts w:hint="eastAsia" w:ascii="仿宋_GB2312" w:eastAsia="仿宋_GB2312"/>
                <w:szCs w:val="21"/>
              </w:rPr>
              <w:t>记账App的用户体验研究：用户体验是记账App的重要方面，一些研究者通过用户调研、用户测试等方式来探讨如何提高记账App的用户体验，包括界面设计、操作流程、反馈机制等方面。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4.</w:t>
            </w:r>
            <w:r>
              <w:rPr>
                <w:rFonts w:hint="eastAsia" w:ascii="仿宋_GB2312" w:eastAsia="仿宋_GB2312"/>
                <w:szCs w:val="21"/>
              </w:rPr>
              <w:t>记账App的安全性研究：记账App涉及到用户的财务信息，安全性是一个重要的问题。一些研究者通过使用加密技术、安全认证等方式来提高记账App的安全性。</w:t>
            </w:r>
          </w:p>
          <w:p>
            <w:pPr>
              <w:spacing w:line="400" w:lineRule="exact"/>
              <w:ind w:firstLine="42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Cs w:val="21"/>
              </w:rPr>
              <w:t>总的来说，基于Vue的记账App在研究和应用方面都有着较为广泛的现状，未来还有很大的发展空间。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三、主要研究内容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基于Vue的记账App的简单设计：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首页：展示当月的收支情况，包括收入、支出和结余，以及当月的账单列表。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2.</w:t>
            </w:r>
            <w:r>
              <w:rPr>
                <w:rFonts w:hint="eastAsia" w:ascii="仿宋_GB2312" w:eastAsia="仿宋_GB2312"/>
                <w:szCs w:val="21"/>
              </w:rPr>
              <w:t>记账页：用户可以选择收入或支出，填写金额、类别、备注等信息，并保存到账单列表中。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3.</w:t>
            </w:r>
            <w:r>
              <w:rPr>
                <w:rFonts w:hint="eastAsia" w:ascii="仿宋_GB2312" w:eastAsia="仿宋_GB2312"/>
                <w:szCs w:val="21"/>
              </w:rPr>
              <w:t>账单页：展示所有的账单列表，用户可以查看、编辑或删除账单。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4.</w:t>
            </w:r>
            <w:r>
              <w:rPr>
                <w:rFonts w:hint="eastAsia" w:ascii="仿宋_GB2312" w:eastAsia="仿宋_GB2312"/>
                <w:szCs w:val="21"/>
              </w:rPr>
              <w:t>统计页：展示用户的收支情况，包括收入、支出和结余的比例图表，以及各类别的收支情况。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技术实现：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使用Vue框架搭建前端页面，使用Vue Router实现页面路由。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2.</w:t>
            </w:r>
            <w:r>
              <w:rPr>
                <w:rFonts w:hint="eastAsia" w:ascii="仿宋_GB2312" w:eastAsia="仿宋_GB2312"/>
                <w:szCs w:val="21"/>
              </w:rPr>
              <w:t>使用Axios库实现前后端数据交互。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3.</w:t>
            </w:r>
            <w:r>
              <w:rPr>
                <w:rFonts w:hint="eastAsia" w:ascii="仿宋_GB2312" w:eastAsia="仿宋_GB2312"/>
                <w:szCs w:val="21"/>
              </w:rPr>
              <w:t>使用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Vant</w:t>
            </w:r>
            <w:r>
              <w:rPr>
                <w:rFonts w:hint="eastAsia" w:ascii="仿宋_GB2312" w:eastAsia="仿宋_GB2312"/>
                <w:szCs w:val="21"/>
              </w:rPr>
              <w:t>库实现页面布局和样式。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4.</w:t>
            </w:r>
            <w:r>
              <w:rPr>
                <w:rFonts w:hint="eastAsia" w:ascii="仿宋_GB2312" w:eastAsia="仿宋_GB2312"/>
                <w:szCs w:val="21"/>
              </w:rPr>
              <w:t>使用ECharts库实现统计图表展示。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数据结构：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1.</w:t>
            </w:r>
            <w:r>
              <w:rPr>
                <w:rFonts w:hint="eastAsia" w:ascii="仿宋_GB2312" w:eastAsia="仿宋_GB2312"/>
                <w:szCs w:val="21"/>
              </w:rPr>
              <w:t>账单列表：包括账单ID、收支类型、金额、类别、备注、创建时间等字段。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2.</w:t>
            </w:r>
            <w:r>
              <w:rPr>
                <w:rFonts w:hint="eastAsia" w:ascii="仿宋_GB2312" w:eastAsia="仿宋_GB2312"/>
                <w:szCs w:val="21"/>
              </w:rPr>
              <w:t>类别列表：包括类别ID、类别名称、类别类型（收入或支出）等字段。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</w:p>
          <w:p>
            <w:pPr>
              <w:spacing w:line="400" w:lineRule="exact"/>
              <w:ind w:firstLine="42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Cs w:val="21"/>
              </w:rPr>
              <w:t>以上是一个简单的基于Vue的记账App的设计，具体实现还需要根据实际情况进行调整和完善。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2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>四、毕业论文（设计）的研究方法或技术路线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1.确定需求和功能：首先需要明确记账app的需求和功能，包括账单记录、分类统计、数据分析等。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2.选择技术栈：基于vue的记账app可以选择vue.js作为前端框架，使用vue-cli脚手架工具搭建项目，使用vue-router进行路由管理，使用vuex进行状态管理，使用axios进行数据请求等。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3.设计UI界面：设计UI界面需要考虑用户体验和界面美观度，可以使用UI框架如</w: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Vant</w:t>
            </w:r>
            <w:r>
              <w:rPr>
                <w:rFonts w:hint="eastAsia" w:ascii="仿宋_GB2312" w:eastAsia="仿宋_GB2312"/>
                <w:szCs w:val="21"/>
              </w:rPr>
              <w:t>等进行快速开发。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4.开发后端接口：开发后端接口需要选择合适的后端技术栈，如Node.js、Spring Boot等，实现账单记录、分类统计等功能的接口。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5.前后端联调：前后端联调需要确保前后端接口的数据传输正常，可以使用Postman等工具进行接口测试。</w:t>
            </w:r>
          </w:p>
          <w:p>
            <w:pPr>
              <w:spacing w:line="400" w:lineRule="exact"/>
              <w:ind w:firstLine="420"/>
              <w:rPr>
                <w:rFonts w:hint="eastAsia"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6.测试和优化：测试和优化需要对应用进行功能测试、性能测试和安全测试，发现问题后及时进行优化和修复。</w:t>
            </w:r>
          </w:p>
          <w:p>
            <w:pPr>
              <w:spacing w:line="400" w:lineRule="exact"/>
              <w:ind w:firstLine="42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  <w:szCs w:val="21"/>
              </w:rPr>
              <w:t>7.发布上线：发布上线需要选择合适的云服务商，如阿里云、腾讯云等，进行应用部署和发布。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1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</w:tabs>
              <w:ind w:left="420" w:hanging="42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 w:cs="仿宋_GB2312"/>
              </w:rPr>
              <w:t>五、</w:t>
            </w:r>
            <w:r>
              <w:rPr>
                <w:rFonts w:hint="eastAsia" w:ascii="仿宋_GB2312" w:eastAsia="仿宋_GB2312"/>
              </w:rPr>
              <w:t>主要参考文献与资料</w:t>
            </w:r>
          </w:p>
          <w:p>
            <w:pPr>
              <w:spacing w:line="0" w:lineRule="atLeast"/>
              <w:ind w:firstLine="420" w:firstLineChars="200"/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</w:t>
            </w:r>
            <w:r>
              <w:rPr>
                <w:rFonts w:hint="eastAsia" w:ascii="仿宋_GB2312" w:eastAsia="仿宋_GB2312"/>
                <w:b/>
                <w:color w:val="FF0000"/>
              </w:rPr>
              <w:t xml:space="preserve">  </w:t>
            </w:r>
            <w:r>
              <w:rPr>
                <w:rFonts w:hint="eastAsia" w:ascii="仿宋_GB2312" w:eastAsia="仿宋_GB2312"/>
                <w:color w:val="FF0000"/>
              </w:rPr>
              <w:t>仿宋_GB2312  5号字体，首行缩进2字符，行距根据内容调整。</w:t>
            </w:r>
          </w:p>
          <w:p>
            <w:pPr>
              <w:rPr>
                <w:rFonts w:ascii="仿宋_GB2312" w:eastAsia="仿宋_GB2312"/>
                <w:b/>
                <w:color w:val="FF0000"/>
              </w:rPr>
            </w:pPr>
          </w:p>
          <w:p>
            <w:pPr>
              <w:rPr>
                <w:rFonts w:ascii="仿宋_GB2312" w:eastAsia="仿宋_GB2312"/>
                <w:b/>
                <w:color w:val="FF0000"/>
              </w:rPr>
            </w:pPr>
            <w:r>
              <w:rPr>
                <w:rFonts w:hint="eastAsia" w:ascii="仿宋_GB2312" w:eastAsia="仿宋_GB2312"/>
                <w:b/>
                <w:color w:val="FF0000"/>
              </w:rPr>
              <w:t>（此部分参考文献不应与任务书文献完全一致，适当增加20</w:t>
            </w:r>
            <w:r>
              <w:rPr>
                <w:rFonts w:ascii="仿宋_GB2312" w:eastAsia="仿宋_GB2312"/>
                <w:b/>
                <w:color w:val="FF0000"/>
              </w:rPr>
              <w:t>2</w:t>
            </w:r>
            <w:r>
              <w:rPr>
                <w:rFonts w:hint="eastAsia" w:ascii="仿宋_GB2312" w:eastAsia="仿宋_GB2312"/>
                <w:b/>
                <w:color w:val="FF0000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b/>
                <w:color w:val="FF0000"/>
              </w:rPr>
              <w:t>.</w:t>
            </w:r>
            <w:r>
              <w:rPr>
                <w:rFonts w:ascii="仿宋_GB2312" w:eastAsia="仿宋_GB2312"/>
                <w:b/>
                <w:color w:val="FF0000"/>
              </w:rPr>
              <w:t>1</w:t>
            </w:r>
            <w:r>
              <w:rPr>
                <w:rFonts w:hint="eastAsia" w:ascii="仿宋_GB2312" w:eastAsia="仿宋_GB2312"/>
                <w:b/>
                <w:color w:val="FF0000"/>
              </w:rPr>
              <w:t>月-</w:t>
            </w:r>
            <w:r>
              <w:rPr>
                <w:rFonts w:ascii="仿宋_GB2312" w:eastAsia="仿宋_GB2312"/>
                <w:b/>
                <w:color w:val="FF0000"/>
              </w:rPr>
              <w:t>202</w:t>
            </w:r>
            <w:r>
              <w:rPr>
                <w:rFonts w:hint="eastAsia" w:ascii="仿宋_GB2312" w:eastAsia="仿宋_GB2312"/>
                <w:b/>
                <w:color w:val="FF0000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b/>
                <w:color w:val="FF0000"/>
              </w:rPr>
              <w:t>年2月期间的文献，条数不少于15，其他要求同任务书中文献资料要求）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hint="eastAsia" w:ascii="仿宋_GB2312" w:hAnsi="Calibri" w:eastAsia="仿宋_GB2312" w:cs="Calibri"/>
                <w:lang w:val="en-US" w:eastAsia="zh-CN"/>
              </w:rPr>
            </w:pPr>
            <w:r>
              <w:rPr>
                <w:rFonts w:hint="eastAsia" w:ascii="仿宋_GB2312" w:hAnsi="Calibri" w:eastAsia="仿宋_GB2312" w:cs="Calibri"/>
                <w:lang w:val="en-US" w:eastAsia="zh-CN"/>
              </w:rPr>
              <w:t>麦思维.基于Android的移动记账与个人财务分析系统的设计和实现[D].华南理工大学,2011.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hint="eastAsia" w:ascii="仿宋_GB2312" w:hAnsi="Calibri" w:eastAsia="仿宋_GB2312" w:cs="Calibri"/>
                <w:lang w:val="en-US" w:eastAsia="zh-CN"/>
              </w:rPr>
            </w:pPr>
            <w:r>
              <w:rPr>
                <w:rFonts w:hint="eastAsia" w:ascii="仿宋_GB2312" w:hAnsi="Calibri" w:eastAsia="仿宋_GB2312" w:cs="Calibri"/>
                <w:lang w:val="en-US" w:eastAsia="zh-CN"/>
              </w:rPr>
              <w:t>宋颖玲.基于Android平台的记账系统的设计与实现[D].电子科技大学,2014.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hint="eastAsia" w:ascii="仿宋_GB2312" w:hAnsi="Calibri" w:eastAsia="仿宋_GB2312" w:cs="Calibri"/>
                <w:lang w:val="en-US" w:eastAsia="zh-CN"/>
              </w:rPr>
            </w:pPr>
            <w:r>
              <w:rPr>
                <w:rFonts w:hint="eastAsia" w:ascii="仿宋_GB2312" w:hAnsi="Calibri" w:eastAsia="仿宋_GB2312" w:cs="Calibri"/>
                <w:lang w:val="en-US" w:eastAsia="zh-CN"/>
              </w:rPr>
              <w:t>梅从圣,郑丽,田铮等.基于Android系统的记账软件的设计与实现[J].纳税,2018,No.185(05):216.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hint="eastAsia" w:ascii="仿宋_GB2312" w:hAnsi="Calibri" w:eastAsia="仿宋_GB2312" w:cs="Calibri"/>
                <w:lang w:val="en-US" w:eastAsia="zh-CN"/>
              </w:rPr>
            </w:pPr>
            <w:r>
              <w:rPr>
                <w:rFonts w:hint="eastAsia" w:ascii="仿宋_GB2312" w:hAnsi="Calibri" w:eastAsia="仿宋_GB2312" w:cs="Calibri"/>
                <w:lang w:val="en-US" w:eastAsia="zh-CN"/>
              </w:rPr>
              <w:t>李兆哲.基于Android平台的智能语音记账系统的设计与实现[D].中国海洋大学,2013.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hint="eastAsia" w:ascii="仿宋_GB2312" w:hAnsi="Calibri" w:eastAsia="仿宋_GB2312" w:cs="Calibri"/>
                <w:lang w:val="en-US" w:eastAsia="zh-CN"/>
              </w:rPr>
            </w:pPr>
            <w:r>
              <w:rPr>
                <w:rFonts w:hint="eastAsia" w:ascii="仿宋_GB2312" w:hAnsi="Calibri" w:eastAsia="仿宋_GB2312" w:cs="Calibri"/>
                <w:lang w:val="en-US" w:eastAsia="zh-CN"/>
              </w:rPr>
              <w:t>郭晓宇. 基于Android的记账软件的设计与实现[D].内蒙古大学,2017.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hint="eastAsia" w:ascii="仿宋_GB2312" w:hAnsi="Calibri" w:eastAsia="仿宋_GB2312" w:cs="Calibri"/>
                <w:lang w:val="en-US" w:eastAsia="zh-CN"/>
              </w:rPr>
            </w:pPr>
            <w:r>
              <w:rPr>
                <w:rFonts w:hint="eastAsia" w:ascii="仿宋_GB2312" w:hAnsi="Calibri" w:eastAsia="仿宋_GB2312" w:cs="Calibri"/>
                <w:lang w:val="en-US" w:eastAsia="zh-CN"/>
              </w:rPr>
              <w:t>陈甜. 跨平台的自动记账与多人共享账务管理系统的设计与实现[D].北京邮电大学,2020.DOI:10.26969/d.cnki.gbydu.2020.001003.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hint="eastAsia" w:ascii="仿宋_GB2312" w:hAnsi="Calibri" w:eastAsia="仿宋_GB2312" w:cs="Calibri"/>
                <w:lang w:val="en-US" w:eastAsia="zh-CN"/>
              </w:rPr>
            </w:pPr>
            <w:r>
              <w:rPr>
                <w:rFonts w:hint="eastAsia" w:ascii="仿宋_GB2312" w:hAnsi="Calibri" w:eastAsia="仿宋_GB2312" w:cs="Calibri"/>
                <w:lang w:val="en-US" w:eastAsia="zh-CN"/>
              </w:rPr>
              <w:t>黄张昊,刘星含,范龙辉等.一个轻记账本的设计与实现[J].电脑知识与技术,2022,18(11):43-44+47.DOI:10.14004/j.cnki.ckt.2022.0707.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hint="eastAsia" w:ascii="仿宋_GB2312" w:hAnsi="Calibri" w:eastAsia="仿宋_GB2312" w:cs="Calibri"/>
                <w:lang w:val="en-US" w:eastAsia="zh-CN"/>
              </w:rPr>
            </w:pPr>
            <w:r>
              <w:rPr>
                <w:rFonts w:hint="eastAsia" w:ascii="仿宋_GB2312" w:hAnsi="Calibri" w:eastAsia="仿宋_GB2312" w:cs="Calibri"/>
                <w:lang w:val="en-US" w:eastAsia="zh-CN"/>
              </w:rPr>
              <w:t>李秀红,徐介新,吕兰兰,等. 基于Android的大学生掌上理财APP的设计与应用[J]. 信息技术与信息化,2019(7):31-33. DOI:10.3969/j.issn.1672-9528.2019.07.008.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Calibri"/>
                <w:lang w:val="en-US" w:eastAsia="zh-CN"/>
              </w:rPr>
              <w:t>王庆. 基于Android平台个人日常账目管理系统的设计和实现[D]. 山东:山东大学,2015. DOI:10.7666/d.Y2790751.</w:t>
            </w:r>
          </w:p>
          <w:p>
            <w:pPr>
              <w:numPr>
                <w:ilvl w:val="0"/>
                <w:numId w:val="1"/>
              </w:numPr>
              <w:spacing w:line="0" w:lineRule="atLeast"/>
              <w:ind w:firstLine="420" w:firstLineChars="200"/>
              <w:jc w:val="left"/>
              <w:rPr>
                <w:rFonts w:ascii="仿宋_GB2312" w:hAnsi="Calibri" w:eastAsia="仿宋_GB2312" w:cs="仿宋_GB2312"/>
                <w:szCs w:val="21"/>
              </w:rPr>
            </w:pPr>
            <w:r>
              <w:rPr>
                <w:rFonts w:hint="eastAsia" w:ascii="仿宋_GB2312" w:hAnsi="Calibri" w:eastAsia="仿宋_GB2312" w:cs="仿宋_GB2312"/>
                <w:color w:val="auto"/>
                <w:szCs w:val="21"/>
              </w:rPr>
              <w:t>朱二华.基于Vue.js的Web前端应用研究[J].科技与创新,2017,No.92(20):119-121.DOI:10.15913/j.cnki.kjycx.2017.20.119.</w:t>
            </w:r>
          </w:p>
          <w:p>
            <w:pPr>
              <w:rPr>
                <w:rFonts w:ascii="仿宋_GB2312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3" w:hRule="atLeast"/>
        </w:trPr>
        <w:tc>
          <w:tcPr>
            <w:tcW w:w="871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left" w:pos="420"/>
              </w:tabs>
              <w:ind w:left="420" w:hanging="420"/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 w:cs="仿宋_GB2312"/>
              </w:rPr>
              <w:t>六、</w:t>
            </w:r>
            <w:r>
              <w:rPr>
                <w:rFonts w:hint="eastAsia" w:ascii="仿宋_GB2312" w:eastAsia="仿宋_GB2312"/>
              </w:rPr>
              <w:t>指导教师审批意见</w:t>
            </w:r>
          </w:p>
          <w:p>
            <w:pPr>
              <w:rPr>
                <w:rFonts w:ascii="仿宋_GB2312" w:eastAsia="仿宋_GB2312"/>
                <w:b/>
                <w:color w:val="FF0000"/>
              </w:rPr>
            </w:pPr>
            <w:r>
              <w:rPr>
                <w:rFonts w:hint="eastAsia" w:ascii="仿宋_GB2312" w:eastAsia="仿宋_GB2312"/>
                <w:b/>
                <w:color w:val="FF0000"/>
              </w:rPr>
              <w:t>（不能仅写“同意“二字，应从选题价值、文献研究、主要研究内容、研究方法或技术路线方面分析是否具备开题条件，是否同意开题）    （日期在20</w:t>
            </w:r>
            <w:r>
              <w:rPr>
                <w:rFonts w:ascii="仿宋_GB2312" w:eastAsia="仿宋_GB2312"/>
                <w:b/>
                <w:color w:val="FF0000"/>
              </w:rPr>
              <w:t>2</w:t>
            </w:r>
            <w:r>
              <w:rPr>
                <w:rFonts w:hint="eastAsia" w:ascii="仿宋_GB2312" w:eastAsia="仿宋_GB2312"/>
                <w:b/>
                <w:color w:val="FF0000"/>
                <w:lang w:val="en-US" w:eastAsia="zh-CN"/>
              </w:rPr>
              <w:t>3</w:t>
            </w:r>
            <w:r>
              <w:rPr>
                <w:rFonts w:hint="eastAsia" w:ascii="仿宋_GB2312" w:eastAsia="仿宋_GB2312"/>
                <w:b/>
                <w:color w:val="FF0000"/>
              </w:rPr>
              <w:t>年2月2</w:t>
            </w:r>
            <w:r>
              <w:rPr>
                <w:rFonts w:ascii="仿宋_GB2312" w:eastAsia="仿宋_GB2312"/>
                <w:b/>
                <w:color w:val="FF0000"/>
              </w:rPr>
              <w:t>6</w:t>
            </w:r>
            <w:r>
              <w:rPr>
                <w:rFonts w:hint="eastAsia" w:ascii="仿宋_GB2312" w:eastAsia="仿宋_GB2312"/>
                <w:b/>
                <w:color w:val="FF0000"/>
              </w:rPr>
              <w:t>-</w:t>
            </w:r>
            <w:r>
              <w:rPr>
                <w:rFonts w:ascii="仿宋_GB2312" w:eastAsia="仿宋_GB2312"/>
                <w:b/>
                <w:color w:val="FF0000"/>
              </w:rPr>
              <w:t>28</w:t>
            </w:r>
            <w:r>
              <w:rPr>
                <w:rFonts w:hint="eastAsia" w:ascii="仿宋_GB2312" w:eastAsia="仿宋_GB2312"/>
                <w:b/>
                <w:color w:val="FF0000"/>
              </w:rPr>
              <w:t>日左右）</w:t>
            </w:r>
          </w:p>
          <w:p>
            <w:pPr>
              <w:rPr>
                <w:rFonts w:ascii="仿宋_GB2312" w:eastAsia="仿宋_GB2312"/>
                <w:color w:val="FF0000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签名：</w:t>
            </w:r>
            <w:r>
              <w:rPr>
                <w:rFonts w:hint="eastAsia" w:ascii="仿宋_GB2312" w:eastAsia="仿宋_GB2312"/>
                <w:color w:val="FF0000"/>
              </w:rPr>
              <w:t>（电子签名或手签，后面所有表格签名同此）</w:t>
            </w:r>
          </w:p>
          <w:p>
            <w:pPr>
              <w:rPr>
                <w:rFonts w:ascii="仿宋_GB2312" w:eastAsia="仿宋_GB2312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                   年   月   日</w:t>
            </w:r>
          </w:p>
        </w:tc>
      </w:tr>
    </w:tbl>
    <w:p>
      <w:pPr>
        <w:jc w:val="center"/>
        <w:rPr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开题报告调整为2页，双面打印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3D121"/>
    <w:multiLevelType w:val="singleLevel"/>
    <w:tmpl w:val="B443D121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2ZTIwZDBmYmRmMDI4OGNjODYzODkwMDhhMjFkMDgifQ=="/>
  </w:docVars>
  <w:rsids>
    <w:rsidRoot w:val="00946A3D"/>
    <w:rsid w:val="00012ABD"/>
    <w:rsid w:val="00014812"/>
    <w:rsid w:val="00023C83"/>
    <w:rsid w:val="000306D7"/>
    <w:rsid w:val="0006746D"/>
    <w:rsid w:val="00113BC6"/>
    <w:rsid w:val="0011466C"/>
    <w:rsid w:val="001902AD"/>
    <w:rsid w:val="001B3226"/>
    <w:rsid w:val="002643D6"/>
    <w:rsid w:val="002662B5"/>
    <w:rsid w:val="002E2CC5"/>
    <w:rsid w:val="002E7895"/>
    <w:rsid w:val="00305485"/>
    <w:rsid w:val="00386D92"/>
    <w:rsid w:val="00394B8E"/>
    <w:rsid w:val="003C119B"/>
    <w:rsid w:val="003F1069"/>
    <w:rsid w:val="00407834"/>
    <w:rsid w:val="00435E56"/>
    <w:rsid w:val="004B782E"/>
    <w:rsid w:val="004E7988"/>
    <w:rsid w:val="004F69EE"/>
    <w:rsid w:val="00500B6B"/>
    <w:rsid w:val="00527793"/>
    <w:rsid w:val="005C10C5"/>
    <w:rsid w:val="005E1201"/>
    <w:rsid w:val="005F0121"/>
    <w:rsid w:val="00614D59"/>
    <w:rsid w:val="0062531C"/>
    <w:rsid w:val="00637339"/>
    <w:rsid w:val="00690B4A"/>
    <w:rsid w:val="006C43DC"/>
    <w:rsid w:val="006F3469"/>
    <w:rsid w:val="00714CE5"/>
    <w:rsid w:val="007F7B5D"/>
    <w:rsid w:val="0083160F"/>
    <w:rsid w:val="008339E7"/>
    <w:rsid w:val="008A2F0C"/>
    <w:rsid w:val="008D0BD3"/>
    <w:rsid w:val="008F19F1"/>
    <w:rsid w:val="009332C9"/>
    <w:rsid w:val="00940053"/>
    <w:rsid w:val="00946A3D"/>
    <w:rsid w:val="009C6832"/>
    <w:rsid w:val="009D5E18"/>
    <w:rsid w:val="009F70DB"/>
    <w:rsid w:val="00A513FD"/>
    <w:rsid w:val="00AC6D3F"/>
    <w:rsid w:val="00AF4CFA"/>
    <w:rsid w:val="00B97DD3"/>
    <w:rsid w:val="00BD205C"/>
    <w:rsid w:val="00BE7A4C"/>
    <w:rsid w:val="00BF7EF4"/>
    <w:rsid w:val="00CA3314"/>
    <w:rsid w:val="00CC2C54"/>
    <w:rsid w:val="00D12FBA"/>
    <w:rsid w:val="00D6465A"/>
    <w:rsid w:val="00D8274B"/>
    <w:rsid w:val="00DA69DC"/>
    <w:rsid w:val="00DB04C6"/>
    <w:rsid w:val="00DF0779"/>
    <w:rsid w:val="00DF2082"/>
    <w:rsid w:val="00E3115E"/>
    <w:rsid w:val="00E948E5"/>
    <w:rsid w:val="00E95CDD"/>
    <w:rsid w:val="00FB2FFB"/>
    <w:rsid w:val="00FC2BCD"/>
    <w:rsid w:val="1A7636C3"/>
    <w:rsid w:val="34412D29"/>
    <w:rsid w:val="567A3FE7"/>
    <w:rsid w:val="70785DE5"/>
    <w:rsid w:val="747E56C6"/>
    <w:rsid w:val="788E19A4"/>
    <w:rsid w:val="78A5394E"/>
    <w:rsid w:val="7E0C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1862</Words>
  <Characters>2049</Characters>
  <Lines>13</Lines>
  <Paragraphs>3</Paragraphs>
  <TotalTime>45</TotalTime>
  <ScaleCrop>false</ScaleCrop>
  <LinksUpToDate>false</LinksUpToDate>
  <CharactersWithSpaces>2205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2020-04-17T06:00:00Z</dcterms:created>
  <dc:creator>张 丽莉</dc:creator>
  <cp:lastModifiedBy>顾丞撒野</cp:lastModifiedBy>
  <dcterms:modified xsi:type="dcterms:W3CDTF">2023-04-03T12:40:27Z</dcterms:modified>
  <cp:revision>120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5595D3197CCE49FDA9B2A527A76C1748</vt:lpwstr>
  </property>
</Properties>
</file>