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年5日6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9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  <w:color w:val="auto"/>
              </w:rPr>
              <w:t>或8</w:t>
            </w:r>
            <w:r>
              <w:rPr>
                <w:rFonts w:eastAsia="仿宋_GB2312"/>
                <w:color w:val="auto"/>
              </w:rPr>
              <w:t>000</w:t>
            </w:r>
            <w:r>
              <w:rPr>
                <w:rFonts w:hint="eastAsia" w:eastAsia="仿宋_GB2312"/>
                <w:color w:val="auto"/>
              </w:rPr>
              <w:t>字以上毕业设计</w:t>
            </w:r>
            <w:r>
              <w:rPr>
                <w:rFonts w:eastAsia="仿宋_GB2312"/>
                <w:color w:val="auto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 xml:space="preserve">2．运用外语翻译至少2000汉字以上的与本专业、课题相关的外文文献一份，译文要准确流畅； </w:t>
            </w:r>
            <w:bookmarkStart w:id="0" w:name="_GoBack"/>
            <w:bookmarkEnd w:id="0"/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3</w:t>
            </w:r>
            <w:r>
              <w:rPr>
                <w:rFonts w:eastAsia="仿宋_GB2312"/>
                <w:color w:val="auto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4</w:t>
            </w:r>
            <w:r>
              <w:rPr>
                <w:rFonts w:eastAsia="仿宋_GB2312"/>
                <w:color w:val="auto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eastAsia="仿宋_GB2312"/>
                <w:color w:val="auto"/>
              </w:rPr>
              <w:t>5</w:t>
            </w:r>
            <w:r>
              <w:rPr>
                <w:rFonts w:eastAsia="仿宋_GB2312"/>
                <w:color w:val="auto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肖睿.基于Gin框架的营销活动公共类库的设计与应用[D].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武汉: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华中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科技大学，2019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齐洋,原变青,刘颖,杨婷.基于Gin和Vue.js的作业管理系统的设计[J].信息技术与信息化,2022(10):103-105+110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left="0" w:leftChars="0"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徐健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"https://kns.cnki.net/kcms2/article/abstract?v=2O5crrwph26xC8BUXS9cO4wExn0VEMA6WNsKELt8NPV5oWSr2Eq0nOHtpaO3UnYhgW7zMFzNV8CGUniM6RESkkUIhCjmwexM5zNTowz2Tuw=&amp;uniplatform=NZKPT&amp;language=CHS" \o "基于Go和Vue.js的体育选课系统的设计与实现" \t "https://kns.cnki.net/kcms2/article/_blank"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"https://navi.cnki.net/knavi/journals/DNZS/detail?uniplatform=NZKPT" \o "电脑知识与技术" \t "https://kns.cnki.net/kcms2/article/_blank"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"https://navi.cnki.net/knavi/journals/DNZS/issues/2O5crrwph26xC8BUXS9cO-GzXl4M9IGRwo4VwUvJ5OHQrQ8pYFiO4-GSDI6Drl3X?uniplatform=NZKPT" \o "2022(08)" \t "https://kns.cnki.net/kcms2/article/_blank"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2022(08)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"https://www.zhangqiaokeyan.com/search.html?doctypes=1_2_3_4_5_6_7_1-0_9_4-0&amp;sertext=%E4%B8%81%E5%B2%9A&amp;option=202" \t "/Users/betta/Documents\\x/_blank"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丁岚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"https://www.zhangqiaokeyan.com/search.html?doctypes=1_2_3_4_5_6_7_1-0_9_4-0&amp;sertext=%E8%8C%83%E5%BC%80%E5%8B%87&amp;option=202" \t "/Users/betta/Documents\\x/_blank"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,范开勇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"https://www.zhangqiaokeyan.com/search.html?doctypes=1_2_3_4_5_6_7_1-0_9_4-0&amp;sertext=%E7%8E%8B%E8%8B%B1%E6%98%8E&amp;option=202" \t "/Users/betta/Documents\\x/_blank"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,王英明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eastAsia="zh-CN" w:bidi="ar"/>
              </w:rPr>
              <w:t>.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"https://www.zhangqiaokeyan.com/academic-journal-cn_computer-programming-skills-maintenance_thesis/0201272600886.html"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[J]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"https://www.zhangqiaokeyan.com/journal-cn-8872/" \t "/Users/betta/Documents\\x/_blank" </w:instrTex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.2019,第006期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王雄.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"https://kns.cnki.net/kcms2/article/abstract?v=2O5crrwph25Fl9m0bEceZz0nyfs8vEnXD79l5crAt3wrQRNySr9OckHW65qlFpQXoeUAEFjMRSGiN5DzJYo-NpkoWzhT49nSeBZgJb1fdKdmiDhDk2TAT8pWIL_E-P_tSW2YTzpHnY5_cpxdk4NHmQ==&amp;uniplatform=NZKPT&amp;language=CHS"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Golang或将统治人工智能下一个10年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[J].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"https://navi.cnki.net/knavi/journals/JSYW/detail?uniplatform=NZKPT"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计算机与网络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"https://navi.cnki.net/knavi/journals/JSYW/issues/2O5crrwph27Xabmw-Oc5DQIvnQLb-LDiZCx1btr7Idj0fdj2dX5YplyXWB-H_CwE?uniplatform=NZKPT"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2020(20)</w:t>
            </w:r>
            <w:r>
              <w:rPr>
                <w:rFonts w:hint="eastAsia" w:ascii="仿宋_GB2312" w:hAnsi="仿宋_GB2312" w:eastAsia="仿宋_GB2312" w:cs="仿宋_GB2312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0" w:lineRule="atLeast"/>
              <w:ind w:left="0" w:leftChars="0" w:firstLine="420" w:firstLineChars="200"/>
              <w:jc w:val="both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宋云奎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吴文鹏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赵磊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莫剑峰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黄俊涛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  <w:lang w:val="en-US" w:eastAsia="zh-CN"/>
              </w:rPr>
              <w:t>.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instrText xml:space="preserve"> HYPERLINK "https://kns.cnki.net/kcms2/article/abstract?v=2O5crrwph25CMHlezA3WA7DH6TKmjyWgFXA-F0bk_CMe_vX0vYZOZ7MFRV1tWXIuDfxsEMiRCn7QfDH07E3UXUqdpneJB4CEzczWWaWehkPJC_uaif0xlH2HD9iJEISOy3QDMN6gGrqNfqK0plUw-A==&amp;uniplatform=NZKPT&amp;language=CHS"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基于Redis的分布式数据存储方法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[J].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instrText xml:space="preserve"> HYPERLINK "https://navi.cnki.net/knavi/journals/WXXJ/detail?uniplatform=NZKPT"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计算机产品与流通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,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instrText xml:space="preserve"> HYPERLINK "https://navi.cnki.net/knavi/journals/WXXJ/issues/2O5crrwph24QEaersHg2l2n8g5gKFAlgY69hFV2b1b8EcbD3kqHH-kKb17dvHtmg?uniplatform=NZKPT" \t "_blank" </w:instrTex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t>2020(08)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u w:val="none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0" w:lineRule="atLeast"/>
              <w:ind w:left="0" w:leftChars="0" w:firstLine="420" w:firstLineChars="2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王欢,李民,邓秀辉,焦宇,余开朝.基于Redis缓存数据库和Nginx负载均衡技术的购物网站性能优化[J].软件导刊,2022,21(08):114-119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28152"/>
    <w:multiLevelType w:val="singleLevel"/>
    <w:tmpl w:val="91328152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仿宋" w:hAnsi="仿宋" w:eastAsia="仿宋" w:cs="仿宋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63E2192"/>
    <w:rsid w:val="0D604FF5"/>
    <w:rsid w:val="48E0019A"/>
    <w:rsid w:val="5CFEDA46"/>
    <w:rsid w:val="699147E0"/>
    <w:rsid w:val="6D3B1C7F"/>
    <w:rsid w:val="78F2753E"/>
    <w:rsid w:val="7C6644AE"/>
    <w:rsid w:val="9FFBC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764</Words>
  <Characters>1007</Characters>
  <Lines>1</Lines>
  <Paragraphs>1</Paragraphs>
  <TotalTime>0</TotalTime>
  <ScaleCrop>false</ScaleCrop>
  <LinksUpToDate>false</LinksUpToDate>
  <CharactersWithSpaces>1034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2020-04-17T21:55:00Z</dcterms:created>
  <dc:creator>张 丽莉</dc:creator>
  <cp:lastModifiedBy>Down</cp:lastModifiedBy>
  <dcterms:modified xsi:type="dcterms:W3CDTF">2023-04-11T20:02:55Z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1D07140692994C8BA4BDBC7534E2C74A</vt:lpwstr>
  </property>
</Properties>
</file>