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D06C1" w14:textId="77777777" w:rsidR="00AF24EF" w:rsidRPr="00AF24EF" w:rsidRDefault="00AF24EF" w:rsidP="00AF24EF">
      <w:pPr>
        <w:rPr>
          <w:b/>
          <w:bCs/>
        </w:rPr>
      </w:pPr>
      <w:r w:rsidRPr="00AF24EF">
        <w:rPr>
          <w:rFonts w:ascii="Segoe UI Emoji" w:hAnsi="Segoe UI Emoji" w:cs="Segoe UI Emoji"/>
          <w:b/>
          <w:bCs/>
        </w:rPr>
        <w:t>🚍</w:t>
      </w:r>
      <w:r w:rsidRPr="00AF24EF">
        <w:rPr>
          <w:b/>
          <w:bCs/>
        </w:rPr>
        <w:t xml:space="preserve"> ENUNCIADO DE PRÁCTICA: PROYECTO "TRANSMETRO-CÚCUTA SMART 2026"</w:t>
      </w:r>
    </w:p>
    <w:p w14:paraId="5898D8AD" w14:textId="44E8194B" w:rsidR="00AF24EF" w:rsidRPr="00AF24EF" w:rsidRDefault="00AF24EF" w:rsidP="00AF24EF">
      <w:r w:rsidRPr="00AF24EF">
        <w:t xml:space="preserve">La situación actual de la movilidad en San José de Cúcuta ha llegado a un punto crítico debido a que el </w:t>
      </w:r>
      <w:r w:rsidRPr="00AF24EF">
        <w:rPr>
          <w:b/>
          <w:bCs/>
        </w:rPr>
        <w:t>(40%) cuarenta por ciento</w:t>
      </w:r>
      <w:r w:rsidRPr="00AF24EF">
        <w:t xml:space="preserve"> de las rutas de transporte público tradicional operan sin ningún tipo de control sobre sus frecuencias de despacho ni cumplimiento de recorridos autorizados lo que genera </w:t>
      </w:r>
      <w:proofErr w:type="spellStart"/>
      <w:r w:rsidRPr="00AF24EF">
        <w:t>un</w:t>
      </w:r>
      <w:r w:rsidR="006F1CD3">
        <w:t xml:space="preserve"> </w:t>
      </w:r>
      <w:r w:rsidRPr="00AF24EF">
        <w:t>a</w:t>
      </w:r>
      <w:proofErr w:type="spellEnd"/>
      <w:r w:rsidRPr="00AF24EF">
        <w:t xml:space="preserve"> pérdida de confianza por parte de los </w:t>
      </w:r>
      <w:r w:rsidRPr="00AF24EF">
        <w:rPr>
          <w:b/>
          <w:bCs/>
        </w:rPr>
        <w:t>(8.000) ocho mil</w:t>
      </w:r>
      <w:r w:rsidRPr="00AF24EF">
        <w:t xml:space="preserve"> usuarios que dependen diariamente del servicio para movilizarse entre las zonas periféricas y el centro de la ciudad. Ante este escenario de desorden operativo y baja rentabilidad para las empresas formales la Alcaldía de Cúcuta ha decidido ejecutar el proyecto de modernización tecnológica denominado </w:t>
      </w:r>
      <w:r w:rsidRPr="00AF24EF">
        <w:rPr>
          <w:b/>
          <w:bCs/>
        </w:rPr>
        <w:t>"</w:t>
      </w:r>
      <w:proofErr w:type="spellStart"/>
      <w:r w:rsidRPr="00AF24EF">
        <w:rPr>
          <w:b/>
          <w:bCs/>
        </w:rPr>
        <w:t>RutaSegura</w:t>
      </w:r>
      <w:proofErr w:type="spellEnd"/>
      <w:r w:rsidRPr="00AF24EF">
        <w:rPr>
          <w:b/>
          <w:bCs/>
        </w:rPr>
        <w:t xml:space="preserve"> POS+"</w:t>
      </w:r>
      <w:r w:rsidRPr="00AF24EF">
        <w:t xml:space="preserve"> el cual tendrá una duración total ininterrumpida de </w:t>
      </w:r>
      <w:r w:rsidRPr="00AF24EF">
        <w:rPr>
          <w:b/>
          <w:bCs/>
          <w:highlight w:val="yellow"/>
        </w:rPr>
        <w:t>(15) quince meses</w:t>
      </w:r>
      <w:r w:rsidRPr="00AF24EF">
        <w:rPr>
          <w:highlight w:val="yellow"/>
        </w:rPr>
        <w:t xml:space="preserve"> iniciando formalmente el </w:t>
      </w:r>
      <w:r w:rsidRPr="00AF24EF">
        <w:rPr>
          <w:b/>
          <w:bCs/>
          <w:highlight w:val="yellow"/>
        </w:rPr>
        <w:t>1 de junio de 2026</w:t>
      </w:r>
      <w:r w:rsidRPr="00AF24EF">
        <w:t xml:space="preserve"> contando con un presupuesto global </w:t>
      </w:r>
      <w:r w:rsidRPr="00AF24EF">
        <w:rPr>
          <w:highlight w:val="yellow"/>
        </w:rPr>
        <w:t xml:space="preserve">de </w:t>
      </w:r>
      <w:r w:rsidRPr="00AF24EF">
        <w:rPr>
          <w:b/>
          <w:bCs/>
          <w:highlight w:val="yellow"/>
        </w:rPr>
        <w:t>$1.920 millones de pesos</w:t>
      </w:r>
      <w:r w:rsidRPr="00AF24EF">
        <w:t xml:space="preserve"> financiados mediante recursos del Sistema General de Regalías y aportes directos del municipio. Como condiciones de base se identifica que la ciudad posee una red de conectividad </w:t>
      </w:r>
      <w:r w:rsidRPr="00AF24EF">
        <w:rPr>
          <w:b/>
          <w:bCs/>
        </w:rPr>
        <w:t>4G/5G</w:t>
      </w:r>
      <w:r w:rsidRPr="00AF24EF">
        <w:t xml:space="preserve"> estable en las comunas </w:t>
      </w:r>
      <w:proofErr w:type="gramStart"/>
      <w:r w:rsidRPr="00AF24EF">
        <w:t>céntricas</w:t>
      </w:r>
      <w:proofErr w:type="gramEnd"/>
      <w:r w:rsidRPr="00AF24EF">
        <w:t xml:space="preserve"> pero existen </w:t>
      </w:r>
      <w:r w:rsidRPr="00AF24EF">
        <w:rPr>
          <w:b/>
          <w:bCs/>
        </w:rPr>
        <w:t>(4) cuatro</w:t>
      </w:r>
      <w:r w:rsidRPr="00AF24EF">
        <w:t xml:space="preserve"> sectores en la zona de frontera donde la señal es intermitente y requiere la instalación de nodos repetidores para garantizar la transmisión de datos.</w:t>
      </w:r>
    </w:p>
    <w:p w14:paraId="7ABD5862" w14:textId="77777777" w:rsidR="00AF24EF" w:rsidRPr="00AF24EF" w:rsidRDefault="00AF24EF" w:rsidP="00AF24EF">
      <w:r w:rsidRPr="00AF24EF">
        <w:t xml:space="preserve">Dentro del alcance del proyecto se contempla primero el rediseño e implementación de </w:t>
      </w:r>
      <w:r w:rsidRPr="00AF24EF">
        <w:rPr>
          <w:highlight w:val="yellow"/>
        </w:rPr>
        <w:t>un sistema centralizado de monitoreo y control de flota que incluya el suministro de (500) quinientos dispositivos de geolocalización satelital y sensores de conteo de pasajeros cuya fase de ejecución será de (6) seis meses con una inversión de $650 millones de pesos exigiendo que el sistema soporte una sincronización de datos con el centro de control en tiempos inferiores a (2) dos segundos por registro.</w:t>
      </w:r>
      <w:r w:rsidRPr="00AF24EF">
        <w:t xml:space="preserve"> De forma simultánea se debe </w:t>
      </w:r>
      <w:r w:rsidRPr="00AF24EF">
        <w:rPr>
          <w:highlight w:val="yellow"/>
        </w:rPr>
        <w:t>desarrollar una plataforma web administrativa para la Secretaría de Tránsito que permita visualizar el mapa en tiempo real y gestionar las alarmas por exceso de velocidad o desvío de ruta proceso que tomará (7) siete meses con un costo de $420 millones de pesos</w:t>
      </w:r>
      <w:r w:rsidRPr="00AF24EF">
        <w:t xml:space="preserve">. </w:t>
      </w:r>
      <w:proofErr w:type="gramStart"/>
      <w:r w:rsidRPr="00AF24EF">
        <w:t>Asimismo</w:t>
      </w:r>
      <w:proofErr w:type="gramEnd"/>
      <w:r w:rsidRPr="00AF24EF">
        <w:t xml:space="preserve"> se prevé el desarrollo de </w:t>
      </w:r>
      <w:r w:rsidRPr="00AF24EF">
        <w:rPr>
          <w:highlight w:val="yellow"/>
        </w:rPr>
        <w:t xml:space="preserve">una aplicación móvil para el ciudadano que permita consultar rutas y tiempos de </w:t>
      </w:r>
      <w:proofErr w:type="gramStart"/>
      <w:r w:rsidRPr="00AF24EF">
        <w:rPr>
          <w:highlight w:val="yellow"/>
        </w:rPr>
        <w:t>llegada</w:t>
      </w:r>
      <w:proofErr w:type="gramEnd"/>
      <w:r w:rsidRPr="00AF24EF">
        <w:rPr>
          <w:highlight w:val="yellow"/>
        </w:rPr>
        <w:t xml:space="preserve"> pero para que este sistema sea funcional se debe garantizar primero la puesta en marcha total del sistema de monitoreo y la plataforma administrativa destinando para este desarrollo un plazo de (4) cuatro meses con un presupuesto de $330 millones de pesos.</w:t>
      </w:r>
    </w:p>
    <w:p w14:paraId="4CF4AB40" w14:textId="77777777" w:rsidR="00AF24EF" w:rsidRPr="00AF24EF" w:rsidRDefault="00AF24EF" w:rsidP="00AF24EF">
      <w:r w:rsidRPr="00AF24EF">
        <w:t xml:space="preserve">El proyecto también incluye </w:t>
      </w:r>
      <w:r w:rsidRPr="00AF24EF">
        <w:rPr>
          <w:highlight w:val="yellow"/>
        </w:rPr>
        <w:t>la instalación de (30) treinta paraderos inteligentes dotados con pantallas LED de alta luminosidad que informen a los usuarios sobre el tiempo estimado de arribo del próximo vehículo cuya intervención se desarrollará durante (5) cinco meses con un presupuesto aproximado de $380 millones de pesos</w:t>
      </w:r>
      <w:r w:rsidRPr="00AF24EF">
        <w:t xml:space="preserve">. </w:t>
      </w:r>
      <w:r w:rsidRPr="00AF24EF">
        <w:lastRenderedPageBreak/>
        <w:t xml:space="preserve">Finalmente se realizará un proceso exhaustivo de pruebas piloto y </w:t>
      </w:r>
      <w:r w:rsidRPr="00AF24EF">
        <w:rPr>
          <w:highlight w:val="yellow"/>
        </w:rPr>
        <w:t>capacitación certificada para un total de (500) quinientos conductores y supervisores de ruta incluyendo pruebas de estrés en horarios de alta demanda para asegurar la estabilidad de la red fase que tendrá una duración estimada de (2) dos meses y un costo de $140 millones</w:t>
      </w:r>
      <w:r w:rsidRPr="00AF24EF">
        <w:t xml:space="preserve"> de pesos antes de realizar el hito de cierre del proyecto el 1 de septiembre de 2027</w:t>
      </w:r>
    </w:p>
    <w:p w14:paraId="1F7161CA" w14:textId="77777777" w:rsidR="00C90981" w:rsidRDefault="00C90981"/>
    <w:p w14:paraId="79407006" w14:textId="77777777" w:rsidR="00AF24EF" w:rsidRPr="00F872A7" w:rsidRDefault="00AF24EF" w:rsidP="00AF24EF">
      <w:pPr>
        <w:pStyle w:val="Prrafodelista"/>
        <w:numPr>
          <w:ilvl w:val="0"/>
          <w:numId w:val="1"/>
        </w:numPr>
        <w:spacing w:line="259" w:lineRule="auto"/>
        <w:jc w:val="both"/>
        <w:rPr>
          <w:rFonts w:ascii="Arial" w:hAnsi="Arial" w:cs="Arial"/>
          <w:sz w:val="20"/>
          <w:szCs w:val="20"/>
        </w:rPr>
      </w:pPr>
      <w:r w:rsidRPr="00F872A7">
        <w:rPr>
          <w:rFonts w:ascii="Arial" w:hAnsi="Arial" w:cs="Arial"/>
          <w:sz w:val="20"/>
          <w:szCs w:val="20"/>
        </w:rPr>
        <w:t xml:space="preserve">En la sección de identificación de entregables: Identifique y defina los entregables del proyecto según el contexto descrito, asignando código (Ej. E1, E2…). </w:t>
      </w:r>
      <w:r w:rsidRPr="00F872A7">
        <w:rPr>
          <w:rFonts w:ascii="Arial" w:hAnsi="Arial" w:cs="Arial"/>
          <w:b/>
          <w:sz w:val="20"/>
          <w:szCs w:val="20"/>
        </w:rPr>
        <w:t>Valor 1.0</w:t>
      </w:r>
    </w:p>
    <w:p w14:paraId="1255B9B4" w14:textId="77777777" w:rsidR="00AF24EF" w:rsidRPr="00F872A7" w:rsidRDefault="00AF24EF" w:rsidP="00AF24EF">
      <w:pPr>
        <w:spacing w:line="259" w:lineRule="auto"/>
        <w:jc w:val="both"/>
        <w:rPr>
          <w:rFonts w:ascii="Arial" w:hAnsi="Arial" w:cs="Arial"/>
          <w:sz w:val="20"/>
          <w:szCs w:val="20"/>
        </w:rPr>
      </w:pPr>
    </w:p>
    <w:p w14:paraId="4681E78D" w14:textId="6F0C9CB3" w:rsidR="00AF24EF" w:rsidRPr="002655DD" w:rsidRDefault="00AF24EF" w:rsidP="002655DD">
      <w:pPr>
        <w:shd w:val="clear" w:color="auto" w:fill="FFFFFF" w:themeFill="background1"/>
        <w:spacing w:line="259" w:lineRule="auto"/>
        <w:jc w:val="both"/>
        <w:rPr>
          <w:rFonts w:ascii="Arial" w:hAnsi="Arial" w:cs="Arial"/>
          <w:sz w:val="28"/>
          <w:szCs w:val="28"/>
          <w:highlight w:val="yellow"/>
        </w:rPr>
      </w:pPr>
      <w:r w:rsidRPr="002655DD">
        <w:rPr>
          <w:rFonts w:ascii="Arial" w:hAnsi="Arial" w:cs="Arial"/>
          <w:sz w:val="28"/>
          <w:szCs w:val="28"/>
        </w:rPr>
        <w:t>E1:</w:t>
      </w:r>
      <w:r w:rsidR="00F872A7" w:rsidRPr="002655DD">
        <w:rPr>
          <w:rFonts w:ascii="Arial" w:hAnsi="Arial" w:cs="Arial"/>
          <w:sz w:val="28"/>
          <w:szCs w:val="28"/>
        </w:rPr>
        <w:t xml:space="preserve"> </w:t>
      </w:r>
      <w:r w:rsidR="00F872A7" w:rsidRPr="00AF24EF">
        <w:rPr>
          <w:rFonts w:ascii="Arial" w:hAnsi="Arial" w:cs="Arial"/>
          <w:sz w:val="28"/>
          <w:szCs w:val="28"/>
        </w:rPr>
        <w:t>un sistema centralizado de monitoreo y control de flota</w:t>
      </w:r>
      <w:r w:rsidR="00F872A7" w:rsidRPr="002655DD">
        <w:rPr>
          <w:rFonts w:ascii="Arial" w:hAnsi="Arial" w:cs="Arial"/>
          <w:sz w:val="28"/>
          <w:szCs w:val="28"/>
        </w:rPr>
        <w:t xml:space="preserve"> con</w:t>
      </w:r>
      <w:r w:rsidR="00F872A7" w:rsidRPr="00AF24EF">
        <w:rPr>
          <w:rFonts w:ascii="Arial" w:hAnsi="Arial" w:cs="Arial"/>
          <w:sz w:val="28"/>
          <w:szCs w:val="28"/>
        </w:rPr>
        <w:t xml:space="preserve"> suministro de (500) dispositivos de geolocalización satelital y sensores de conteo de pasajeros</w:t>
      </w:r>
    </w:p>
    <w:p w14:paraId="6CB56E0D" w14:textId="7DDC3DB0" w:rsidR="00F872A7" w:rsidRPr="002655DD" w:rsidRDefault="00F872A7" w:rsidP="002655DD">
      <w:pPr>
        <w:shd w:val="clear" w:color="auto" w:fill="FFFFFF" w:themeFill="background1"/>
        <w:spacing w:line="259" w:lineRule="auto"/>
        <w:jc w:val="both"/>
        <w:rPr>
          <w:rFonts w:ascii="Arial" w:hAnsi="Arial" w:cs="Arial"/>
          <w:sz w:val="28"/>
          <w:szCs w:val="28"/>
        </w:rPr>
      </w:pPr>
      <w:r w:rsidRPr="002655DD">
        <w:rPr>
          <w:rFonts w:ascii="Arial" w:hAnsi="Arial" w:cs="Arial"/>
          <w:sz w:val="28"/>
          <w:szCs w:val="28"/>
        </w:rPr>
        <w:t>E2:</w:t>
      </w:r>
      <w:r w:rsidR="002655DD" w:rsidRPr="002655DD">
        <w:rPr>
          <w:rFonts w:ascii="Arial" w:hAnsi="Arial" w:cs="Arial"/>
          <w:sz w:val="28"/>
          <w:szCs w:val="28"/>
        </w:rPr>
        <w:t xml:space="preserve"> </w:t>
      </w:r>
      <w:r w:rsidR="002655DD" w:rsidRPr="00AF24EF">
        <w:rPr>
          <w:rFonts w:ascii="Arial" w:hAnsi="Arial" w:cs="Arial"/>
          <w:sz w:val="28"/>
          <w:szCs w:val="28"/>
        </w:rPr>
        <w:t xml:space="preserve">una plataforma web administrativa </w:t>
      </w:r>
      <w:r w:rsidR="002655DD" w:rsidRPr="002655DD">
        <w:rPr>
          <w:rFonts w:ascii="Arial" w:hAnsi="Arial" w:cs="Arial"/>
          <w:sz w:val="28"/>
          <w:szCs w:val="28"/>
        </w:rPr>
        <w:t>con mapeo</w:t>
      </w:r>
      <w:r w:rsidR="002655DD" w:rsidRPr="00AF24EF">
        <w:rPr>
          <w:rFonts w:ascii="Arial" w:hAnsi="Arial" w:cs="Arial"/>
          <w:sz w:val="28"/>
          <w:szCs w:val="28"/>
        </w:rPr>
        <w:t xml:space="preserve"> en tiempo real </w:t>
      </w:r>
      <w:r w:rsidR="002655DD" w:rsidRPr="002655DD">
        <w:rPr>
          <w:rFonts w:ascii="Arial" w:hAnsi="Arial" w:cs="Arial"/>
          <w:sz w:val="28"/>
          <w:szCs w:val="28"/>
        </w:rPr>
        <w:t>y alarmas por exceso de velocidad</w:t>
      </w:r>
    </w:p>
    <w:p w14:paraId="562A1233" w14:textId="1493494C" w:rsidR="00F872A7" w:rsidRPr="002655DD" w:rsidRDefault="00F872A7" w:rsidP="00AF24EF">
      <w:pPr>
        <w:spacing w:line="259" w:lineRule="auto"/>
        <w:jc w:val="both"/>
        <w:rPr>
          <w:rFonts w:ascii="Arial" w:hAnsi="Arial" w:cs="Arial"/>
          <w:sz w:val="28"/>
          <w:szCs w:val="28"/>
        </w:rPr>
      </w:pPr>
      <w:r w:rsidRPr="002655DD">
        <w:rPr>
          <w:rFonts w:ascii="Arial" w:hAnsi="Arial" w:cs="Arial"/>
          <w:sz w:val="28"/>
          <w:szCs w:val="28"/>
        </w:rPr>
        <w:t>E3:</w:t>
      </w:r>
      <w:r w:rsidR="002655DD" w:rsidRPr="002655DD">
        <w:rPr>
          <w:rFonts w:ascii="Arial" w:hAnsi="Arial" w:cs="Arial"/>
          <w:sz w:val="28"/>
          <w:szCs w:val="28"/>
        </w:rPr>
        <w:t xml:space="preserve"> </w:t>
      </w:r>
      <w:r w:rsidR="002655DD" w:rsidRPr="00AF24EF">
        <w:rPr>
          <w:rFonts w:ascii="Arial" w:hAnsi="Arial" w:cs="Arial"/>
          <w:sz w:val="28"/>
          <w:szCs w:val="28"/>
        </w:rPr>
        <w:t xml:space="preserve">una aplicación móvil </w:t>
      </w:r>
      <w:r w:rsidR="002655DD" w:rsidRPr="002655DD">
        <w:rPr>
          <w:rFonts w:ascii="Arial" w:hAnsi="Arial" w:cs="Arial"/>
          <w:sz w:val="28"/>
          <w:szCs w:val="28"/>
        </w:rPr>
        <w:t>de</w:t>
      </w:r>
      <w:r w:rsidR="002655DD" w:rsidRPr="00AF24EF">
        <w:rPr>
          <w:rFonts w:ascii="Arial" w:hAnsi="Arial" w:cs="Arial"/>
          <w:sz w:val="28"/>
          <w:szCs w:val="28"/>
        </w:rPr>
        <w:t xml:space="preserve"> consulta</w:t>
      </w:r>
      <w:r w:rsidR="002655DD" w:rsidRPr="002655DD">
        <w:rPr>
          <w:rFonts w:ascii="Arial" w:hAnsi="Arial" w:cs="Arial"/>
          <w:sz w:val="28"/>
          <w:szCs w:val="28"/>
        </w:rPr>
        <w:t xml:space="preserve">s de </w:t>
      </w:r>
      <w:r w:rsidR="002655DD" w:rsidRPr="00AF24EF">
        <w:rPr>
          <w:rFonts w:ascii="Arial" w:hAnsi="Arial" w:cs="Arial"/>
          <w:sz w:val="28"/>
          <w:szCs w:val="28"/>
        </w:rPr>
        <w:t>rutas</w:t>
      </w:r>
      <w:r w:rsidR="002655DD" w:rsidRPr="00AF24EF">
        <w:rPr>
          <w:rFonts w:ascii="Arial" w:hAnsi="Arial" w:cs="Arial"/>
          <w:sz w:val="28"/>
          <w:szCs w:val="28"/>
        </w:rPr>
        <w:t xml:space="preserve"> y tiempos de llegada</w:t>
      </w:r>
      <w:r w:rsidR="002655DD" w:rsidRPr="002655DD">
        <w:rPr>
          <w:rFonts w:ascii="Arial" w:hAnsi="Arial" w:cs="Arial"/>
          <w:sz w:val="28"/>
          <w:szCs w:val="28"/>
        </w:rPr>
        <w:t xml:space="preserve"> </w:t>
      </w:r>
    </w:p>
    <w:p w14:paraId="630CA966" w14:textId="5A1013D2" w:rsidR="00F872A7" w:rsidRPr="002655DD" w:rsidRDefault="00F872A7" w:rsidP="00AF24EF">
      <w:pPr>
        <w:spacing w:line="259" w:lineRule="auto"/>
        <w:jc w:val="both"/>
        <w:rPr>
          <w:rFonts w:ascii="Arial" w:hAnsi="Arial" w:cs="Arial"/>
          <w:sz w:val="28"/>
          <w:szCs w:val="28"/>
        </w:rPr>
      </w:pPr>
      <w:r w:rsidRPr="002655DD">
        <w:rPr>
          <w:rFonts w:ascii="Arial" w:hAnsi="Arial" w:cs="Arial"/>
          <w:sz w:val="28"/>
          <w:szCs w:val="28"/>
        </w:rPr>
        <w:t>E</w:t>
      </w:r>
      <w:r w:rsidR="002655DD" w:rsidRPr="002655DD">
        <w:rPr>
          <w:rFonts w:ascii="Arial" w:hAnsi="Arial" w:cs="Arial"/>
          <w:sz w:val="28"/>
          <w:szCs w:val="28"/>
        </w:rPr>
        <w:t>4:30 paraderos</w:t>
      </w:r>
      <w:r w:rsidR="002655DD" w:rsidRPr="00AF24EF">
        <w:rPr>
          <w:rFonts w:ascii="Arial" w:hAnsi="Arial" w:cs="Arial"/>
          <w:sz w:val="28"/>
          <w:szCs w:val="28"/>
        </w:rPr>
        <w:t xml:space="preserve"> inteligentes dotados con pantallas LED de alta luminosidad</w:t>
      </w:r>
    </w:p>
    <w:p w14:paraId="7EAE1800" w14:textId="6FAC985F" w:rsidR="00AF24EF" w:rsidRPr="006F1CD3" w:rsidRDefault="00F872A7" w:rsidP="00AF24EF">
      <w:pPr>
        <w:spacing w:line="259" w:lineRule="auto"/>
        <w:jc w:val="both"/>
        <w:rPr>
          <w:rFonts w:ascii="Arial" w:hAnsi="Arial" w:cs="Arial"/>
          <w:sz w:val="28"/>
          <w:szCs w:val="28"/>
        </w:rPr>
      </w:pPr>
      <w:r w:rsidRPr="002655DD">
        <w:rPr>
          <w:rFonts w:ascii="Arial" w:hAnsi="Arial" w:cs="Arial"/>
          <w:sz w:val="28"/>
          <w:szCs w:val="28"/>
        </w:rPr>
        <w:t>E5:</w:t>
      </w:r>
      <w:r w:rsidR="002655DD" w:rsidRPr="002655DD">
        <w:rPr>
          <w:rFonts w:ascii="Arial" w:hAnsi="Arial" w:cs="Arial"/>
          <w:sz w:val="28"/>
          <w:szCs w:val="28"/>
        </w:rPr>
        <w:t xml:space="preserve"> 500 conductores y supervisores capacitados</w:t>
      </w:r>
    </w:p>
    <w:p w14:paraId="40C99092" w14:textId="77777777" w:rsidR="00AF24EF" w:rsidRPr="00AF24EF" w:rsidRDefault="00AF24EF" w:rsidP="00AF24EF">
      <w:pPr>
        <w:spacing w:line="259" w:lineRule="auto"/>
        <w:jc w:val="both"/>
        <w:rPr>
          <w:rFonts w:ascii="Aptos" w:hAnsi="Aptos"/>
          <w:sz w:val="20"/>
          <w:szCs w:val="20"/>
        </w:rPr>
      </w:pPr>
    </w:p>
    <w:p w14:paraId="6344792B" w14:textId="77777777" w:rsidR="00AF24EF" w:rsidRPr="006F1CD3" w:rsidRDefault="00AF24EF" w:rsidP="00AF24EF">
      <w:pPr>
        <w:pStyle w:val="Prrafodelista"/>
        <w:numPr>
          <w:ilvl w:val="0"/>
          <w:numId w:val="1"/>
        </w:numPr>
        <w:spacing w:line="256" w:lineRule="auto"/>
        <w:jc w:val="both"/>
        <w:rPr>
          <w:rFonts w:ascii="Arial" w:eastAsia="Times New Roman" w:hAnsi="Arial" w:cs="Arial"/>
          <w:lang w:eastAsia="es-CO"/>
        </w:rPr>
      </w:pPr>
      <w:r w:rsidRPr="006F1CD3">
        <w:rPr>
          <w:rFonts w:ascii="Arial" w:eastAsia="Times New Roman" w:hAnsi="Arial" w:cs="Arial"/>
          <w:lang w:eastAsia="es-CO"/>
        </w:rPr>
        <w:t>En la sección de objetivos:  Redacte el objetivo general y el objetivo específico del entregable E</w:t>
      </w:r>
      <w:proofErr w:type="gramStart"/>
      <w:r w:rsidRPr="006F1CD3">
        <w:rPr>
          <w:rFonts w:ascii="Arial" w:eastAsia="Times New Roman" w:hAnsi="Arial" w:cs="Arial"/>
          <w:lang w:eastAsia="es-CO"/>
        </w:rPr>
        <w:t xml:space="preserve">3  </w:t>
      </w:r>
      <w:r w:rsidRPr="006F1CD3">
        <w:rPr>
          <w:rFonts w:ascii="Arial" w:eastAsia="Times New Roman" w:hAnsi="Arial" w:cs="Arial"/>
          <w:b/>
          <w:lang w:eastAsia="es-CO"/>
        </w:rPr>
        <w:t>Valor</w:t>
      </w:r>
      <w:proofErr w:type="gramEnd"/>
      <w:r w:rsidRPr="006F1CD3">
        <w:rPr>
          <w:rFonts w:ascii="Arial" w:eastAsia="Times New Roman" w:hAnsi="Arial" w:cs="Arial"/>
          <w:b/>
          <w:lang w:eastAsia="es-CO"/>
        </w:rPr>
        <w:t xml:space="preserve"> 1.5</w:t>
      </w:r>
    </w:p>
    <w:p w14:paraId="0A0860EE" w14:textId="77777777" w:rsidR="00AF24EF" w:rsidRDefault="00AF24EF" w:rsidP="00AF24EF">
      <w:pPr>
        <w:spacing w:line="256" w:lineRule="auto"/>
        <w:jc w:val="both"/>
        <w:rPr>
          <w:rFonts w:eastAsia="Times New Roman" w:cs="Times New Roman"/>
          <w:sz w:val="20"/>
          <w:lang w:eastAsia="es-CO"/>
        </w:rPr>
      </w:pPr>
    </w:p>
    <w:p w14:paraId="2567F4CD" w14:textId="28AB0123" w:rsidR="00AF24EF" w:rsidRPr="006F1CD3" w:rsidRDefault="006F1CD3" w:rsidP="00AF24EF">
      <w:pPr>
        <w:spacing w:line="256" w:lineRule="auto"/>
        <w:jc w:val="both"/>
        <w:rPr>
          <w:rFonts w:eastAsia="Times New Roman" w:cs="Times New Roman"/>
          <w:sz w:val="28"/>
          <w:szCs w:val="28"/>
          <w:lang w:eastAsia="es-CO"/>
        </w:rPr>
      </w:pPr>
      <w:r>
        <w:rPr>
          <w:rFonts w:eastAsia="Times New Roman" w:cs="Times New Roman"/>
          <w:sz w:val="20"/>
          <w:lang w:eastAsia="es-CO"/>
        </w:rPr>
        <w:t xml:space="preserve">Objetivo general:  </w:t>
      </w:r>
      <w:r w:rsidR="001027BF">
        <w:rPr>
          <w:rFonts w:eastAsia="Times New Roman" w:cs="Times New Roman"/>
          <w:lang w:eastAsia="es-CO"/>
        </w:rPr>
        <w:t>fortalecer</w:t>
      </w:r>
      <w:r>
        <w:rPr>
          <w:rFonts w:eastAsia="Times New Roman" w:cs="Times New Roman"/>
          <w:lang w:eastAsia="es-CO"/>
        </w:rPr>
        <w:t xml:space="preserve"> la movilidad del transporte público en la ciudad de </w:t>
      </w:r>
      <w:proofErr w:type="gramStart"/>
      <w:r w:rsidR="001027BF">
        <w:rPr>
          <w:rFonts w:eastAsia="Times New Roman" w:cs="Times New Roman"/>
          <w:lang w:eastAsia="es-CO"/>
        </w:rPr>
        <w:t>Cúcuta</w:t>
      </w:r>
      <w:r>
        <w:rPr>
          <w:rFonts w:eastAsia="Times New Roman" w:cs="Times New Roman"/>
          <w:lang w:eastAsia="es-CO"/>
        </w:rPr>
        <w:t xml:space="preserve">  mediante</w:t>
      </w:r>
      <w:proofErr w:type="gramEnd"/>
      <w:r>
        <w:rPr>
          <w:rFonts w:eastAsia="Times New Roman" w:cs="Times New Roman"/>
          <w:lang w:eastAsia="es-CO"/>
        </w:rPr>
        <w:t xml:space="preserve"> </w:t>
      </w:r>
      <w:r w:rsidR="001027BF">
        <w:rPr>
          <w:rFonts w:eastAsia="Times New Roman" w:cs="Times New Roman"/>
          <w:lang w:eastAsia="es-CO"/>
        </w:rPr>
        <w:t xml:space="preserve">el </w:t>
      </w:r>
      <w:r>
        <w:rPr>
          <w:rFonts w:eastAsia="Times New Roman" w:cs="Times New Roman"/>
          <w:lang w:eastAsia="es-CO"/>
        </w:rPr>
        <w:t xml:space="preserve">uso </w:t>
      </w:r>
      <w:proofErr w:type="gramStart"/>
      <w:r w:rsidR="001027BF">
        <w:rPr>
          <w:rFonts w:eastAsia="Times New Roman" w:cs="Times New Roman"/>
          <w:lang w:eastAsia="es-CO"/>
        </w:rPr>
        <w:t>de las tic</w:t>
      </w:r>
      <w:proofErr w:type="gramEnd"/>
      <w:r>
        <w:rPr>
          <w:rFonts w:eastAsia="Times New Roman" w:cs="Times New Roman"/>
          <w:lang w:eastAsia="es-CO"/>
        </w:rPr>
        <w:t xml:space="preserve"> para</w:t>
      </w:r>
      <w:r w:rsidR="001027BF">
        <w:rPr>
          <w:rFonts w:eastAsia="Times New Roman" w:cs="Times New Roman"/>
          <w:lang w:eastAsia="es-CO"/>
        </w:rPr>
        <w:t xml:space="preserve"> la generación de confianza en los usuarios y el aumento de </w:t>
      </w:r>
      <w:r w:rsidR="001027BF" w:rsidRPr="00AF24EF">
        <w:t>rentabilidad</w:t>
      </w:r>
      <w:r w:rsidR="001027BF">
        <w:t xml:space="preserve"> a las</w:t>
      </w:r>
      <w:r w:rsidR="001027BF" w:rsidRPr="00AF24EF">
        <w:t xml:space="preserve"> empresas</w:t>
      </w:r>
    </w:p>
    <w:p w14:paraId="1B38EE4A" w14:textId="77777777" w:rsidR="00AF24EF" w:rsidRDefault="00AF24EF" w:rsidP="00AF24EF">
      <w:pPr>
        <w:spacing w:line="256" w:lineRule="auto"/>
        <w:jc w:val="both"/>
        <w:rPr>
          <w:rFonts w:eastAsia="Times New Roman" w:cs="Times New Roman"/>
          <w:sz w:val="20"/>
          <w:lang w:eastAsia="es-CO"/>
        </w:rPr>
      </w:pPr>
    </w:p>
    <w:p w14:paraId="75BC08BA" w14:textId="77777777" w:rsidR="00AF24EF" w:rsidRDefault="00AF24EF" w:rsidP="00AF24EF">
      <w:pPr>
        <w:spacing w:line="256" w:lineRule="auto"/>
        <w:jc w:val="both"/>
        <w:rPr>
          <w:rFonts w:eastAsia="Times New Roman" w:cs="Times New Roman"/>
          <w:sz w:val="20"/>
          <w:lang w:eastAsia="es-CO"/>
        </w:rPr>
      </w:pPr>
    </w:p>
    <w:p w14:paraId="5E623413" w14:textId="77777777" w:rsidR="00AF24EF" w:rsidRPr="00AD7C94" w:rsidRDefault="00AF24EF" w:rsidP="00AF24EF">
      <w:pPr>
        <w:spacing w:line="256" w:lineRule="auto"/>
        <w:jc w:val="both"/>
        <w:rPr>
          <w:rFonts w:eastAsia="Times New Roman" w:cs="Times New Roman"/>
          <w:sz w:val="20"/>
          <w:lang w:eastAsia="es-CO"/>
        </w:rPr>
      </w:pPr>
    </w:p>
    <w:p w14:paraId="7874A0C7" w14:textId="77777777" w:rsidR="00AF24EF" w:rsidRDefault="00AF24EF" w:rsidP="00AF24EF">
      <w:pPr>
        <w:pStyle w:val="Prrafodelista"/>
        <w:numPr>
          <w:ilvl w:val="0"/>
          <w:numId w:val="1"/>
        </w:numPr>
        <w:spacing w:line="256" w:lineRule="auto"/>
        <w:jc w:val="both"/>
        <w:rPr>
          <w:rFonts w:eastAsia="Times New Roman" w:cs="Times New Roman"/>
          <w:sz w:val="20"/>
          <w:lang w:eastAsia="es-CO"/>
        </w:rPr>
      </w:pPr>
      <w:r w:rsidRPr="00165768">
        <w:rPr>
          <w:rFonts w:eastAsia="Times New Roman" w:cs="Times New Roman"/>
          <w:sz w:val="20"/>
          <w:lang w:eastAsia="es-CO"/>
        </w:rPr>
        <w:t>En la s</w:t>
      </w:r>
      <w:r>
        <w:rPr>
          <w:rFonts w:eastAsia="Times New Roman" w:cs="Times New Roman"/>
          <w:sz w:val="20"/>
          <w:lang w:eastAsia="es-CO"/>
        </w:rPr>
        <w:t xml:space="preserve">ección de supuestos: Plantee Un supuesto </w:t>
      </w:r>
      <w:r w:rsidRPr="00165768">
        <w:rPr>
          <w:rFonts w:eastAsia="Times New Roman" w:cs="Times New Roman"/>
          <w:sz w:val="20"/>
          <w:lang w:eastAsia="es-CO"/>
        </w:rPr>
        <w:t>del entregable E1</w:t>
      </w:r>
      <w:r>
        <w:rPr>
          <w:rFonts w:eastAsia="Times New Roman" w:cs="Times New Roman"/>
          <w:sz w:val="20"/>
          <w:lang w:eastAsia="es-CO"/>
        </w:rPr>
        <w:t xml:space="preserve"> y Un supuesto del E2.</w:t>
      </w:r>
      <w:r w:rsidRPr="00165768">
        <w:rPr>
          <w:rFonts w:eastAsia="Times New Roman" w:cs="Times New Roman"/>
          <w:sz w:val="20"/>
          <w:lang w:eastAsia="es-CO"/>
        </w:rPr>
        <w:t xml:space="preserve"> </w:t>
      </w:r>
      <w:r>
        <w:rPr>
          <w:rFonts w:eastAsia="Times New Roman" w:cs="Times New Roman"/>
          <w:b/>
          <w:sz w:val="20"/>
          <w:lang w:eastAsia="es-CO"/>
        </w:rPr>
        <w:t>Valor 0.75</w:t>
      </w:r>
      <w:r w:rsidRPr="00165768">
        <w:rPr>
          <w:rFonts w:eastAsia="Times New Roman" w:cs="Times New Roman"/>
          <w:sz w:val="20"/>
          <w:lang w:eastAsia="es-CO"/>
        </w:rPr>
        <w:t xml:space="preserve">  </w:t>
      </w:r>
    </w:p>
    <w:p w14:paraId="4320DA44" w14:textId="77777777" w:rsidR="00AF24EF" w:rsidRDefault="00AF24EF" w:rsidP="00AF24EF">
      <w:pPr>
        <w:spacing w:line="256" w:lineRule="auto"/>
        <w:jc w:val="both"/>
        <w:rPr>
          <w:rFonts w:eastAsia="Times New Roman" w:cs="Times New Roman"/>
          <w:sz w:val="20"/>
          <w:lang w:eastAsia="es-CO"/>
        </w:rPr>
      </w:pPr>
    </w:p>
    <w:p w14:paraId="6EB1E8D0" w14:textId="77777777" w:rsidR="00AF24EF" w:rsidRDefault="00AF24EF" w:rsidP="00AF24EF">
      <w:pPr>
        <w:spacing w:line="256" w:lineRule="auto"/>
        <w:jc w:val="both"/>
        <w:rPr>
          <w:rFonts w:eastAsia="Times New Roman" w:cs="Times New Roman"/>
          <w:sz w:val="20"/>
          <w:lang w:eastAsia="es-CO"/>
        </w:rPr>
      </w:pPr>
    </w:p>
    <w:p w14:paraId="5E02CC66" w14:textId="77777777" w:rsidR="00AF24EF" w:rsidRDefault="00AF24EF" w:rsidP="00AF24EF">
      <w:pPr>
        <w:spacing w:line="256" w:lineRule="auto"/>
        <w:jc w:val="both"/>
        <w:rPr>
          <w:rFonts w:eastAsia="Times New Roman" w:cs="Times New Roman"/>
          <w:sz w:val="20"/>
          <w:lang w:eastAsia="es-CO"/>
        </w:rPr>
      </w:pPr>
    </w:p>
    <w:p w14:paraId="3B2F9017" w14:textId="77777777" w:rsidR="00AF24EF" w:rsidRDefault="00AF24EF" w:rsidP="00AF24EF">
      <w:pPr>
        <w:spacing w:line="256" w:lineRule="auto"/>
        <w:jc w:val="both"/>
        <w:rPr>
          <w:rFonts w:eastAsia="Times New Roman" w:cs="Times New Roman"/>
          <w:sz w:val="20"/>
          <w:lang w:eastAsia="es-CO"/>
        </w:rPr>
      </w:pPr>
    </w:p>
    <w:p w14:paraId="77AF1DA4" w14:textId="77777777" w:rsidR="00AF24EF" w:rsidRPr="00165768" w:rsidRDefault="00AF24EF" w:rsidP="00AF24EF">
      <w:pPr>
        <w:pStyle w:val="Prrafodelista"/>
        <w:numPr>
          <w:ilvl w:val="0"/>
          <w:numId w:val="1"/>
        </w:numPr>
        <w:spacing w:line="256" w:lineRule="auto"/>
        <w:jc w:val="both"/>
        <w:rPr>
          <w:rFonts w:eastAsia="Times New Roman" w:cs="Times New Roman"/>
          <w:sz w:val="20"/>
          <w:lang w:eastAsia="es-CO"/>
        </w:rPr>
      </w:pPr>
      <w:r w:rsidRPr="00165768">
        <w:rPr>
          <w:rFonts w:eastAsia="Times New Roman" w:cs="Times New Roman"/>
          <w:sz w:val="20"/>
          <w:lang w:eastAsia="es-CO"/>
        </w:rPr>
        <w:t xml:space="preserve">En la sección de hitos:  Plantee los hitos con las fechas respectivas el cual permita satisfacer los requisitos del proyecto, incluya la etapa de cierre del proyecto. </w:t>
      </w:r>
      <w:r>
        <w:rPr>
          <w:rFonts w:eastAsia="Times New Roman" w:cs="Times New Roman"/>
          <w:b/>
          <w:sz w:val="20"/>
          <w:lang w:eastAsia="es-CO"/>
        </w:rPr>
        <w:t>Valor 1.0</w:t>
      </w:r>
      <w:r w:rsidRPr="00165768">
        <w:rPr>
          <w:rFonts w:eastAsia="Times New Roman" w:cs="Times New Roman"/>
          <w:sz w:val="20"/>
          <w:lang w:eastAsia="es-CO"/>
        </w:rPr>
        <w:t xml:space="preserve">  </w:t>
      </w:r>
    </w:p>
    <w:p w14:paraId="141116F0" w14:textId="77777777" w:rsidR="00AF24EF" w:rsidRPr="00165768" w:rsidRDefault="00AF24EF" w:rsidP="00AF24EF">
      <w:pPr>
        <w:pStyle w:val="Prrafodelista"/>
        <w:numPr>
          <w:ilvl w:val="0"/>
          <w:numId w:val="1"/>
        </w:numPr>
        <w:spacing w:line="256" w:lineRule="auto"/>
        <w:jc w:val="both"/>
        <w:rPr>
          <w:rFonts w:eastAsia="Times New Roman" w:cs="Times New Roman"/>
          <w:sz w:val="20"/>
          <w:lang w:eastAsia="es-CO"/>
        </w:rPr>
      </w:pPr>
      <w:r>
        <w:rPr>
          <w:rFonts w:eastAsia="Times New Roman" w:cs="Times New Roman"/>
          <w:sz w:val="20"/>
          <w:lang w:eastAsia="es-CO"/>
        </w:rPr>
        <w:t xml:space="preserve">De las restricciones determine el presupuesto del proyecto y el alcance del E4 </w:t>
      </w:r>
      <w:r>
        <w:rPr>
          <w:rFonts w:eastAsia="Times New Roman" w:cs="Times New Roman"/>
          <w:b/>
          <w:sz w:val="20"/>
          <w:lang w:eastAsia="es-CO"/>
        </w:rPr>
        <w:t>Valor 0.75</w:t>
      </w:r>
      <w:r w:rsidRPr="00165768">
        <w:rPr>
          <w:rFonts w:eastAsia="Times New Roman" w:cs="Times New Roman"/>
          <w:sz w:val="20"/>
          <w:lang w:eastAsia="es-CO"/>
        </w:rPr>
        <w:t xml:space="preserve">  </w:t>
      </w:r>
    </w:p>
    <w:p w14:paraId="5FF5E716" w14:textId="77777777" w:rsidR="00AF24EF" w:rsidRPr="00AF24EF" w:rsidRDefault="00AF24EF" w:rsidP="00AF24EF">
      <w:pPr>
        <w:spacing w:line="256" w:lineRule="auto"/>
        <w:jc w:val="both"/>
        <w:rPr>
          <w:rFonts w:eastAsia="Times New Roman" w:cs="Times New Roman"/>
          <w:sz w:val="20"/>
          <w:lang w:eastAsia="es-CO"/>
        </w:rPr>
      </w:pPr>
    </w:p>
    <w:p w14:paraId="5419B4F8" w14:textId="77777777" w:rsidR="00AF24EF" w:rsidRDefault="00AF24EF"/>
    <w:sectPr w:rsidR="00AF24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0237F"/>
    <w:multiLevelType w:val="hybridMultilevel"/>
    <w:tmpl w:val="DCEA855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80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981"/>
    <w:rsid w:val="001027BF"/>
    <w:rsid w:val="002655DD"/>
    <w:rsid w:val="006F1CD3"/>
    <w:rsid w:val="00AF24EF"/>
    <w:rsid w:val="00C54947"/>
    <w:rsid w:val="00C90981"/>
    <w:rsid w:val="00F8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C67D0"/>
  <w15:chartTrackingRefBased/>
  <w15:docId w15:val="{6E6D4964-3F56-4C19-9C83-DE27E2F01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0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0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0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0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0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0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0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0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0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0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0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0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09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09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09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09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09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09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0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0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0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0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0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09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09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09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0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09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0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700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MAURICIO CALDERON BAYONA</dc:creator>
  <cp:keywords/>
  <dc:description/>
  <cp:lastModifiedBy>ESTEBAN MAURICIO CALDERON BAYONA</cp:lastModifiedBy>
  <cp:revision>2</cp:revision>
  <dcterms:created xsi:type="dcterms:W3CDTF">2026-03-04T18:39:00Z</dcterms:created>
  <dcterms:modified xsi:type="dcterms:W3CDTF">2026-03-04T19:30:00Z</dcterms:modified>
</cp:coreProperties>
</file>