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5D" w:rsidRPr="00AB675D" w:rsidRDefault="00AB675D" w:rsidP="00AB675D">
      <w:pPr>
        <w:widowControl/>
        <w:shd w:val="clear" w:color="auto" w:fill="C8D5E3"/>
        <w:spacing w:line="360" w:lineRule="auto"/>
        <w:jc w:val="left"/>
        <w:outlineLvl w:val="1"/>
        <w:rPr>
          <w:rFonts w:ascii="Arial" w:eastAsia="宋体" w:hAnsi="Arial" w:cs="Arial"/>
          <w:color w:val="212224"/>
          <w:kern w:val="0"/>
          <w:sz w:val="32"/>
          <w:szCs w:val="32"/>
        </w:rPr>
      </w:pP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fldChar w:fldCharType="begin"/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instrText xml:space="preserve"> HYPERLINK "https://zabbix-manual-in-chinese.readthedocs.io/en/latest/concepts/definitons/index.html" \l "id5" </w:instrText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fldChar w:fldCharType="separate"/>
      </w:r>
      <w:r w:rsidRPr="00AB675D">
        <w:rPr>
          <w:rFonts w:ascii="Arial" w:eastAsia="宋体" w:hAnsi="Arial" w:cs="Arial"/>
          <w:color w:val="E32E00"/>
          <w:kern w:val="0"/>
          <w:sz w:val="32"/>
          <w:szCs w:val="32"/>
          <w:u w:val="single"/>
        </w:rPr>
        <w:t>名字解释</w:t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fldChar w:fldCharType="end"/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fldChar w:fldCharType="begin"/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instrText xml:space="preserve"> HYPERLINK "https://zabbix-manual-in-chinese.readthedocs.io/en/latest/concepts/definitons/index.html" \l "id2" \o "Permalink to this headline" </w:instrText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fldChar w:fldCharType="separate"/>
      </w:r>
      <w:r w:rsidRPr="00AB675D">
        <w:rPr>
          <w:rFonts w:ascii="Arial" w:eastAsia="宋体" w:hAnsi="Arial" w:cs="Arial"/>
          <w:color w:val="C60F0F"/>
          <w:kern w:val="0"/>
          <w:sz w:val="26"/>
          <w:szCs w:val="26"/>
        </w:rPr>
        <w:t>¶</w:t>
      </w:r>
      <w:r w:rsidRPr="00AB675D">
        <w:rPr>
          <w:rFonts w:ascii="Arial" w:eastAsia="宋体" w:hAnsi="Arial" w:cs="Arial"/>
          <w:color w:val="212224"/>
          <w:kern w:val="0"/>
          <w:sz w:val="32"/>
          <w:szCs w:val="32"/>
        </w:rPr>
        <w:fldChar w:fldCharType="end"/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主机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(host)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一个你想监控的网络设备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需要知道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I</w:t>
      </w:r>
      <w:bookmarkStart w:id="0" w:name="_GoBack"/>
      <w:bookmarkEnd w:id="0"/>
      <w:r w:rsidRPr="00AB675D">
        <w:rPr>
          <w:rFonts w:ascii="Arial" w:eastAsia="宋体" w:hAnsi="Arial" w:cs="Arial"/>
          <w:color w:val="3E4349"/>
          <w:kern w:val="0"/>
          <w:sz w:val="22"/>
        </w:rPr>
        <w:t>P/DNS)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主机组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(host group)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一个逻辑的主机组，它包含主机和模板。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主机和模板在同一个主机内的话模板不能被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link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到其他上。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主机组通常用于给不同的用户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组创建访问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权限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监控项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(item)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你想从主机中收集到的数据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触发器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(trigger)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一个逻辑表达式，用来表达从监控项获取的数据达到了预设的问题阀值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当接收到的监控值达到了预设的阀值，则触发器状态由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’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OK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’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变更为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’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Problem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’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，当收到的监控值低于阀值，则状态保持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/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变更为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’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OK</w:t>
      </w:r>
      <w:proofErr w:type="gramStart"/>
      <w:r w:rsidRPr="00AB675D">
        <w:rPr>
          <w:rFonts w:ascii="Arial" w:eastAsia="宋体" w:hAnsi="Arial" w:cs="Arial"/>
          <w:color w:val="3E4349"/>
          <w:kern w:val="0"/>
          <w:sz w:val="22"/>
        </w:rPr>
        <w:t>’</w:t>
      </w:r>
      <w:proofErr w:type="gramEnd"/>
      <w:r w:rsidRPr="00AB675D">
        <w:rPr>
          <w:rFonts w:ascii="Arial" w:eastAsia="宋体" w:hAnsi="Arial" w:cs="Arial"/>
          <w:color w:val="3E4349"/>
          <w:kern w:val="0"/>
          <w:sz w:val="22"/>
        </w:rPr>
        <w:t>.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事件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(event)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一个事情发生如触发器状态变更或一个自动发现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(discovery)/agent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自动注册等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动作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(action)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当一个事件发生时预设的处理过程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一个动作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(action)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包括操作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(operations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，如发送告警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和条件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当指定的操作完成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告警升级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(escalation)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在动作中一个自定的操作执行过程，一个发送告警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/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执行远程命令的队列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媒介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(media)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发送告警的渠道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告警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(notification)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通过媒介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(media)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渠道发送事件的消息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远程命令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(remote command)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当监控主机达到某些条件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(condition)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后预设的自动执行的命令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模板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(template)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一组包含监控项、触发器、绘图、面板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(screen)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、应用、低级别自动发现规则等并且能被其他主机应用的实体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模板能够提升主机部署监控任务的速度，同时也非常容易对监控任务做批量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(mass)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更新。模板被主机链接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(link).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应用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(application)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监控项逻辑组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web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方案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(scenario)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对一个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web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站点可用性进行检查的一个或多个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http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请求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lastRenderedPageBreak/>
        <w:t>前端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(frontend)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>提供的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web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接口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 xml:space="preserve"> API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API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允许通过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JSON RPC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协议去创建、更新、获得</w:t>
      </w: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>对象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(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如主机、监控项、绘图等等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)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以及完成自定义任务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 xml:space="preserve"> server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>软件中心进程，用于连通</w:t>
      </w: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proxy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及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agent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完成监控、评估触发器、发送告警以及中心数据存储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 xml:space="preserve"> agent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部署在监控主机上的进程，用于监控本地资源和应用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proofErr w:type="spellStart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 xml:space="preserve"> proxy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替代</w:t>
      </w: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server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完成数据收集的进程，通常用于降低中心</w:t>
      </w: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Server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的负载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节点</w:t>
      </w:r>
      <w:r w:rsidRPr="00AB675D">
        <w:rPr>
          <w:rFonts w:ascii="Arial" w:eastAsia="宋体" w:hAnsi="Arial" w:cs="Arial"/>
          <w:b/>
          <w:bCs/>
          <w:color w:val="3E4349"/>
          <w:kern w:val="0"/>
          <w:sz w:val="22"/>
        </w:rPr>
        <w:t>(node)</w:t>
      </w:r>
    </w:p>
    <w:p w:rsidR="00AB675D" w:rsidRPr="00AB675D" w:rsidRDefault="00AB675D" w:rsidP="00AB675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AB675D">
        <w:rPr>
          <w:rFonts w:ascii="Arial" w:eastAsia="宋体" w:hAnsi="Arial" w:cs="Arial"/>
          <w:color w:val="3E4349"/>
          <w:kern w:val="0"/>
          <w:sz w:val="22"/>
        </w:rPr>
        <w:t>一套完整的</w:t>
      </w:r>
      <w:proofErr w:type="spellStart"/>
      <w:r w:rsidRPr="00AB675D">
        <w:rPr>
          <w:rFonts w:ascii="Arial" w:eastAsia="宋体" w:hAnsi="Arial" w:cs="Arial"/>
          <w:color w:val="3E4349"/>
          <w:kern w:val="0"/>
          <w:sz w:val="22"/>
        </w:rPr>
        <w:t>Zabbix</w:t>
      </w:r>
      <w:proofErr w:type="spellEnd"/>
      <w:r w:rsidRPr="00AB675D">
        <w:rPr>
          <w:rFonts w:ascii="Arial" w:eastAsia="宋体" w:hAnsi="Arial" w:cs="Arial"/>
          <w:color w:val="3E4349"/>
          <w:kern w:val="0"/>
          <w:sz w:val="22"/>
        </w:rPr>
        <w:t xml:space="preserve"> server</w:t>
      </w:r>
      <w:r w:rsidRPr="00AB675D">
        <w:rPr>
          <w:rFonts w:ascii="Arial" w:eastAsia="宋体" w:hAnsi="Arial" w:cs="Arial"/>
          <w:color w:val="3E4349"/>
          <w:kern w:val="0"/>
          <w:sz w:val="22"/>
        </w:rPr>
        <w:t>配置，通常位于分布式系统中，用于负责本区域的监控</w:t>
      </w:r>
    </w:p>
    <w:p w:rsidR="00B66B8D" w:rsidRPr="00AB675D" w:rsidRDefault="0004663D" w:rsidP="00AB675D">
      <w:pPr>
        <w:spacing w:line="360" w:lineRule="auto"/>
      </w:pPr>
    </w:p>
    <w:sectPr w:rsidR="00B66B8D" w:rsidRPr="00AB675D" w:rsidSect="00AB675D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D0"/>
    <w:rsid w:val="00002297"/>
    <w:rsid w:val="0004663D"/>
    <w:rsid w:val="004C1AD0"/>
    <w:rsid w:val="00614017"/>
    <w:rsid w:val="00A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67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675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B67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6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67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67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675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B67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6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6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198</Words>
  <Characters>1132</Characters>
  <Application>Microsoft Office Word</Application>
  <DocSecurity>0</DocSecurity>
  <Lines>9</Lines>
  <Paragraphs>2</Paragraphs>
  <ScaleCrop>false</ScaleCrop>
  <Company>china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2016-11-22T07:56:00Z</dcterms:created>
  <dcterms:modified xsi:type="dcterms:W3CDTF">2016-11-22T14:04:00Z</dcterms:modified>
</cp:coreProperties>
</file>