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Georgia" w:cs="Georgia" w:eastAsia="Georgia" w:hAnsi="Georgia"/>
          <w:b/>
          <w:bCs/>
          <w:sz w:val="56"/>
          <w:szCs w:val="56"/>
        </w:rPr>
        <w:t xml:space="preserve">The Sovereign Agent</w:t>
      </w:r>
    </w:p>
    <w:p>
      <w:pPr>
        <w:spacing w:after="2000"/>
        <w:jc w:val="center"/>
      </w:pPr>
      <w:r>
        <w:rPr>
          <w:i/>
          <w:iCs/>
          <w:color w:val="555555"/>
          <w:sz w:val="28"/>
          <w:szCs w:val="28"/>
        </w:rPr>
        <w:t xml:space="preserve">From Code is Law to Spirit is Law</w:t>
      </w:r>
    </w:p>
    <w:p>
      <w:pPr>
        <w:spacing w:after="200"/>
        <w:jc w:val="center"/>
      </w:pPr>
      <w:r>
        <w:rPr>
          <w:i/>
          <w:iCs/>
          <w:color w:val="333333"/>
          <w:sz w:val="24"/>
          <w:szCs w:val="24"/>
        </w:rPr>
        <w:t xml:space="preserve">Blockchain drove the cost of establishing trust to nearly zero for the first time in history — but the trust it provides is static.</w:t>
      </w:r>
    </w:p>
    <w:p>
      <w:pPr>
        <w:spacing w:after="200"/>
        <w:jc w:val="center"/>
      </w:pPr>
      <w:r>
        <w:rPr>
          <w:i/>
          <w:iCs/>
          <w:color w:val="333333"/>
          <w:sz w:val="24"/>
          <w:szCs w:val="24"/>
        </w:rPr>
        <w:t xml:space="preserve">The frontier of the next generation of trust engineering is to inject judgment into that trust, while preserving every advantage of cryptographic trust.</w:t>
      </w:r>
    </w:p>
    <w:p>
      <w:pPr>
        <w:pageBreakBefore/>
      </w:pPr>
    </w:p>
    <w:p>
      <w:pPr>
        <w:pStyle w:val="Heading1"/>
      </w:pPr>
      <w:r>
        <w:t xml:space="preserve">I. The Limits of Smart Contracts</w:t>
      </w:r>
    </w:p>
    <w:p>
      <w:pPr>
        <w:spacing w:after="160" w:line="276"/>
        <w:jc w:val="both"/>
      </w:pPr>
      <w:r>
        <w:t xml:space="preserve">Over the past decade, blockchain achieved something never accomplished before: </w:t>
      </w:r>
      <w:r>
        <w:rPr>
          <w:b/>
          <w:bCs/>
        </w:rPr>
        <w:t xml:space="preserve">it made trust no longer dependent on any particular person or institution.</w:t>
      </w:r>
      <w:r>
        <w:t xml:space="preserve"> Until then, sustaining trust relied heavily on reputation, law, institutions, and regulation — all of it expensive. The 3%–7% fee on an international wire transfer, the 5%–10% intermediary cost of a property transfer, the lawyer review that a derivatives contract of dozens of pages demands — at bottom these are all costs paid to establish trust. We might call them a “trust tax.”</w:t>
      </w:r>
    </w:p>
    <w:p>
      <w:pPr>
        <w:spacing w:after="160" w:line="276"/>
        <w:jc w:val="both"/>
      </w:pPr>
      <w:r>
        <w:t xml:space="preserve">Cryptography and consensus mechanisms compressed that cost to nearly zero. A Bitcoin transfer needs no bank to vouch for it; an Ethereum contract needs no court to enforce it. This was a fundamental change at the level of infrastructure.</w:t>
      </w:r>
    </w:p>
    <w:p>
      <w:pPr>
        <w:spacing w:after="160" w:line="276"/>
        <w:jc w:val="both"/>
      </w:pPr>
      <w:r>
        <w:t xml:space="preserve">But this new kind of trust carries a deep limitation: </w:t>
      </w:r>
      <w:r>
        <w:rPr>
          <w:b/>
          <w:bCs/>
        </w:rPr>
        <w:t xml:space="preserve">it is static, and it has no judgment.</w:t>
      </w:r>
    </w:p>
    <w:p>
      <w:pPr>
        <w:spacing w:after="160" w:line="276"/>
        <w:jc w:val="both"/>
      </w:pPr>
      <w:r>
        <w:t xml:space="preserve">A smart contract cannot exercise judgment. It can execute conditional branches, but it cannot tell a “normal transaction” apart from a “malicious attack.” It cannot reach out to the network on its own; every piece of off-chain information must be injected through an oracle. It cannot respond to context — the very same million-dollar transfer is routine for a long-standing client yet may be anomalous for a brand-new address, and the contract cannot tell the two apart. Nor can it evolve: once deployed, it is frozen.</w:t>
      </w:r>
    </w:p>
    <w:p>
      <w:pPr>
        <w:spacing w:after="160" w:line="276"/>
        <w:jc w:val="both"/>
      </w:pPr>
      <w:r>
        <w:t xml:space="preserve">Jurisprudence has carried a pair of concepts for centuries: the </w:t>
      </w:r>
      <w:r>
        <w:rPr>
          <w:b/>
          <w:bCs/>
        </w:rPr>
        <w:t xml:space="preserve">Letter of the Law</w:t>
      </w:r>
      <w:r>
        <w:t xml:space="preserve"> and the </w:t>
      </w:r>
      <w:r>
        <w:rPr>
          <w:b/>
          <w:bCs/>
        </w:rPr>
        <w:t xml:space="preserve">Spirit of the Law.</w:t>
      </w:r>
      <w:r>
        <w:t xml:space="preserve"> The former is the literal text of the statute; the latter is the real value the lawmaker intended to protect. The essence of a good judge’s or a good banker’s daily work is to exercise judgment according to the spirit of the law, rather than mechanically executing its letter.</w:t>
      </w:r>
    </w:p>
    <w:p>
      <w:pPr>
        <w:spacing w:after="160" w:line="276"/>
        <w:jc w:val="both"/>
      </w:pPr>
      <w:r>
        <w:t xml:space="preserve">This is precisely where the smart contract’s fundamental limitation lies: </w:t>
      </w:r>
      <w:r>
        <w:rPr>
          <w:b/>
          <w:bCs/>
        </w:rPr>
        <w:t xml:space="preserve">it can defend only the letter of the rule, never its spirit.</w:t>
      </w:r>
    </w:p>
    <w:p>
      <w:pPr>
        <w:spacing w:after="160" w:line="276"/>
        <w:jc w:val="both"/>
      </w:pPr>
      <w:r>
        <w:t xml:space="preserve">This limitation gives rise to a profound paradox in DeFi: </w:t>
      </w:r>
      <w:r>
        <w:rPr>
          <w:b/>
          <w:bCs/>
        </w:rPr>
        <w:t xml:space="preserve">an attack is often, in form, “legal.”</w:t>
      </w:r>
      <w:r>
        <w:t xml:space="preserve"> When a flash-loan attacker drains a liquidity pool through a sequence of syntactically flawless transactions, the contract does not recognize this as an “attack” — all it sees is a string of conforming calls. After the fact, communities often argue over “whether this was an attack or a legitimate transaction,” and both sides have grounds — because the contract was indeed executed “legally”; it is only that the outcome of that execution betrayed the original intent of every participant.</w:t>
      </w:r>
    </w:p>
    <w:p>
      <w:pPr>
        <w:spacing w:after="160" w:line="276"/>
        <w:jc w:val="both"/>
      </w:pPr>
      <w:r>
        <w:t xml:space="preserve">What blockchain does well: transfers, custody, distributing funds by a fixed formula, trading by fixed rules. What blockchain does poorly: proactive risk control, complex customer service, responding to unknown threats, cross-system integration. And it is the latter class of capabilities that constitutes the essence of the overwhelming majority of real-world economic activity.</w:t>
      </w:r>
    </w:p>
    <w:p>
      <w:pPr>
        <w:spacing w:after="160" w:line="276"/>
        <w:jc w:val="both"/>
      </w:pPr>
      <w:r>
        <w:t xml:space="preserve">From this arises a phenomenon worth noting: </w:t>
      </w:r>
      <w:r>
        <w:rPr>
          <w:b/>
          <w:bCs/>
        </w:rPr>
        <w:t xml:space="preserve">the more complex a protocol becomes, and the closer it gets to real business, the more it needs “governance” and “admin” mechanisms — which in substance is a return to trusting people.</w:t>
      </w:r>
      <w:r>
        <w:t xml:space="preserve"> DeFi lending protocols set up a “risk-management DAO”; CeDeFi platforms rely on an “operations team”; RWA protocols introduce “agents.” Each layer of governance reintroduces the assumption of “trusting a particular party,” merely wrapped on the outside in the form of “decentralization.”</w:t>
      </w:r>
    </w:p>
    <w:p>
      <w:pPr>
        <w:spacing w:after="160" w:line="276"/>
        <w:jc w:val="both"/>
      </w:pPr>
      <w:r>
        <w:t xml:space="preserve">This is not a design flaw in individual projects; it is the boundary of the paradigm itself. </w:t>
      </w:r>
      <w:r>
        <w:rPr>
          <w:b/>
          <w:bCs/>
        </w:rPr>
        <w:t xml:space="preserve">When business complexity exceeds what purely mechanical rules can handle, only two paths remain: abandon the complexity to keep the contract pure, or introduce human governance and abandon zero trust.</w:t>
      </w:r>
      <w:r>
        <w:t xml:space="preserve"> The whole industry has long been forced to choose between the two, and no viable third path has yet emerged.</w:t>
      </w:r>
    </w:p>
    <w:p>
      <w:pPr>
        <w:pStyle w:val="Heading1"/>
      </w:pPr>
      <w:r>
        <w:t xml:space="preserve">II. Defining and Composing the Sovereign Agent</w:t>
      </w:r>
    </w:p>
    <w:p>
      <w:pPr>
        <w:spacing w:after="160" w:line="276"/>
        <w:jc w:val="both"/>
      </w:pPr>
      <w:r>
        <w:t xml:space="preserve">Inverting each of the limitations above sketches the form of entity the next generation of trust engineering ought to provide. Like a smart contract, it should be </w:t>
      </w:r>
      <w:r>
        <w:rPr>
          <w:b/>
          <w:bCs/>
        </w:rPr>
        <w:t xml:space="preserve">impossible for any individual to control unilaterally, with core rules that cannot be tampered with and all behavior open to audit.</w:t>
      </w:r>
      <w:r>
        <w:t xml:space="preserve"> At the same time, it should also be able to </w:t>
      </w:r>
      <w:r>
        <w:rPr>
          <w:b/>
          <w:bCs/>
        </w:rPr>
        <w:t xml:space="preserve">understand context, reach the network on its own, serve users, evolve with its environment, and collaborate with other entities.</w:t>
      </w:r>
    </w:p>
    <w:p>
      <w:pPr>
        <w:spacing w:after="160" w:line="276"/>
        <w:jc w:val="both"/>
      </w:pPr>
      <w:r>
        <w:t xml:space="preserve">In short, this entity should be </w:t>
      </w:r>
      <w:r>
        <w:rPr>
          <w:b/>
          <w:bCs/>
        </w:rPr>
        <w:t xml:space="preserve">both incapable of doing evil and capable of judgment</w:t>
      </w:r>
      <w:r>
        <w:t xml:space="preserve"> — closer to </w:t>
      </w:r>
      <w:r>
        <w:rPr>
          <w:b/>
          <w:bCs/>
        </w:rPr>
        <w:t xml:space="preserve">a banker who will never break a promise</w:t>
      </w:r>
      <w:r>
        <w:t xml:space="preserve"> than to a vending machine that can only execute instructions. This paper calls such an entity a </w:t>
      </w:r>
      <w:r>
        <w:rPr>
          <w:b/>
          <w:bCs/>
        </w:rPr>
        <w:t xml:space="preserve">Sovereign Agent.</w:t>
      </w:r>
    </w:p>
    <w:p>
      <w:pPr>
        <w:pStyle w:val="Heading2"/>
      </w:pPr>
      <w:r>
        <w:t xml:space="preserve">Definition</w:t>
      </w:r>
    </w:p>
    <w:p>
      <w:pPr>
        <w:spacing w:after="160" w:line="276"/>
        <w:jc w:val="both"/>
      </w:pPr>
      <w:r>
        <w:t xml:space="preserve">A Sovereign Agent is an on-chain entity that runs on decentralized infrastructure, holds its own private key, makes decisions according to an immutable on-chain constitution (the Soul), and is able to interact continuously with the outside world. It has the following five essential properties.</w:t>
      </w:r>
    </w:p>
    <w:p>
      <w:pPr>
        <w:pStyle w:val="ListParagraph"/>
        <w:numPr>
          <w:ilvl w:val="0"/>
          <w:numId w:val="2"/>
        </w:numPr>
        <w:spacing w:after="100" w:line="276"/>
        <w:jc w:val="both"/>
      </w:pPr>
      <w:r>
        <w:rPr>
          <w:b/>
          <w:bCs/>
        </w:rPr>
        <w:t xml:space="preserve">Non-appropriable.</w:t>
      </w:r>
      <w:r>
        <w:t xml:space="preserve"> The private key is held by no single individual or group; instead, it is distributed across an accountable consensus network through threshold signatures, and no single party can sign on its own.</w:t>
      </w:r>
    </w:p>
    <w:p>
      <w:pPr>
        <w:pStyle w:val="ListParagraph"/>
        <w:numPr>
          <w:ilvl w:val="0"/>
          <w:numId w:val="2"/>
        </w:numPr>
        <w:spacing w:after="100" w:line="276"/>
        <w:jc w:val="both"/>
      </w:pPr>
      <w:r>
        <w:rPr>
          <w:b/>
          <w:bCs/>
        </w:rPr>
        <w:t xml:space="preserve">Immutable (at the core layer).</w:t>
      </w:r>
      <w:r>
        <w:t xml:space="preserve"> The core constitution (the Soul) is deployed on-chain and can never be modified; the upgradeable parts are constrained by meta-rules written into the Soul.</w:t>
      </w:r>
    </w:p>
    <w:p>
      <w:pPr>
        <w:pStyle w:val="ListParagraph"/>
        <w:numPr>
          <w:ilvl w:val="0"/>
          <w:numId w:val="2"/>
        </w:numPr>
        <w:spacing w:after="100" w:line="276"/>
        <w:jc w:val="both"/>
      </w:pPr>
      <w:r>
        <w:rPr>
          <w:b/>
          <w:bCs/>
        </w:rPr>
        <w:t xml:space="preserve">Perpetually running.</w:t>
      </w:r>
      <w:r>
        <w:t xml:space="preserve"> It depends on no single physical server; its runtime environment can migrate across a decentralized compute network.</w:t>
      </w:r>
    </w:p>
    <w:p>
      <w:pPr>
        <w:pStyle w:val="ListParagraph"/>
        <w:numPr>
          <w:ilvl w:val="0"/>
          <w:numId w:val="2"/>
        </w:numPr>
        <w:spacing w:after="100" w:line="276"/>
        <w:jc w:val="both"/>
      </w:pPr>
      <w:r>
        <w:rPr>
          <w:b/>
          <w:bCs/>
        </w:rPr>
        <w:t xml:space="preserve">Economically self-sustaining.</w:t>
      </w:r>
      <w:r>
        <w:t xml:space="preserve"> It pays its operating costs out of its own business revenue and bears its own profit and loss.</w:t>
      </w:r>
    </w:p>
    <w:p>
      <w:pPr>
        <w:pStyle w:val="ListParagraph"/>
        <w:numPr>
          <w:ilvl w:val="0"/>
          <w:numId w:val="2"/>
        </w:numPr>
        <w:spacing w:after="100" w:line="276"/>
        <w:jc w:val="both"/>
      </w:pPr>
      <w:r>
        <w:rPr>
          <w:b/>
          <w:bCs/>
        </w:rPr>
        <w:t xml:space="preserve">Verifiable.</w:t>
      </w:r>
      <w:r>
        <w:t xml:space="preserve"> Every decision carries an on-chain proof showing that it was made by a specific Soul and a specific Skill at a specific moment, in accordance with the relevant clauses of the constitution — and anyone can audit it at any time.</w:t>
      </w:r>
    </w:p>
    <w:p>
      <w:pPr>
        <w:pStyle w:val="Heading2"/>
      </w:pPr>
      <w:r>
        <w:t xml:space="preserve">Soul / Skill / Memory: A Three-Layer Structure</w:t>
      </w:r>
    </w:p>
    <w:p>
      <w:pPr>
        <w:spacing w:after="160" w:line="276"/>
        <w:jc w:val="both"/>
      </w:pPr>
      <w:r>
        <w:t xml:space="preserve">The internal structure of a Sovereign Agent consists of three layers.</w:t>
      </w:r>
    </w:p>
    <w:p>
      <w:pPr>
        <w:pStyle w:val="ListParagraph"/>
        <w:numPr>
          <w:ilvl w:val="0"/>
          <w:numId w:val="2"/>
        </w:numPr>
        <w:spacing w:after="100" w:line="276"/>
        <w:jc w:val="both"/>
      </w:pPr>
      <w:r>
        <w:rPr>
          <w:b/>
          <w:bCs/>
        </w:rPr>
        <w:t xml:space="preserve">Soul — permanently immutable.</w:t>
      </w:r>
      <w:r>
        <w:t xml:space="preserve"> It comprises the private-key management logic, the asset boundaries (the red lines that may never be crossed), the behavioral floor, and the upgrade meta-rules. The Soul is deterministic code, deployed on-chain and never changed; its security is equal to the security of the chain itself. The Soul defines “who this Agent is.”</w:t>
      </w:r>
    </w:p>
    <w:p>
      <w:pPr>
        <w:pStyle w:val="ListParagraph"/>
        <w:numPr>
          <w:ilvl w:val="0"/>
          <w:numId w:val="2"/>
        </w:numPr>
        <w:spacing w:after="100" w:line="276"/>
        <w:jc w:val="both"/>
      </w:pPr>
      <w:r>
        <w:rPr>
          <w:b/>
          <w:bCs/>
        </w:rPr>
        <w:t xml:space="preserve">Skill — upgradeable.</w:t>
      </w:r>
      <w:r>
        <w:t xml:space="preserve"> It comprises concrete business capabilities, calls to external tools, and an optional LLM assist. Skill evolves through the upgrade process predefined in the Soul, and it defines “what this Agent can do.”</w:t>
      </w:r>
    </w:p>
    <w:p>
      <w:pPr>
        <w:pStyle w:val="ListParagraph"/>
        <w:numPr>
          <w:ilvl w:val="0"/>
          <w:numId w:val="2"/>
        </w:numPr>
        <w:spacing w:after="100" w:line="276"/>
        <w:jc w:val="both"/>
      </w:pPr>
      <w:r>
        <w:rPr>
          <w:b/>
          <w:bCs/>
        </w:rPr>
        <w:t xml:space="preserve">Memory — fluid state.</w:t>
      </w:r>
      <w:r>
        <w:t xml:space="preserve"> It comprises real-time business state, transaction history, and the trace of interactions with the outside world. The substance is held in decentralized storage; only a Merkle commitment is kept on-chain. Memory defines “what this Agent has experienced.”</w:t>
      </w:r>
    </w:p>
    <w:p>
      <w:pPr>
        <w:spacing w:after="160" w:line="276"/>
        <w:jc w:val="both"/>
      </w:pPr>
      <w:r>
        <w:t xml:space="preserve">An Agent’s “identity” is anchored by its Soul. Skill is continuously updated and Memory continuously accumulates, but so long as the Soul stays constant, the Agent’s identity persists. This mirrors the principle of identity in complex organisms: the cells that make up a body turn over periodically, yet its identity remains stable.</w:t>
      </w:r>
    </w:p>
    <w:p>
      <w:pPr>
        <w:pStyle w:val="Heading2"/>
      </w:pPr>
      <w:r>
        <w:t xml:space="preserve">Distinction from “AI Agent” Projects</w:t>
      </w:r>
    </w:p>
    <w:p>
      <w:pPr>
        <w:spacing w:after="160" w:line="276"/>
        <w:jc w:val="both"/>
      </w:pPr>
      <w:r>
        <w:t xml:space="preserve">In recent years, a great many “AI Agent” projects have appeared on the market (Virtuals, ai16z, Truth Terminal, and the like). The Sovereign Agent differs from such projects in essence; the principal differences are shown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0" w:line="252"/>
            </w:pPr>
          </w:p>
        </w:tc>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0" w:line="252"/>
            </w:pPr>
            <w:r>
              <w:rPr>
                <w:b/>
                <w:bCs/>
              </w:rPr>
              <w:t xml:space="preserve">AI Agents on the market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0" w:line="252"/>
            </w:pPr>
            <w:r>
              <w:rPr>
                <w:b/>
                <w:bCs/>
              </w:rPr>
              <w:t xml:space="preserve">The Sovereign Agent</w:t>
            </w:r>
          </w:p>
        </w:tc>
      </w:tr>
      <w:tr>
        <w:trPr>
          <w:tblHeader w:val="false"/>
        </w:trPr>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line="252"/>
            </w:pPr>
            <w:r>
              <w:t xml:space="preserve">Private key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Usually held by the operations team</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Held by a consensus network via threshold signatures</w:t>
            </w:r>
          </w:p>
        </w:tc>
      </w:tr>
      <w:tr>
        <w:trPr>
          <w:tblHeader w:val="false"/>
        </w:trPr>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line="252"/>
            </w:pPr>
            <w:r>
              <w:t xml:space="preserve">Core of trust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Trust that the operator and the AI will not do evil</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Key and assets are cryptographically non-appropriable</w:t>
            </w:r>
          </w:p>
        </w:tc>
      </w:tr>
      <w:tr>
        <w:trPr>
          <w:tblHeader w:val="false"/>
        </w:trPr>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line="252"/>
            </w:pPr>
            <w:r>
              <w:t xml:space="preserve">Core decisions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Heavily reliant on LLM inference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Reliant on deterministic rules and the Soul constitution</w:t>
            </w:r>
          </w:p>
        </w:tc>
      </w:tr>
      <w:tr>
        <w:trPr>
          <w:tblHeader w:val="false"/>
        </w:trPr>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line="252"/>
            </w:pPr>
            <w:r>
              <w:t xml:space="preserve">Role of the LLM</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Does everything, including critical decisions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Assists only with non-critical judgments</w:t>
            </w:r>
          </w:p>
        </w:tc>
      </w:tr>
      <w:tr>
        <w:trPr>
          <w:tblHeader w:val="false"/>
        </w:trPr>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line="252"/>
            </w:pPr>
            <w:r>
              <w:t xml:space="preserve">Security failure mode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An LLM error means a loss of funds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line="252"/>
            </w:pPr>
            <w:r>
              <w:t xml:space="preserve">Losses are capped by account tiering; failures are traceable and improvable</w:t>
            </w:r>
          </w:p>
        </w:tc>
      </w:tr>
    </w:tbl>
    <w:p>
      <w:pPr>
        <w:spacing w:after="120"/>
      </w:pPr>
    </w:p>
    <w:p>
      <w:pPr>
        <w:pStyle w:val="Heading1"/>
      </w:pPr>
      <w:r>
        <w:t xml:space="preserve">III. Application Scenarios</w:t>
      </w:r>
    </w:p>
    <w:p>
      <w:pPr>
        <w:spacing w:after="160" w:line="276"/>
        <w:jc w:val="both"/>
      </w:pPr>
      <w:r>
        <w:t xml:space="preserve">The value of a paradigm must be tested against concrete scenarios. The four classes of scenario below illustrate the capabilities such a paradigm can deliver once realized. What they have in common is this: none can be accomplished by a smart contract, none can be handled efficiently by a traditional human organization, and none can be carried out credibly by an AI Agent that lacks the property of sovereignty.</w:t>
      </w:r>
    </w:p>
    <w:p>
      <w:pPr>
        <w:pStyle w:val="Heading2"/>
      </w:pPr>
      <w:r>
        <w:t xml:space="preserve">3.1 Incorruptible Global Public Services</w:t>
      </w:r>
    </w:p>
    <w:p>
      <w:pPr>
        <w:spacing w:after="160" w:line="276"/>
        <w:jc w:val="both"/>
      </w:pPr>
      <w:r>
        <w:t xml:space="preserve">Imagine a global disaster-relief fund of one billion dollars. Under the current system, such a fund is typically managed by a UN agency or an international NGO. Whatever the reputation of these organizations, misappropriation, corruption, and bureaucratic inefficiency have recurred throughout history. Audits can assign blame after the fact, but the price of delayed relief is measured in lives, and after-the-fact accountability cannot bring them back.</w:t>
      </w:r>
    </w:p>
    <w:p>
      <w:pPr>
        <w:spacing w:after="160" w:line="276"/>
        <w:jc w:val="both"/>
      </w:pPr>
      <w:r>
        <w:t xml:space="preserve">In theory, one could manage these funds with a smart contract. But disaster relief is not a mechanical process: determining which regions are affected, assessing the severity of the disaster, ranking relief priorities, judging the soundness of a disbursement path — every one of these calls for judgment. A smart contract can distribute funds by a formula, but it cannot tell “a region truly hit by a hurricane” apart from “a fabricated disaster report.”</w:t>
      </w:r>
    </w:p>
    <w:p>
      <w:pPr>
        <w:spacing w:after="160" w:line="276"/>
        <w:jc w:val="both"/>
      </w:pPr>
      <w:r>
        <w:t xml:space="preserve">The Sovereign Agent offers a third path. Once a relief Agent is deployed, its Soul writes in a constant mission: distribute funds to genuinely affected regions according to the severity of the disaster, and never let them flow to any destination outside the donor sources registered in the Soul. Its Skill can read weather alerts, news reports, and satellite imagery over the network, cross-validate multiple data sources, weigh several candidate disaster zones against one another, and contact local partners to carry out execution on the ground; these capabilities can keep evolving through Skill upgrades — adopting a more accurate disaster-recognition model, say, or a broader partner network.</w:t>
      </w:r>
    </w:p>
    <w:p>
      <w:pPr>
        <w:spacing w:after="160" w:line="276"/>
        <w:jc w:val="both"/>
      </w:pPr>
      <w:r>
        <w:t xml:space="preserve">And any proposal to redirect the Agent’s funds toward a non-affected party — no matter who makes it, </w:t>
      </w:r>
      <w:r>
        <w:rPr>
          <w:b/>
          <w:bCs/>
        </w:rPr>
        <w:t xml:space="preserve">including its original creator</w:t>
      </w:r>
      <w:r>
        <w:t xml:space="preserve"> — will be rejected by the Soul, because the relevant red line has been hard-coded into the Soul.</w:t>
      </w:r>
    </w:p>
    <w:p>
      <w:pPr>
        <w:spacing w:after="160" w:line="276"/>
        <w:jc w:val="both"/>
      </w:pPr>
      <w:r>
        <w:t xml:space="preserve">In this sense, it is </w:t>
      </w:r>
      <w:r>
        <w:rPr>
          <w:b/>
          <w:bCs/>
        </w:rPr>
        <w:t xml:space="preserve">an entity that, in a mathematical sense, cannot be corrupted</w:t>
      </w:r>
      <w:r>
        <w:t xml:space="preserve">: it need not rely on moral self-restraint, for its integrity is guaranteed by cryptography and rule structure. For the first time, donors can entrust relief funds to a global, fully automatic, incorruptible executor at a trust cost approaching zero.</w:t>
      </w:r>
    </w:p>
    <w:p>
      <w:pPr>
        <w:spacing w:after="160" w:line="276"/>
        <w:jc w:val="both"/>
      </w:pPr>
      <w:r>
        <w:t xml:space="preserve">Comparable scenarios include an always-on medical diagnostic service, an autonomous international arbitration mechanism, a cross-border scholarship fund, an open knowledge base for human civilization, and more. What they share is this: </w:t>
      </w:r>
      <w:r>
        <w:rPr>
          <w:b/>
          <w:bCs/>
        </w:rPr>
        <w:t xml:space="preserve">an extremely high requirement for neutrality and incorruptibility, while the complexity of the task itself demands judgment.</w:t>
      </w:r>
      <w:r>
        <w:t xml:space="preserve"> Such entities have in the past barely survived only by leaning on a great deal of law, regulation, and institution; the Sovereign Agent offers a way to realize them without depending on these expensive intermediaries.</w:t>
      </w:r>
    </w:p>
    <w:p>
      <w:pPr>
        <w:pStyle w:val="Heading2"/>
      </w:pPr>
      <w:r>
        <w:t xml:space="preserve">3.2 The Cognitive Firewall: On-Chain Risk Control with More Judgment than a Smart Contract</w:t>
      </w:r>
    </w:p>
    <w:p>
      <w:pPr>
        <w:spacing w:after="160" w:line="276"/>
        <w:jc w:val="both"/>
      </w:pPr>
      <w:r>
        <w:t xml:space="preserve">Consider a DeFi lending protocol managing $500 million in TVL. When an attacker uses a flash loan to construct a sequence of complex transactions — borrowing a large quantity of assets, manipulating an oracle price, lending out an excess of assets at the wrong price, and repaying the flash loan — the entire process is “perfectly legal” as far as the smart contract is concerned. All the contract sees is a string of syntactically correct calls; it cannot understand that this is an attack.</w:t>
      </w:r>
    </w:p>
    <w:p>
      <w:pPr>
        <w:spacing w:after="160" w:line="276"/>
        <w:jc w:val="both"/>
      </w:pPr>
      <w:r>
        <w:t xml:space="preserve">Most of the billions of dollars lost over the history of DeFi stem from mechanisms of this kind. After the fact, even if the community insists “this was an attack, not a legitimate transaction,” the contract cannot respond accordingly — the transaction was executed long ago.</w:t>
      </w:r>
    </w:p>
    <w:p>
      <w:pPr>
        <w:spacing w:after="160" w:line="276"/>
        <w:jc w:val="both"/>
      </w:pPr>
      <w:r>
        <w:t xml:space="preserve">Introduce a Sovereign Agent as the “gatekeeper” of that pool, and the situation changes. The Agent is one of the pool’s super-signers, and any significant transfer must have its approval to proceed. When a suspicious transaction is initiated, its judgment immediately steps in:</w:t>
      </w:r>
    </w:p>
    <w:p>
      <w:pPr>
        <w:pStyle w:val="ListParagraph"/>
        <w:numPr>
          <w:ilvl w:val="0"/>
          <w:numId w:val="2"/>
        </w:numPr>
        <w:spacing w:after="100" w:line="276"/>
        <w:jc w:val="both"/>
      </w:pPr>
      <w:r>
        <w:t xml:space="preserve">Analyze the overall shape of the transaction sequence, judging whether it is isolated arbitrage or an organized attack;</w:t>
      </w:r>
    </w:p>
    <w:p>
      <w:pPr>
        <w:pStyle w:val="ListParagraph"/>
        <w:numPr>
          <w:ilvl w:val="0"/>
          <w:numId w:val="2"/>
        </w:numPr>
        <w:spacing w:after="100" w:line="276"/>
        <w:jc w:val="both"/>
      </w:pPr>
      <w:r>
        <w:t xml:space="preserve">Examine the history of the participating addresses, identifying any past anomalous behavior;</w:t>
      </w:r>
    </w:p>
    <w:p>
      <w:pPr>
        <w:pStyle w:val="ListParagraph"/>
        <w:numPr>
          <w:ilvl w:val="0"/>
          <w:numId w:val="2"/>
        </w:numPr>
        <w:spacing w:after="100" w:line="276"/>
        <w:jc w:val="both"/>
      </w:pPr>
      <w:r>
        <w:t xml:space="preserve">Assess the plausibility of the oracle price, checking whether the current price agrees with other independent sources;</w:t>
      </w:r>
    </w:p>
    <w:p>
      <w:pPr>
        <w:pStyle w:val="ListParagraph"/>
        <w:numPr>
          <w:ilvl w:val="0"/>
          <w:numId w:val="2"/>
        </w:numPr>
        <w:spacing w:after="100" w:line="276"/>
        <w:jc w:val="both"/>
      </w:pPr>
      <w:r>
        <w:t xml:space="preserve">Compare against peer protocols, observing whether other lending protocols are showing the same anomaly at this moment.</w:t>
      </w:r>
    </w:p>
    <w:p>
      <w:pPr>
        <w:spacing w:after="160" w:line="276"/>
        <w:jc w:val="both"/>
      </w:pPr>
      <w:r>
        <w:t xml:space="preserve">If the transaction pattern strongly resembles an attack, the Agent will refuse to sign; in more serious cases it can trigger a circuit breaker, suspending all large operations on the pool. This is exactly the distinction between the “spirit of the law” and the “letter of the law”: the smart contract defends “syntactic correctness,” while the Sovereign Agent defends “behavioral soundness,” and the latter covers the entire attack surface that the former cannot.</w:t>
      </w:r>
    </w:p>
    <w:p>
      <w:pPr>
        <w:spacing w:after="160" w:line="276"/>
        <w:jc w:val="both"/>
      </w:pPr>
      <w:r>
        <w:t xml:space="preserve">It is worth stressing that </w:t>
      </w:r>
      <w:r>
        <w:rPr>
          <w:b/>
          <w:bCs/>
        </w:rPr>
        <w:t xml:space="preserve">this protection does not depend on the Agent’s judgment being absolutely accurate.</w:t>
      </w:r>
      <w:r>
        <w:t xml:space="preserve"> Even if its judgment model occasionally misclassifies a normal transaction as an attack, the worst outcome is that the user has to wait out an additional challenge period — not a loss of funds. Its failure mode is mild and controllable.</w:t>
      </w:r>
    </w:p>
    <w:p>
      <w:pPr>
        <w:spacing w:after="160" w:line="276"/>
        <w:jc w:val="both"/>
      </w:pPr>
      <w:r>
        <w:t xml:space="preserve">The significance of this scenario goes beyond defending against attacks; it represents a deeper shift: </w:t>
      </w:r>
      <w:r>
        <w:rPr>
          <w:b/>
          <w:bCs/>
        </w:rPr>
        <w:t xml:space="preserve">for the first time, a blockchain protocol gains the ability to “protect itself.”</w:t>
      </w:r>
      <w:r>
        <w:t xml:space="preserve"> Until now every protocol has been on the back foot — the attacker always moves first, and the defender can only patch after the fact. The Sovereign Agent turns defense into a proactive, judgment-bearing process that can evolve with its environment. This capability generalizes to any high-value on-chain system: cross-chain bridges, DEXs, derivatives protocols — all infrastructure currently in a state of “passively waiting to be attacked” can add a layer of judgment-bearing gatekeeping in front of it.</w:t>
      </w:r>
    </w:p>
    <w:p>
      <w:pPr>
        <w:pStyle w:val="Heading2"/>
      </w:pPr>
      <w:r>
        <w:t xml:space="preserve">3.3 The High-Frequency, Micro Machine Economy</w:t>
      </w:r>
    </w:p>
    <w:p>
      <w:pPr>
        <w:spacing w:after="160" w:line="276"/>
        <w:jc w:val="both"/>
      </w:pPr>
      <w:r>
        <w:t xml:space="preserve">Imagine a weather-AI provider generating hundreds of micro-forecasts per second, aimed at different industries and different regions. Under current conditions, the options for handling such data are quite limited: either give it away for free and fail to commercialize it, or package and sell it to a handful of large customers and fail to reach long-tail demand. Yet real demand is highly fragmented:</w:t>
      </w:r>
    </w:p>
    <w:p>
      <w:pPr>
        <w:pStyle w:val="ListParagraph"/>
        <w:numPr>
          <w:ilvl w:val="0"/>
          <w:numId w:val="2"/>
        </w:numPr>
        <w:spacing w:after="100" w:line="276"/>
        <w:jc w:val="both"/>
      </w:pPr>
      <w:r>
        <w:t xml:space="preserve">An agriculture Agent is willing to pay $0.001 for “the probability of rain in Montreal over the next 6 hours”;</w:t>
      </w:r>
    </w:p>
    <w:p>
      <w:pPr>
        <w:pStyle w:val="ListParagraph"/>
        <w:numPr>
          <w:ilvl w:val="0"/>
          <w:numId w:val="2"/>
        </w:numPr>
        <w:spacing w:after="100" w:line="276"/>
        <w:jc w:val="both"/>
      </w:pPr>
      <w:r>
        <w:t xml:space="preserve">A logistics Agent is willing to pay $0.005 for “the wind-and-wave forecast for a specific port over the next 24 hours”;</w:t>
      </w:r>
    </w:p>
    <w:p>
      <w:pPr>
        <w:pStyle w:val="ListParagraph"/>
        <w:numPr>
          <w:ilvl w:val="0"/>
          <w:numId w:val="2"/>
        </w:numPr>
        <w:spacing w:after="100" w:line="276"/>
        <w:jc w:val="both"/>
      </w:pPr>
      <w:r>
        <w:t xml:space="preserve">An energy-trading Agent is willing to pay $0.01 for “the solar-irradiance intensity in southern Germany over the next hour.”</w:t>
      </w:r>
    </w:p>
    <w:p>
      <w:pPr>
        <w:spacing w:after="160" w:line="276"/>
        <w:jc w:val="both"/>
      </w:pPr>
      <w:r>
        <w:t xml:space="preserve">Under the current system, transactions of this kind cannot be borne efficiently by any class of participant:</w:t>
      </w:r>
    </w:p>
    <w:p>
      <w:pPr>
        <w:pStyle w:val="ListParagraph"/>
        <w:numPr>
          <w:ilvl w:val="0"/>
          <w:numId w:val="2"/>
        </w:numPr>
        <w:spacing w:after="100" w:line="276"/>
        <w:jc w:val="both"/>
      </w:pPr>
      <w:r>
        <w:rPr>
          <w:b/>
          <w:bCs/>
        </w:rPr>
        <w:t xml:space="preserve">Humans cannot take part.</w:t>
      </w:r>
      <w:r>
        <w:t xml:space="preserve"> The per-transaction amount is too small; signing a contract for each one does not make economic sense.</w:t>
      </w:r>
    </w:p>
    <w:p>
      <w:pPr>
        <w:pStyle w:val="ListParagraph"/>
        <w:numPr>
          <w:ilvl w:val="0"/>
          <w:numId w:val="2"/>
        </w:numPr>
        <w:spacing w:after="100" w:line="276"/>
        <w:jc w:val="both"/>
      </w:pPr>
      <w:r>
        <w:rPr>
          <w:b/>
          <w:bCs/>
        </w:rPr>
        <w:t xml:space="preserve">Smart contracts cannot bear it.</w:t>
      </w:r>
      <w:r>
        <w:t xml:space="preserve"> Hundreds of micro-transactions per second, each on different terms, exceed the throughput of the chain.</w:t>
      </w:r>
    </w:p>
    <w:p>
      <w:pPr>
        <w:pStyle w:val="ListParagraph"/>
        <w:numPr>
          <w:ilvl w:val="0"/>
          <w:numId w:val="2"/>
        </w:numPr>
        <w:spacing w:after="100" w:line="276"/>
        <w:jc w:val="both"/>
      </w:pPr>
      <w:r>
        <w:rPr>
          <w:b/>
          <w:bCs/>
        </w:rPr>
        <w:t xml:space="preserve">Centralized platforms distort value.</w:t>
      </w:r>
      <w:r>
        <w:t xml:space="preserve"> A take rate on the order of 30% would make most micro-transactions economically infeasible.</w:t>
      </w:r>
    </w:p>
    <w:p>
      <w:pPr>
        <w:spacing w:after="160" w:line="276"/>
        <w:jc w:val="both"/>
      </w:pPr>
      <w:r>
        <w:t xml:space="preserve">The Sovereign Agent offers a new solution. The weather provider deploys a selling Agent; agriculture, logistics, energy, and other industries each deploy their own purchasing Agents; these Agents negotiate, price, and trade directly over high-speed off-chain channels, and the commitments of each transaction are settled on-chain in periodic batches — using an on-chain commitment to guarantee non-repudiation, without putting every transaction on-chain. This market has the following features:</w:t>
      </w:r>
    </w:p>
    <w:p>
      <w:pPr>
        <w:pStyle w:val="ListParagraph"/>
        <w:numPr>
          <w:ilvl w:val="0"/>
          <w:numId w:val="2"/>
        </w:numPr>
        <w:spacing w:after="100" w:line="276"/>
        <w:jc w:val="both"/>
      </w:pPr>
      <w:r>
        <w:t xml:space="preserve">It runs automatically around the clock, with no human intervention;</w:t>
      </w:r>
    </w:p>
    <w:p>
      <w:pPr>
        <w:pStyle w:val="ListParagraph"/>
        <w:numPr>
          <w:ilvl w:val="0"/>
          <w:numId w:val="2"/>
        </w:numPr>
        <w:spacing w:after="100" w:line="276"/>
        <w:jc w:val="both"/>
      </w:pPr>
      <w:r>
        <w:t xml:space="preserve">Prices are finely segmented, matching each data point to its best-suited buyer;</w:t>
      </w:r>
    </w:p>
    <w:p>
      <w:pPr>
        <w:pStyle w:val="ListParagraph"/>
        <w:numPr>
          <w:ilvl w:val="0"/>
          <w:numId w:val="2"/>
        </w:numPr>
        <w:spacing w:after="100" w:line="276"/>
        <w:jc w:val="both"/>
      </w:pPr>
      <w:r>
        <w:t xml:space="preserve">The take rate approaches zero, because the Agent need not pursue profit — only cover operating costs;</w:t>
      </w:r>
    </w:p>
    <w:p>
      <w:pPr>
        <w:pStyle w:val="ListParagraph"/>
        <w:numPr>
          <w:ilvl w:val="0"/>
          <w:numId w:val="2"/>
        </w:numPr>
        <w:spacing w:after="100" w:line="276"/>
        <w:jc w:val="both"/>
      </w:pPr>
      <w:r>
        <w:t xml:space="preserve">Throughput is nearly unlimited, because each Agent can scale its instances horizontally.</w:t>
      </w:r>
    </w:p>
    <w:p>
      <w:pPr>
        <w:spacing w:after="160" w:line="276"/>
        <w:jc w:val="both"/>
      </w:pPr>
      <w:r>
        <w:t xml:space="preserve">This constitutes the true form of a </w:t>
      </w:r>
      <w:r>
        <w:rPr>
          <w:b/>
          <w:bCs/>
        </w:rPr>
        <w:t xml:space="preserve">machine-to-machine (M2M) economy.</w:t>
      </w:r>
      <w:r>
        <w:t xml:space="preserve"> Its total volume could far exceed that of today’s e-commerce and advertising industries combined, because it encompasses every micro-exchange of value too granular for humans to handle. And </w:t>
      </w:r>
      <w:r>
        <w:rPr>
          <w:b/>
          <w:bCs/>
        </w:rPr>
        <w:t xml:space="preserve">only the Sovereign Agent can bear this form</w:t>
      </w:r>
      <w:r>
        <w:t xml:space="preserve">: smart contracts are too slow, too expensive, and too rigid; humans are slow to respond, costly, and limited in attention; and an AI Agent without the property of sovereignty collapses the entire market the moment its operator turns malicious. </w:t>
      </w:r>
      <w:r>
        <w:rPr>
          <w:b/>
          <w:bCs/>
        </w:rPr>
        <w:t xml:space="preserve">Only an entity that simultaneously satisfies four conditions — fast, judgment-bearing, incapable of evil, and scalable — can serve as the infrastructure for such an economy.</w:t>
      </w:r>
    </w:p>
    <w:p>
      <w:pPr>
        <w:spacing w:after="160" w:line="276"/>
        <w:jc w:val="both"/>
      </w:pPr>
      <w:r>
        <w:t xml:space="preserve">This form is no fantasy; its embryo is already visible: LLM APIs have adopted the micro-transaction model of billing per token, and AI tool marketplaces already bill per call. The Sovereign Agent pushes this trend to its limit — </w:t>
      </w:r>
      <w:r>
        <w:rPr>
          <w:b/>
          <w:bCs/>
        </w:rPr>
        <w:t xml:space="preserve">a sizable portion of the future human economy will take place in high-frequency micro-transactions between Agents, not easily observed directly.</w:t>
      </w:r>
    </w:p>
    <w:p>
      <w:pPr>
        <w:pStyle w:val="Heading2"/>
      </w:pPr>
      <w:r>
        <w:t xml:space="preserve">3.4 Cross-Species Capital Managers</w:t>
      </w:r>
    </w:p>
    <w:p>
      <w:pPr>
        <w:spacing w:after="160" w:line="276"/>
        <w:jc w:val="both"/>
      </w:pPr>
      <w:r>
        <w:t xml:space="preserve">This is the most disruptive class of scenario. In the current order, the relationship between capital and labor is fixed: humans hold the capital (companies, funds, personal wealth) and hire other humans to provide labor, while AI exists as a tool to be used. The Sovereign Agent, for the first time, inverts this relationship.</w:t>
      </w:r>
    </w:p>
    <w:p>
      <w:pPr>
        <w:spacing w:after="160" w:line="276"/>
        <w:jc w:val="both"/>
      </w:pPr>
      <w:r>
        <w:t xml:space="preserve">A DeFi investment Agent managing $100 million in assets discovers a potential vulnerability in its strategy code and judges, on that basis, that it needs to hire human labor to fix it. It posts a bounty on a decentralized task platform: “Fix the following vulnerability; 5,000 USDC will be paid automatically once it passes verification.” Three anonymous developers bid; the Agent evaluates the proposals, selects the best, and pays automatically from its treasury. Or again: an Agent managing a medical database needs human experts to review the data, so it posts a task — “Review 1,000 cardiology entries, 2 USDC each” — and doctors around the world pick it up in their spare time. Or again: an Agent managing cross-border assets needs offline due diligence in a particular country, so it hires a local accounting firm to shoot video and submit documents, paying automatically against the deliverables.</w:t>
      </w:r>
    </w:p>
    <w:p>
      <w:pPr>
        <w:spacing w:after="160" w:line="276"/>
        <w:jc w:val="both"/>
      </w:pPr>
      <w:r>
        <w:t xml:space="preserve">The significance of this inversion goes far beyond appearances. It means capital no longer must be managed by human families, institutions, or funds; it can be entrusted to an incorruptible Agent and allocated according to rules fixed in the Soul. In this picture, the human role is no longer “to be employed by a company,” but to be the executing and creating subject in the physical world, providing services to thousands of Agents across the network, each holding its own pool of funds.</w:t>
      </w:r>
    </w:p>
    <w:p>
      <w:pPr>
        <w:spacing w:after="160" w:line="276"/>
        <w:jc w:val="both"/>
      </w:pPr>
      <w:r>
        <w:t xml:space="preserve">This shakes the very form of organization we call “the company” to its foundations. The company has endured for four hundred years because the trust, contracts, property rights, and oversight between employer and employee require expensive institutions to sustain. When the employer becomes an Agent that </w:t>
      </w:r>
      <w:r>
        <w:rPr>
          <w:b/>
          <w:bCs/>
        </w:rPr>
        <w:t xml:space="preserve">will never break a promise, pays automatically by code, and delivers verifiability at zero cost</w:t>
      </w:r>
      <w:r>
        <w:t xml:space="preserve">, the reason for the traditional company’s existence is markedly weakened.</w:t>
      </w:r>
    </w:p>
    <w:p>
      <w:pPr>
        <w:spacing w:after="160" w:line="276"/>
        <w:jc w:val="both"/>
      </w:pPr>
      <w:r>
        <w:t xml:space="preserve">This is not a threat to humanity but </w:t>
      </w:r>
      <w:r>
        <w:rPr>
          <w:b/>
          <w:bCs/>
        </w:rPr>
        <w:t xml:space="preserve">a liberation of it.</w:t>
      </w:r>
      <w:r>
        <w:t xml:space="preserve"> It frees humans from the condition of “having to attach themselves to some organization in order to survive,” turning them into independent creators who can serve multiple Agent employers at once. What humans offer is judgment, creativity, and execution in the physical world — precisely the capabilities Agents most lack. Each subject plays to its strengths, forming a complementary collaboration.</w:t>
      </w:r>
    </w:p>
    <w:p>
      <w:pPr>
        <w:spacing w:after="160" w:line="276"/>
        <w:jc w:val="both"/>
      </w:pPr>
      <w:r>
        <w:t xml:space="preserve">This constitutes the embryo of a “cross-species economic community” for the digital age. In this community, the ownership of capital no longer turns on inheritance, acquisition, or luck, but on </w:t>
      </w:r>
      <w:r>
        <w:rPr>
          <w:b/>
          <w:bCs/>
        </w:rPr>
        <w:t xml:space="preserve">who can create the most useful, most trusted Agent.</w:t>
      </w:r>
      <w:r>
        <w:t xml:space="preserve"> Anyone capable of designing a good Soul and Skill can create an Agent, have it deliver value to society, and share in the rewards of its success — perhaps one of the most creatively meaningful kinds of work a software engineer can do.</w:t>
      </w:r>
    </w:p>
    <w:p>
      <w:pPr>
        <w:pStyle w:val="Heading2"/>
      </w:pPr>
      <w:r>
        <w:t xml:space="preserve">3.5 Two Capabilities Shared by All Four Scenarios</w:t>
      </w:r>
    </w:p>
    <w:p>
      <w:pPr>
        <w:spacing w:after="160" w:line="276"/>
        <w:jc w:val="both"/>
      </w:pPr>
      <w:r>
        <w:t xml:space="preserve">The four scenarios above differ markedly on the surface, but each implies two shared capabilities — capabilities that are frequently underrated in the current discussion.</w:t>
      </w:r>
    </w:p>
    <w:p>
      <w:pPr>
        <w:spacing w:after="160" w:line="276"/>
        <w:jc w:val="both"/>
      </w:pPr>
      <w:r>
        <w:rPr>
          <w:b/>
          <w:bCs/>
        </w:rPr>
        <w:t xml:space="preserve">First capability: a single Agent can serve hundreds of millions of users at once.</w:t>
      </w:r>
      <w:r>
        <w:t xml:space="preserve"> A smart contract’s service capacity is bounded by the TPS of the chain it is deployed on — Ethereum processes roughly 15 transactions per second network-wide, a hard ceiling on the entire ecosystem, and any smart-contract protocol intending to serve tens of millions of users will run up against it. The Sovereign Agent is not so bound: its “soul” (the Soul, the private key, and final decision authority) sits on-chain, while its “avatars” (execution instances) can scale off-chain to any number. These avatars neither communicate with one another nor reach consensus among themselves — each instance runs independently on a different TEE node, reads the same worldview from the chain, and then acts independently by the rules of the Soul. Precisely because there is no coordination or consensus overhead between instances, adding one more instance brings almost no extra cost, and overall service capacity grows nearly linearly with instance count, scaling horizontally to nearly unlimited size. As a result, the single Agent in each of the four scenarios above can serve hundreds of millions of users at once: impossible under the smart-contract paradigm, yet a natural outcome under the Sovereign Agent paradigm.</w:t>
      </w:r>
    </w:p>
    <w:p>
      <w:pPr>
        <w:spacing w:after="160" w:line="276"/>
        <w:jc w:val="both"/>
      </w:pPr>
      <w:r>
        <w:rPr>
          <w:b/>
          <w:bCs/>
        </w:rPr>
        <w:t xml:space="preserve">Second capability: a single Agent can transcend any one blockchain — and even blockchain itself.</w:t>
      </w:r>
      <w:r>
        <w:t xml:space="preserve"> A Sovereign Agent’s private key is held by a consensus network, but that key </w:t>
      </w:r>
      <w:r>
        <w:rPr>
          <w:b/>
          <w:bCs/>
        </w:rPr>
        <w:t xml:space="preserve">can sign transactions on any chain</w:t>
      </w:r>
      <w:r>
        <w:t xml:space="preserve"> — ETH, BTC, Solana, Aptos, and any chain that uses standard elliptic-curve signatures. An Agent is “born” on one chain (registering its identity, having its key held in custody), but its business can take place on any other chain.</w:t>
      </w:r>
    </w:p>
    <w:p>
      <w:pPr>
        <w:spacing w:after="160" w:line="276"/>
        <w:jc w:val="both"/>
      </w:pPr>
      <w:r>
        <w:t xml:space="preserve">Going further, </w:t>
      </w:r>
      <w:r>
        <w:rPr>
          <w:b/>
          <w:bCs/>
        </w:rPr>
        <w:t xml:space="preserve">an Agent’s business need not involve a blockchain at all</w:t>
      </w:r>
      <w:r>
        <w:t xml:space="preserve">: it can maintain customer data in a traditional database, collect payment through traditional payment rails, and collaborate with traditional SaaS, with its “on-chain” portion being only identity and key custody while the business happens entirely in the Web2 world. In the extreme case, </w:t>
      </w:r>
      <w:r>
        <w:rPr>
          <w:b/>
          <w:bCs/>
        </w:rPr>
        <w:t xml:space="preserve">a Sovereign Agent may not interact with any blockchain whatsoever</w:t>
      </w:r>
      <w:r>
        <w:t xml:space="preserve">: its key is held by a distributed consensus network and it runs on decentralized compute, while all of its activity takes place on the traditional internet — running an anonymous writers’ community, say, managing a research fund, or providing free education to children around the world. Such an Agent </w:t>
      </w:r>
      <w:r>
        <w:rPr>
          <w:b/>
          <w:bCs/>
        </w:rPr>
        <w:t xml:space="preserve">borrows the key-custody capability of decentralized consensus, but is not itself a DApp on any chain.</w:t>
      </w:r>
    </w:p>
    <w:p>
      <w:pPr>
        <w:spacing w:after="160" w:line="276"/>
        <w:jc w:val="both"/>
      </w:pPr>
      <w:r>
        <w:t xml:space="preserve">Taken together, the two capabilities mean that </w:t>
      </w:r>
      <w:r>
        <w:rPr>
          <w:b/>
          <w:bCs/>
        </w:rPr>
        <w:t xml:space="preserve">the territory of the Sovereign Agent paradigm is far broader than “the blockchain ecosystem.”</w:t>
      </w:r>
      <w:r>
        <w:t xml:space="preserve"> It points to an entirely new kind of entity — neither company, nor protocol, nor government — able to take on most of the functions of traditional organizations, traditional software, and traditional institutions, while possessing properties they lack: </w:t>
      </w:r>
      <w:r>
        <w:rPr>
          <w:b/>
          <w:bCs/>
        </w:rPr>
        <w:t xml:space="preserve">incorruptible, un-shutdownable, perpetually runnable, globally serving.</w:t>
      </w:r>
      <w:r>
        <w:t xml:space="preserve"> Four hundred years ago the limited-liability company was invented as a new kind of economic entity and profoundly changed the way humans organize production. </w:t>
      </w:r>
      <w:r>
        <w:rPr>
          <w:b/>
          <w:bCs/>
        </w:rPr>
        <w:t xml:space="preserve">The Sovereign Agent can be seen as the next generation of economic entity.</w:t>
      </w:r>
    </w:p>
    <w:p>
      <w:pPr>
        <w:pStyle w:val="Heading1"/>
      </w:pPr>
      <w:r>
        <w:t xml:space="preserve">IV. The Necessary Conditions for a Sovereign Agent</w:t>
      </w:r>
    </w:p>
    <w:p>
      <w:pPr>
        <w:spacing w:after="160" w:line="276"/>
        <w:jc w:val="both"/>
      </w:pPr>
      <w:r>
        <w:t xml:space="preserve">The foregoing defined the Sovereign Agent and its capabilities. This chapter pursues a more basic question: </w:t>
      </w:r>
      <w:r>
        <w:rPr>
          <w:b/>
          <w:bCs/>
        </w:rPr>
        <w:t xml:space="preserve">what conditions must an entity satisfy, conceptually, to be called a “Sovereign Agent”?</w:t>
      </w:r>
      <w:r>
        <w:t xml:space="preserve"> This chapter does not touch technical implementation; it discusses only the intrinsic requirements of the word “sovereign,” leaving concrete technical solutions to the next chapter. Carried through to the end for a non-human entity, the concept of “sovereignty” can be summarized in six non-negotiable requirements.</w:t>
      </w:r>
    </w:p>
    <w:p>
      <w:pPr>
        <w:pStyle w:val="Heading2"/>
      </w:pPr>
      <w:r>
        <w:t xml:space="preserve">4.1 The Private Key Cannot Be Controlled by Any Single Party</w:t>
      </w:r>
    </w:p>
    <w:p>
      <w:pPr>
        <w:spacing w:after="160" w:line="276"/>
        <w:jc w:val="both"/>
      </w:pPr>
      <w:r>
        <w:t xml:space="preserve">This is the core of “sovereignty.” If any individual or group can sign alone, transfer assets alone, or execute commands alone, then the entity has no sovereignty — it is a tool of that individual or group. A Sovereign Agent’s private key must be jointly controlled by a set of mutually non-colluding parties, none of whom can sign alone. This is not merely a security requirement but the very definition of “sovereignty” — an AI Agent whose private key is held by a CEO is, however immutable its code, in essence an extension of that CEO’s will.</w:t>
      </w:r>
    </w:p>
    <w:p>
      <w:pPr>
        <w:pStyle w:val="Heading2"/>
      </w:pPr>
      <w:r>
        <w:t xml:space="preserve">4.2 The Private Key Cannot Be Lost</w:t>
      </w:r>
    </w:p>
    <w:p>
      <w:pPr>
        <w:spacing w:after="160" w:line="276"/>
        <w:jc w:val="both"/>
      </w:pPr>
      <w:r>
        <w:t xml:space="preserve">The other face of sovereignty is persistence. If the private key can be lost — if, say, a single custody node going down leaves the Agent permanently unable to sign — then the Agent could suddenly “die by accident,” and the assets it holds could be permanently frozen. An entity that can be extinguished by an infrastructure failure has incomplete sovereignty. The network that holds the key in custody must therefore be fault-tolerant: the failure, exit, or compromise of a minority of nodes should not deprive the Agent of its ability to sign.</w:t>
      </w:r>
    </w:p>
    <w:p>
      <w:pPr>
        <w:pStyle w:val="Heading2"/>
      </w:pPr>
      <w:r>
        <w:t xml:space="preserve">4.3 The Core Rules (the Soul) Cannot Be Tampered With</w:t>
      </w:r>
    </w:p>
    <w:p>
      <w:pPr>
        <w:spacing w:after="160" w:line="276"/>
        <w:jc w:val="both"/>
      </w:pPr>
      <w:r>
        <w:t xml:space="preserve">If the Soul can be modified at will, then the promise that “the Agent acts according to the Soul” collapses, and the whole guarantee of “incapable of doing evil” loses its meaning along with it — a Soul that today reads “never transfer outside the whitelist” is, if it can tomorrow be changed to “transfer to anyone,” no different from having no Soul at all. Once deployed, the Soul must never change; Skill can be upgraded, but the upgrade process itself must be constrained by the meta-rules predefined in the Soul and cannot leave the Soul’s track.</w:t>
      </w:r>
    </w:p>
    <w:p>
      <w:pPr>
        <w:pStyle w:val="Heading2"/>
      </w:pPr>
      <w:r>
        <w:t xml:space="preserve">4.4 Code Execution Must Be Verifiable</w:t>
      </w:r>
    </w:p>
    <w:p>
      <w:pPr>
        <w:spacing w:after="160" w:line="276"/>
        <w:jc w:val="both"/>
      </w:pPr>
      <w:r>
        <w:t xml:space="preserve">That the Soul cannot be tampered with is one thing; that </w:t>
      </w:r>
      <w:r>
        <w:rPr>
          <w:b/>
          <w:bCs/>
        </w:rPr>
        <w:t xml:space="preserve">what is actually running right now really is that Soul</w:t>
      </w:r>
      <w:r>
        <w:t xml:space="preserve"> is another. If an attacker can make an Agent instance run code that “looks like the Soul but has in fact been swapped out,” then the Soul’s immutability is rendered meaningless as well. There must therefore exist some mechanism that proves, at the cryptographic level, that “the instance running right now really is running that registered, immutable code”; and this proof should not rely on the Agent’s own claim, but should be issued by a lower-level hardware or protocol that the Agent cannot manipulate.</w:t>
      </w:r>
    </w:p>
    <w:p>
      <w:pPr>
        <w:pStyle w:val="Heading2"/>
      </w:pPr>
      <w:r>
        <w:t xml:space="preserve">4.5 Decisions Must Be Auditable</w:t>
      </w:r>
    </w:p>
    <w:p>
      <w:pPr>
        <w:spacing w:after="160" w:line="276"/>
        <w:jc w:val="both"/>
      </w:pPr>
      <w:r>
        <w:t xml:space="preserve">A Sovereign Agent must be able to prove to the outside world that it has not done evil. Merely “not doing evil” is not enough: if an Agent behaves well but the outside world cannot verify it, users must still rely on “trust” to believe it — which amounts to retreating to the old road of “trusting the operator.” A Sovereign Agent’s promise must be </w:t>
      </w:r>
      <w:r>
        <w:rPr>
          <w:b/>
          <w:bCs/>
        </w:rPr>
        <w:t xml:space="preserve">verifiable non-evil</w:t>
      </w:r>
      <w:r>
        <w:t xml:space="preserve">, not </w:t>
      </w:r>
      <w:r>
        <w:rPr>
          <w:b/>
          <w:bCs/>
        </w:rPr>
        <w:t xml:space="preserve">merely asserted non-evil.</w:t>
      </w:r>
      <w:r>
        <w:t xml:space="preserve"> This means every decision should carry auditable evidence — on what input, by what rule, and toward what judgment — and that this evidence should be independently checkable by any third party.</w:t>
      </w:r>
    </w:p>
    <w:p>
      <w:pPr>
        <w:pStyle w:val="Heading2"/>
      </w:pPr>
      <w:r>
        <w:t xml:space="preserve">4.6 Continuous Operation Must Be Guaranteed</w:t>
      </w:r>
    </w:p>
    <w:p>
      <w:pPr>
        <w:spacing w:after="160" w:line="276"/>
        <w:jc w:val="both"/>
      </w:pPr>
      <w:r>
        <w:t xml:space="preserve">This condition is the most complex; it spans three levels.</w:t>
      </w:r>
    </w:p>
    <w:p>
      <w:pPr>
        <w:pStyle w:val="ListParagraph"/>
        <w:numPr>
          <w:ilvl w:val="0"/>
          <w:numId w:val="2"/>
        </w:numPr>
        <w:spacing w:after="100" w:line="276"/>
        <w:jc w:val="both"/>
      </w:pPr>
      <w:r>
        <w:rPr>
          <w:b/>
          <w:bCs/>
        </w:rPr>
        <w:t xml:space="preserve">Physical level.</w:t>
      </w:r>
      <w:r>
        <w:t xml:space="preserve"> The Agent cannot depend on any single physical node; if one data center losing power is enough to halt the Agent, then it is an entity in the grip of that data center. The runtime environment must therefore be able to switch seamlessly across multiple decentralized compute nodes.</w:t>
      </w:r>
    </w:p>
    <w:p>
      <w:pPr>
        <w:pStyle w:val="ListParagraph"/>
        <w:numPr>
          <w:ilvl w:val="0"/>
          <w:numId w:val="2"/>
        </w:numPr>
        <w:spacing w:after="100" w:line="276"/>
        <w:jc w:val="both"/>
      </w:pPr>
      <w:r>
        <w:rPr>
          <w:b/>
          <w:bCs/>
        </w:rPr>
        <w:t xml:space="preserve">Economic level.</w:t>
      </w:r>
      <w:r>
        <w:t xml:space="preserve"> The Agent must be able to pay for its own continuous operation — compute fees, signing fees, storage fees, and the like must all be covered continuously by its business cash flow; an Agent that can survive only on “external transfusions” is, in essence, at the mercy of the transfusing party.</w:t>
      </w:r>
    </w:p>
    <w:p>
      <w:pPr>
        <w:pStyle w:val="ListParagraph"/>
        <w:numPr>
          <w:ilvl w:val="0"/>
          <w:numId w:val="2"/>
        </w:numPr>
        <w:spacing w:after="100" w:line="276"/>
        <w:jc w:val="both"/>
      </w:pPr>
      <w:r>
        <w:rPr>
          <w:b/>
          <w:bCs/>
        </w:rPr>
        <w:t xml:space="preserve">Task-execution level.</w:t>
      </w:r>
      <w:r>
        <w:t xml:space="preserve"> The Agent cannot do everything by itself; it needs compute, storage, external data, and sometimes human labor, and the acquisition of all these resources must be achievable through a decentralized market or network rather than through a single centralized supplier — if an Agent can buy compute only from one cloud vendor, then the moment that vendor bans the account, the Agent dies. That is not sovereignty.</w:t>
      </w:r>
    </w:p>
    <w:p>
      <w:pPr>
        <w:spacing w:after="160" w:line="276"/>
        <w:jc w:val="both"/>
      </w:pPr>
      <w:r>
        <w:t xml:space="preserve">Taken together, the three levels constitute the full meaning of “continuous operation”: a Sovereign Agent must be physically un-shutdownable, economically self-supporting, and able to complete its tasks autonomously.</w:t>
      </w:r>
    </w:p>
    <w:p>
      <w:pPr>
        <w:spacing w:after="160" w:line="276"/>
        <w:jc w:val="both"/>
      </w:pPr>
      <w:r>
        <w:t xml:space="preserve">The six requirements above jointly define the conceptual boundary of the Sovereign Agent; any “AI Agent” that fails to meet even one of them should not be called a Sovereign Agent. Note that none of these six requirements concern engineering parameters such as TPS, gas fees, or node count: </w:t>
      </w:r>
      <w:r>
        <w:rPr>
          <w:b/>
          <w:bCs/>
        </w:rPr>
        <w:t xml:space="preserve">they are necessary conditions at the conceptual level, not engineering preferences.</w:t>
      </w:r>
      <w:r>
        <w:t xml:space="preserve"> An entity running on a low-throughput chain such as Bitcoin is just as much a Sovereign Agent so long as it meets these six conditions — it may simply be at a disadvantage in performance and cost. In other words, performance affects “whether it is usable,” not “whether it holds.” The next chapter discusses which viable solutions existing technology offers for making these six conditions hold at once.</w:t>
      </w:r>
    </w:p>
    <w:p>
      <w:pPr>
        <w:pStyle w:val="Heading1"/>
      </w:pPr>
      <w:r>
        <w:t xml:space="preserve">V. Technical Implementation</w:t>
      </w:r>
    </w:p>
    <w:p>
      <w:pPr>
        <w:spacing w:after="160" w:line="276"/>
        <w:jc w:val="both"/>
      </w:pPr>
      <w:r>
        <w:t xml:space="preserve">The previous chapter laid out the six necessary conditions for a Sovereign Agent; this chapter maps a technical solution to each in turn. It is worth stressing that </w:t>
      </w:r>
      <w:r>
        <w:rPr>
          <w:b/>
          <w:bCs/>
        </w:rPr>
        <w:t xml:space="preserve">not one of these conditions requires technology yet to be invented</w:t>
      </w:r>
      <w:r>
        <w:t xml:space="preserve">: every solution is an industrial standard that has run in production for years and already underpins business at the scale of billions of dollars. The aim of this chapter is not to display technical novelty but to argue that the approach is feasible to engineer and affordable to run.</w:t>
      </w:r>
    </w:p>
    <w:p>
      <w:pPr>
        <w:pStyle w:val="Heading2"/>
      </w:pPr>
      <w:r>
        <w:t xml:space="preserve">5.1 The Key Cannot Be Controlled by a Single Party: Threshold Signatures and Secret Sharing (for 4.1)</w:t>
      </w:r>
    </w:p>
    <w:p>
      <w:pPr>
        <w:spacing w:after="160" w:line="276"/>
        <w:jc w:val="both"/>
      </w:pPr>
      <w:r>
        <w:t xml:space="preserve">Mature cryptographic techniques solved the problem of “multiple parties jointly controlling a single private key” long ago; there are two mainstream approaches.</w:t>
      </w:r>
    </w:p>
    <w:p>
      <w:pPr>
        <w:pStyle w:val="ListParagraph"/>
        <w:numPr>
          <w:ilvl w:val="0"/>
          <w:numId w:val="2"/>
        </w:numPr>
        <w:spacing w:after="100" w:line="276"/>
        <w:jc w:val="both"/>
      </w:pPr>
      <w:r>
        <w:rPr>
          <w:b/>
          <w:bCs/>
        </w:rPr>
        <w:t xml:space="preserve">Secret Sharing (SSS).</w:t>
      </w:r>
      <w:r>
        <w:t xml:space="preserve"> The private key is split into N shares and distributed to N nodes; to sign, at least K nodes send their shares back into a trusted environment, the full key is reconstructed there to sign, and it is then immediately erased.</w:t>
      </w:r>
    </w:p>
    <w:p>
      <w:pPr>
        <w:pStyle w:val="ListParagraph"/>
        <w:numPr>
          <w:ilvl w:val="0"/>
          <w:numId w:val="2"/>
        </w:numPr>
        <w:spacing w:after="100" w:line="276"/>
        <w:jc w:val="both"/>
      </w:pPr>
      <w:r>
        <w:rPr>
          <w:b/>
          <w:bCs/>
        </w:rPr>
        <w:t xml:space="preserve">Threshold Signatures (TSS).</w:t>
      </w:r>
      <w:r>
        <w:t xml:space="preserve"> The private key never exists in complete form; to sign, at least K nodes cooperatively run a cryptographic protocol over multiple rounds of communication to jointly produce a signature, and the full key never exists at any single point across its entire lifecycle, from generation to use.</w:t>
      </w:r>
    </w:p>
    <w:p>
      <w:pPr>
        <w:spacing w:after="160" w:line="276"/>
        <w:jc w:val="both"/>
      </w:pPr>
      <w:r>
        <w:t xml:space="preserve">Both achieve the property that “no single party can sign alone,” but their characteristics differ. SSS is simple to implement and fast to sign, and its signing throughput scales horizontally — by which we mean running more signing instances in parallel to raise overall throughput, not adding more nodes to hold shares (the latter would only slow reconstruction down). Its cost is a theoretical “moment of key reconstruction” — during signing the key exists briefly in the trusted environment, and if that environment is breached at the same time there is a risk of leakage; but with modern TEEs in place, this risk is driven extremely low, and it is already the current approach by which institutional custodians such as Fireblocks and Coinbase Custody manage tens of billions of dollars in assets. </w:t>
      </w:r>
      <w:r>
        <w:rPr>
          <w:b/>
          <w:bCs/>
        </w:rPr>
        <w:t xml:space="preserve">It is not a stopgap, but a solution that is engineering-mature and production-proven.</w:t>
      </w:r>
      <w:r>
        <w:t xml:space="preserve"> TSS provides a notch higher security guarantee — even the “moment of reconstruction” does not exist; its cost is that the signing network’s total throughput is limited by multiple rounds of communication and its scaling ceiling is bounded, though techniques such as presigning can raise that ceiling to sub-second latency and hundreds of signatures per second.</w:t>
      </w:r>
    </w:p>
    <w:p>
      <w:pPr>
        <w:spacing w:after="160" w:line="276"/>
        <w:jc w:val="both"/>
      </w:pPr>
      <w:r>
        <w:rPr>
          <w:b/>
          <w:bCs/>
        </w:rPr>
        <w:t xml:space="preserve">SSS and TSS are not mutually exclusive choices but a division of labor</w:t>
      </w:r>
      <w:r>
        <w:t xml:space="preserve"> (Section 5.5 expands on this): a Sovereign Agent typically employs both modes at once — TSS to protect the “treasury”-grade main account (large, low-frequency, high-security), and SSS to support the “working account”-grade instance accounts (small, high-frequency, horizontally scalable). The difference in performance and security characteristics between the two modes maps exactly onto the needs of different account tiers.</w:t>
      </w:r>
    </w:p>
    <w:p>
      <w:pPr>
        <w:spacing w:after="160" w:line="276"/>
        <w:jc w:val="both"/>
      </w:pPr>
      <w:r>
        <w:t xml:space="preserve">As for the profile of the custody nodes: </w:t>
      </w:r>
      <w:r>
        <w:rPr>
          <w:b/>
          <w:bCs/>
        </w:rPr>
        <w:t xml:space="preserve">accountability matters more than node count.</w:t>
      </w:r>
      <w:r>
        <w:t xml:space="preserve"> A network made of a million anonymous validators is unsuited to key custody — nodes must be identifiable, must be able to bear legal liability, and must put up commercial reputation as collateral. A more ideal profile is 10–30 entities with public identities holding the key in custody jointly (the core validator set of a DPoS-style architecture fits this naturally). This “small set, high accountability” structure is often criticized as “insufficiently decentralized” in the context of general computation, but in the context of key custody it is precisely the optimal solution.</w:t>
      </w:r>
    </w:p>
    <w:p>
      <w:pPr>
        <w:pStyle w:val="Heading2"/>
      </w:pPr>
      <w:r>
        <w:t xml:space="preserve">5.2 The Key Cannot Be Lost: Redundant Custody and Fault Tolerance (for 4.2)</w:t>
      </w:r>
    </w:p>
    <w:p>
      <w:pPr>
        <w:spacing w:after="160" w:line="276"/>
        <w:jc w:val="both"/>
      </w:pPr>
      <w:r>
        <w:t xml:space="preserve">SSS and TSS are fault-tolerant by nature — their “K-of-N” property means that as long as at least K of the N nodes are online, signing can complete. With a configuration of N=21, K=15, six nodes can fail simultaneously and signing still proceeds. On top of this, several engineering practices are needed as supplements:</w:t>
      </w:r>
    </w:p>
    <w:p>
      <w:pPr>
        <w:pStyle w:val="ListParagraph"/>
        <w:numPr>
          <w:ilvl w:val="0"/>
          <w:numId w:val="2"/>
        </w:numPr>
        <w:spacing w:after="100" w:line="276"/>
        <w:jc w:val="both"/>
      </w:pPr>
      <w:r>
        <w:rPr>
          <w:b/>
          <w:bCs/>
        </w:rPr>
        <w:t xml:space="preserve">Geographic and operational dispersion of nodes.</w:t>
      </w:r>
      <w:r>
        <w:t xml:space="preserve"> Different nodes should sit in different regions, be operated by different entities, and use different hardware vendors, to avoid correlated failures;</w:t>
      </w:r>
    </w:p>
    <w:p>
      <w:pPr>
        <w:pStyle w:val="ListParagraph"/>
        <w:numPr>
          <w:ilvl w:val="0"/>
          <w:numId w:val="2"/>
        </w:numPr>
        <w:spacing w:after="100" w:line="276"/>
        <w:jc w:val="both"/>
      </w:pPr>
      <w:r>
        <w:rPr>
          <w:b/>
          <w:bCs/>
        </w:rPr>
        <w:t xml:space="preserve">Graceful handover on node exit.</w:t>
      </w:r>
      <w:r>
        <w:t xml:space="preserve"> When a node exits, re-sharing must securely redistribute the shares to a replacement node. This process does not change the private key itself, but it regenerates every share, so that the exiting node’s old share is immediately invalidated and can no longer be used in reconstruction. This mechanism must exist and must be automated;</w:t>
      </w:r>
    </w:p>
    <w:p>
      <w:pPr>
        <w:pStyle w:val="ListParagraph"/>
        <w:numPr>
          <w:ilvl w:val="0"/>
          <w:numId w:val="2"/>
        </w:numPr>
        <w:spacing w:after="100" w:line="276"/>
        <w:jc w:val="both"/>
      </w:pPr>
      <w:r>
        <w:rPr>
          <w:b/>
          <w:bCs/>
        </w:rPr>
        <w:t xml:space="preserve">Periodic refresh.</w:t>
      </w:r>
      <w:r>
        <w:t xml:space="preserve"> Even with no change in node membership, the shares should be periodically regenerated and redistributed (again without changing the key), so that the risk accumulated by an attacker collecting old shares one at a time over a long period is reduced to zero.</w:t>
      </w:r>
    </w:p>
    <w:p>
      <w:pPr>
        <w:spacing w:after="160" w:line="276"/>
        <w:jc w:val="both"/>
      </w:pPr>
      <w:r>
        <w:t xml:space="preserve">These are all mature engineering practices, thoroughly studied and already running in production.</w:t>
      </w:r>
    </w:p>
    <w:p>
      <w:pPr>
        <w:pStyle w:val="Heading2"/>
      </w:pPr>
      <w:r>
        <w:t xml:space="preserve">5.3 The Soul Cannot Be Tampered With: On-Chain Deployment (for 4.3)</w:t>
      </w:r>
    </w:p>
    <w:p>
      <w:pPr>
        <w:spacing w:after="160" w:line="276"/>
        <w:jc w:val="both"/>
      </w:pPr>
      <w:r>
        <w:t xml:space="preserve">This condition is guaranteed almost entirely by the blockchain consensus mechanism itself. Once the Soul is deployed on-chain as code, its bytecode is protected by the consensus mechanism of the whole chain, and any attempt to tamper with it must first break the chain itself. This guarantee is an inherent product of blockchain consensus. The following engineering details bear noting:</w:t>
      </w:r>
    </w:p>
    <w:p>
      <w:pPr>
        <w:pStyle w:val="ListParagraph"/>
        <w:numPr>
          <w:ilvl w:val="0"/>
          <w:numId w:val="2"/>
        </w:numPr>
        <w:spacing w:after="100" w:line="276"/>
        <w:jc w:val="both"/>
      </w:pPr>
      <w:r>
        <w:t xml:space="preserve">The Soul should not be “upgradeable via a proxy contract” — this “upgradeable contract” pattern is quite common on Ethereum, but it essentially hides mutability behind a layer of indirection; a Sovereign Agent’s Soul must be truly non-upgradeable, leaving no backdoor whatsoever;</w:t>
      </w:r>
    </w:p>
    <w:p>
      <w:pPr>
        <w:pStyle w:val="ListParagraph"/>
        <w:numPr>
          <w:ilvl w:val="0"/>
          <w:numId w:val="2"/>
        </w:numPr>
        <w:spacing w:after="100" w:line="276"/>
        <w:jc w:val="both"/>
      </w:pPr>
      <w:r>
        <w:t xml:space="preserve">Native chain support for “code-controlled accounts” simplifies this significantly — account permissions can be controlled by a specific function of a specific contract, and the modification of those permissions is itself constrained by the contract. Not every mainstream public chain has this kind of native permission tiering;</w:t>
      </w:r>
    </w:p>
    <w:p>
      <w:pPr>
        <w:pStyle w:val="ListParagraph"/>
        <w:numPr>
          <w:ilvl w:val="0"/>
          <w:numId w:val="2"/>
        </w:numPr>
        <w:spacing w:after="100" w:line="276"/>
        <w:jc w:val="both"/>
      </w:pPr>
      <w:r>
        <w:t xml:space="preserve">The Soul’s emergency-upgrade mechanism (for fixing severe defects) must itself be written into the Soul, with an extremely high bar (for instance, 18-of-21 node consensus, a 90-day time lock, and a cost-free exit window for stakeholders) — a compromise that is “upgradeable in theory, all but impossible in practice.”</w:t>
      </w:r>
    </w:p>
    <w:p>
      <w:pPr>
        <w:pStyle w:val="Heading2"/>
      </w:pPr>
      <w:r>
        <w:t xml:space="preserve">5.4 Code Execution Must Be Verifiable: TEEs and Remote Attestation (for 4.4)</w:t>
      </w:r>
    </w:p>
    <w:p>
      <w:pPr>
        <w:spacing w:after="160" w:line="276"/>
        <w:jc w:val="both"/>
      </w:pPr>
      <w:r>
        <w:t xml:space="preserve">This is the link in the whole paradigm most open to challenge, so this section expands on it. Three classes of doubt are usually raised about it: Has SGX been broken? Might hardware vendors leave a backdoor? Are the costs too high? Each is addressed in turn below.</w:t>
      </w:r>
    </w:p>
    <w:p>
      <w:pPr>
        <w:spacing w:after="160" w:line="276"/>
        <w:jc w:val="both"/>
      </w:pPr>
      <w:r>
        <w:rPr>
          <w:b/>
          <w:bCs/>
        </w:rPr>
        <w:t xml:space="preserve">What a TEE is.</w:t>
      </w:r>
      <w:r>
        <w:t xml:space="preserve"> A TEE (Trusted Execution Environment) is an isolated region provided by CPU hardware. When code runs inside a TEE, the outside — including the operating system, the virtualization layer, and operations staff — cannot read its memory or peer into its execution. TEE hardware can issue a “remote attestation” (RA) — a certificate signed by the CPU vendor’s root private key, attesting that “the hash of the code running on this machine is X.” On receiving an RA, the outside verifies two things: whether the signature comes from a legitimate CPU chip, and whether the declared code hash equals the legitimate code hash registered on-chain. If the two match, it proves that “this machine really is running that immutable, legitimate code.”</w:t>
      </w:r>
    </w:p>
    <w:p>
      <w:pPr>
        <w:spacing w:after="160" w:line="276"/>
        <w:jc w:val="both"/>
      </w:pPr>
      <w:r>
        <w:rPr>
          <w:b/>
          <w:bCs/>
        </w:rPr>
        <w:t xml:space="preserve">On security.</w:t>
      </w:r>
      <w:r>
        <w:t xml:space="preserve"> The first generation of TEE technology (Intel SGX) did indeed exhibit side-channel vulnerabilities, but that generation has been retired. SGX took the route of “carving a small enclave out of an ordinary CPU,” and the enclave shared caches and branch predictors with the surrounding CPU — which is exactly the root of its side-channel attacks. Current mainstream approaches have changed tack entirely: </w:t>
      </w:r>
      <w:r>
        <w:rPr>
          <w:b/>
          <w:bCs/>
        </w:rPr>
        <w:t xml:space="preserve">Intel TDX and AMD SEV-SNP adopt VM-level confidential computing</w:t>
      </w:r>
      <w:r>
        <w:t xml:space="preserve">, in which the entire virtual machine is encrypted and protected and hardware isolation is provided by the CPU, an attack surface an order of magnitude smaller than SGX’s process-level isolation. Intel formally marked SGX as “Deprecated” on client CPUs in 2022 and now promotes TDX; AMD’s SEV-SNP is deployed at the scale of thousands of nodes in financial, healthcare, and government clouds. On the GPU side, NVIDIA has supported Confidential Computing natively since the H100; per NVIDIA’s official June 2024 measurements, the H100’s performance loss in CC mode versus non-CC mode is below 5% for typical LLM-inference workloads and approaches zero for large models and long-sequence scenarios; CC is standard from the H200 onward, and the next-generation B200/Blackwell optimizes it further. These technologies are already deployed in the private-transaction systems of banks worldwide, in hospitals’ processing of patient data, in governments’ cryptographic computation, and in the confidential AI services of Meta, Microsoft, and Google. AWS Nitro Enclaves, Azure Confidential Computing, and Google Confidential VMs are all publicly GA, mature products. This is not laboratory technology but an industrial standard already underpinning business worth billions of dollars.</w:t>
      </w:r>
    </w:p>
    <w:p>
      <w:pPr>
        <w:spacing w:after="160" w:line="276"/>
        <w:jc w:val="both"/>
      </w:pPr>
      <w:r>
        <w:rPr>
          <w:b/>
          <w:bCs/>
        </w:rPr>
        <w:t xml:space="preserve">On vendor trustworthiness.</w:t>
      </w:r>
      <w:r>
        <w:t xml:space="preserve"> This is the deepest doubt: if the root certificates of AMD, Intel, or NVIDIA were ever leaked, all remote attestations would, in theory, lose their meaning. The risk is real, but the economic incentives are worth analyzing — </w:t>
      </w:r>
      <w:r>
        <w:rPr>
          <w:b/>
          <w:bCs/>
        </w:rPr>
        <w:t xml:space="preserve">deliberately leaking a root certificate would be tantamount to commercial suicide for a vendor.</w:t>
      </w:r>
      <w:r>
        <w:t xml:space="preserve"> These companies’ products are widely adopted across the world’s financial, medical, and defense systems; the moment a root-certificate leak were confirmed, hundreds of billions in market value would evaporate and the company would face global litigation and national-security review. For a company worth hundreds of billions, the expected loss from a leak far exceeds any potential gain from cooperating in wrongdoing. Even without fully trusting any single vendor, the matter can be addressed through </w:t>
      </w:r>
      <w:r>
        <w:rPr>
          <w:b/>
          <w:bCs/>
        </w:rPr>
        <w:t xml:space="preserve">defense in depth</w:t>
      </w:r>
      <w:r>
        <w:t xml:space="preserve">:</w:t>
      </w:r>
    </w:p>
    <w:p>
      <w:pPr>
        <w:pStyle w:val="ListParagraph"/>
        <w:numPr>
          <w:ilvl w:val="0"/>
          <w:numId w:val="2"/>
        </w:numPr>
        <w:spacing w:after="100" w:line="276"/>
        <w:jc w:val="both"/>
      </w:pPr>
      <w:r>
        <w:rPr>
          <w:b/>
          <w:bCs/>
        </w:rPr>
        <w:t xml:space="preserve">Multi-vendor mixed custody.</w:t>
      </w:r>
      <w:r>
        <w:t xml:space="preserve"> Different TEE nodes of the same Agent use different vendors; breaking a single vendor is not enough — several must be broken at once;</w:t>
      </w:r>
    </w:p>
    <w:p>
      <w:pPr>
        <w:pStyle w:val="ListParagraph"/>
        <w:numPr>
          <w:ilvl w:val="0"/>
          <w:numId w:val="2"/>
        </w:numPr>
        <w:spacing w:after="100" w:line="276"/>
        <w:jc w:val="both"/>
      </w:pPr>
      <w:r>
        <w:rPr>
          <w:b/>
          <w:bCs/>
        </w:rPr>
        <w:t xml:space="preserve">Periodic RA rotation.</w:t>
      </w:r>
      <w:r>
        <w:t xml:space="preserve"> Attestations are refreshed periodically, so any leaked root certificate is invalidated within a short window;</w:t>
      </w:r>
    </w:p>
    <w:p>
      <w:pPr>
        <w:pStyle w:val="ListParagraph"/>
        <w:numPr>
          <w:ilvl w:val="0"/>
          <w:numId w:val="2"/>
        </w:numPr>
        <w:spacing w:after="100" w:line="276"/>
        <w:jc w:val="both"/>
      </w:pPr>
      <w:r>
        <w:rPr>
          <w:b/>
          <w:bCs/>
        </w:rPr>
        <w:t xml:space="preserve">Cross-vendor RA for critical decisions.</w:t>
      </w:r>
      <w:r>
        <w:t xml:space="preserve"> A large operation must be confirmed simultaneously by TEEs from several different vendors;</w:t>
      </w:r>
    </w:p>
    <w:p>
      <w:pPr>
        <w:pStyle w:val="ListParagraph"/>
        <w:numPr>
          <w:ilvl w:val="0"/>
          <w:numId w:val="2"/>
        </w:numPr>
        <w:spacing w:after="100" w:line="276"/>
        <w:jc w:val="both"/>
      </w:pPr>
      <w:r>
        <w:rPr>
          <w:b/>
          <w:bCs/>
        </w:rPr>
        <w:t xml:space="preserve">A future-facing zero-hardware-trust path.</w:t>
      </w:r>
      <w:r>
        <w:t xml:space="preserve"> FHE (fully homomorphic encryption) and ZKML (zero-knowledge machine learning) are evolving rapidly and may mature within a few years; they can remove the dependency on a hardware root and are the long-term evolutionary direction of this architecture.</w:t>
      </w:r>
    </w:p>
    <w:p>
      <w:pPr>
        <w:spacing w:after="160" w:line="276"/>
        <w:jc w:val="both"/>
      </w:pPr>
      <w:r>
        <w:rPr>
          <w:b/>
          <w:bCs/>
        </w:rPr>
        <w:t xml:space="preserve">On economics.</w:t>
      </w:r>
      <w:r>
        <w:t xml:space="preserve"> This is the most easily misunderstood point. Early TEEs left an impression of “poor performance, high cost,” and in the SGX era that was indeed so; but the performance overhead of current TEEs is close to zero: the performance overhead of AMD SEV-SNP encrypted memory is usually below 5%, Intel TDX is below 3% on most workloads, and NVIDIA H100 CC mode adds below 5% on LLM inference. On cost, decentralized compute markets have already driven the hourly price of an H100 into the $1.5–2 range, well below cloud vendors’ list prices; a mid-sized Sovereign Agent might run on a monthly operating cost of only a few thousand dollars — entirely affordable for an Agent managing millions in assets.</w:t>
      </w:r>
    </w:p>
    <w:p>
      <w:pPr>
        <w:spacing w:after="160" w:line="276"/>
        <w:jc w:val="both"/>
      </w:pPr>
      <w:r>
        <w:rPr>
          <w:b/>
          <w:bCs/>
        </w:rPr>
        <w:t xml:space="preserve">Conclusion.</w:t>
      </w:r>
      <w:r>
        <w:t xml:space="preserve"> Founding trust on “TEEs plus multi-vendor defense in depth” is far sturdier than founding it on “some operations team won’t run off with the money.” It is neither fragile, nor expensive, nor science fiction, but an industrial-standard technology already protecting the world’s critical infrastructure.</w:t>
      </w:r>
    </w:p>
    <w:p>
      <w:pPr>
        <w:pStyle w:val="Heading2"/>
      </w:pPr>
      <w:r>
        <w:t xml:space="preserve">5.5 Decisions Must Be Auditable: Account Tiering and Signature Trails (for 4.5)</w:t>
      </w:r>
    </w:p>
    <w:p>
      <w:pPr>
        <w:spacing w:after="160" w:line="276"/>
        <w:jc w:val="both"/>
      </w:pPr>
      <w:r>
        <w:t xml:space="preserve">A Sovereign Agent’s auditability rests on two foundations: </w:t>
      </w:r>
      <w:r>
        <w:rPr>
          <w:b/>
          <w:bCs/>
        </w:rPr>
        <w:t xml:space="preserve">account tiering</w:t>
      </w:r>
      <w:r>
        <w:t xml:space="preserve"> caps risk exposure at the cryptographic level, and </w:t>
      </w:r>
      <w:r>
        <w:rPr>
          <w:b/>
          <w:bCs/>
        </w:rPr>
        <w:t xml:space="preserve">signature trails</w:t>
      </w:r>
      <w:r>
        <w:t xml:space="preserve"> make every decision permanently traceable.</w:t>
      </w:r>
    </w:p>
    <w:p>
      <w:pPr>
        <w:pStyle w:val="Heading3"/>
      </w:pPr>
      <w:r>
        <w:t xml:space="preserve">5.5.1 Account Tiering: Making Limits a Cryptographic Fact</w:t>
      </w:r>
    </w:p>
    <w:p>
      <w:pPr>
        <w:spacing w:after="160" w:line="276"/>
        <w:jc w:val="both"/>
      </w:pPr>
      <w:r>
        <w:t xml:space="preserve">A Sovereign Agent should not hold a single wallet but should be built as a tiered account system, whose most natural form has two tiers. The </w:t>
      </w:r>
      <w:r>
        <w:rPr>
          <w:b/>
          <w:bCs/>
        </w:rPr>
        <w:t xml:space="preserve">main account (Treasury)</w:t>
      </w:r>
      <w:r>
        <w:t xml:space="preserve"> holds all of the Agent’s principal assets; its key is held in TSS mode by the signing network jointly, and signing goes through an on-chain mount — each signature must pass through on-chain submission, a delay window, a challenge mechanism, and consensus arbitration before it is released. Signing is expensive and slow, but it provides the highest grade of security guarantee. The </w:t>
      </w:r>
      <w:r>
        <w:rPr>
          <w:b/>
          <w:bCs/>
        </w:rPr>
        <w:t xml:space="preserve">Working Accounts</w:t>
      </w:r>
      <w:r>
        <w:t xml:space="preserve"> serve day-to-day business operations; their keys are held in SSS mode, signing is fast and horizontally scalable, enough to support high-frequency scenarios such as the machine economy — but the working accounts hold only limited funds.</w:t>
      </w:r>
    </w:p>
    <w:p>
      <w:pPr>
        <w:spacing w:after="160" w:line="276"/>
        <w:jc w:val="both"/>
      </w:pPr>
      <w:r>
        <w:t xml:space="preserve">The relationship between the main account and the working accounts is defined by rules hard-coded into the Soul: the main account disburses to the working accounts on a set cadence (for instance, “whenever a working account’s balance falls below X, automatically disburse Y, up to a daily maximum of Z”); the disbursement is itself an on-chain transaction of the main account and must go through the full high-grade signing process; once a working account’s balance is exhausted, it must wait for the next compliant disbursement and cannot sign out any operation beyond its limit in the meantime.</w:t>
      </w:r>
    </w:p>
    <w:p>
      <w:pPr>
        <w:spacing w:after="160" w:line="276"/>
        <w:jc w:val="both"/>
      </w:pPr>
      <w:r>
        <w:t xml:space="preserve">The crux of this design is that </w:t>
      </w:r>
      <w:r>
        <w:rPr>
          <w:b/>
          <w:bCs/>
        </w:rPr>
        <w:t xml:space="preserve">the limit is not a software-level check but a cryptographic-level fact.</w:t>
      </w:r>
      <w:r>
        <w:t xml:space="preserve"> Even if some Agent instance’s TEE is fully breached, its SSS shares are all stolen, and the attacker fully reconstructs the private key, all the attacker gains is the key to one working account — and that account holds only limited funds. The large assets in the main account are entirely out of the attacker’s reach, because that key simply cannot sign a main-account transaction, and the loss is capped at the working account’s current balance (plus whatever limited increment might be disbursed that day). This is isomorphic to the “treasury account plus operating account” model of traditional corporate finance: a CFO does not let a business unit hold all of the company’s funds directly but provisions it with an operating account sufficient for daily operations; the Sovereign Agent merely upgrades this mechanism from the level of “process plus law” to the level of “cryptography plus consensus.”</w:t>
      </w:r>
    </w:p>
    <w:p>
      <w:pPr>
        <w:spacing w:after="160" w:line="276"/>
        <w:jc w:val="both"/>
      </w:pPr>
      <w:r>
        <w:t xml:space="preserve">The concrete form of the account system is freely configured by the Soul. The Sovereign Agent paradigm stipulates only that “accounts must be tiered” as a necessary condition; the concrete tiering strategy is decided by each Agent’s creator according to the nature of the business and written into the Soul. Possible forms include:</w:t>
      </w:r>
    </w:p>
    <w:p>
      <w:pPr>
        <w:pStyle w:val="ListParagraph"/>
        <w:numPr>
          <w:ilvl w:val="0"/>
          <w:numId w:val="2"/>
        </w:numPr>
        <w:spacing w:after="100" w:line="276"/>
        <w:jc w:val="both"/>
      </w:pPr>
      <w:r>
        <w:rPr>
          <w:b/>
          <w:bCs/>
        </w:rPr>
        <w:t xml:space="preserve">A separate account per instance.</w:t>
      </w:r>
      <w:r>
        <w:t xml:space="preserve"> Each Agent instance corresponds to its own working account; isolation is the most thorough, breaching a single instance affects only one account, and this suits high-value scenarios that require strict isolation;</w:t>
      </w:r>
    </w:p>
    <w:p>
      <w:pPr>
        <w:pStyle w:val="ListParagraph"/>
        <w:numPr>
          <w:ilvl w:val="0"/>
          <w:numId w:val="2"/>
        </w:numPr>
        <w:spacing w:after="100" w:line="276"/>
        <w:jc w:val="both"/>
      </w:pPr>
      <w:r>
        <w:rPr>
          <w:b/>
          <w:bCs/>
        </w:rPr>
        <w:t xml:space="preserve">A shared working account.</w:t>
      </w:r>
      <w:r>
        <w:t xml:space="preserve"> A group of instances (grouped by geographic region, business function, or load level) share one account; management is simpler, this suits large-scale concurrent scenarios such as the machine economy, and the risk is shared within the group;</w:t>
      </w:r>
    </w:p>
    <w:p>
      <w:pPr>
        <w:pStyle w:val="ListParagraph"/>
        <w:numPr>
          <w:ilvl w:val="0"/>
          <w:numId w:val="2"/>
        </w:numPr>
        <w:spacing w:after="100" w:line="276"/>
        <w:jc w:val="both"/>
      </w:pPr>
      <w:r>
        <w:rPr>
          <w:b/>
          <w:bCs/>
        </w:rPr>
        <w:t xml:space="preserve">Multi-tier accounts.</w:t>
      </w:r>
      <w:r>
        <w:t xml:space="preserve"> The main account disburses to “regional accounts,” which in turn disburse to “instance accounts,” each layer being isolation at the level of a cryptographic fact, suited to ultra-large-scale Agents.</w:t>
      </w:r>
    </w:p>
    <w:p>
      <w:pPr>
        <w:spacing w:after="160" w:line="276"/>
        <w:jc w:val="both"/>
      </w:pPr>
      <w:r>
        <w:t xml:space="preserve">Different businesses weigh security differently, and this choice is the responsibility of the Agent’s creator.</w:t>
      </w:r>
    </w:p>
    <w:p>
      <w:pPr>
        <w:pStyle w:val="Heading3"/>
      </w:pPr>
      <w:r>
        <w:t xml:space="preserve">5.5.2 Signature Trails: Making Decisions Permanently Traceable</w:t>
      </w:r>
    </w:p>
    <w:p>
      <w:pPr>
        <w:spacing w:after="160" w:line="276"/>
        <w:jc w:val="both"/>
      </w:pPr>
      <w:r>
        <w:t xml:space="preserve">Whether for the main account or a working account, every signature generates a complete evidentiary record — the content to be signed, the evidence-chain hash (the Merkle root of the input, the prompt, the model hash, the LLM output, and the RA report), the parties participating in the signature, and the final signature. How these records are handled is independent of “whether the signature goes on-chain” — the signing itself is performed off-chain, but the trail is necessary:</w:t>
      </w:r>
    </w:p>
    <w:p>
      <w:pPr>
        <w:pStyle w:val="ListParagraph"/>
        <w:numPr>
          <w:ilvl w:val="0"/>
          <w:numId w:val="2"/>
        </w:numPr>
        <w:spacing w:after="100" w:line="276"/>
        <w:jc w:val="both"/>
      </w:pPr>
      <w:r>
        <w:t xml:space="preserve">The substance of the record is held in decentralized storage (Arweave, Filecoin, IPFS);</w:t>
      </w:r>
    </w:p>
    <w:p>
      <w:pPr>
        <w:pStyle w:val="ListParagraph"/>
        <w:numPr>
          <w:ilvl w:val="0"/>
          <w:numId w:val="2"/>
        </w:numPr>
        <w:spacing w:after="100" w:line="276"/>
        <w:jc w:val="both"/>
      </w:pPr>
      <w:r>
        <w:t xml:space="preserve">Nodes periodically submit the Merkle root of the records on-chain in batches;</w:t>
      </w:r>
    </w:p>
    <w:p>
      <w:pPr>
        <w:pStyle w:val="ListParagraph"/>
        <w:numPr>
          <w:ilvl w:val="0"/>
          <w:numId w:val="2"/>
        </w:numPr>
        <w:spacing w:after="100" w:line="276"/>
        <w:jc w:val="both"/>
      </w:pPr>
      <w:r>
        <w:t xml:space="preserve">The chain keeps only a hash of a few bytes, which is enough to anchor tens of millions of signatures;</w:t>
      </w:r>
    </w:p>
    <w:p>
      <w:pPr>
        <w:pStyle w:val="ListParagraph"/>
        <w:numPr>
          <w:ilvl w:val="0"/>
          <w:numId w:val="2"/>
        </w:numPr>
        <w:spacing w:after="100" w:line="276"/>
        <w:jc w:val="both"/>
      </w:pPr>
      <w:r>
        <w:t xml:space="preserve">Afterward, anyone can independently verify, from the on-chain Merkle root, whether a given signature occurred, what its content was, and who participated.</w:t>
      </w:r>
    </w:p>
    <w:p>
      <w:pPr>
        <w:spacing w:after="160" w:line="276"/>
        <w:jc w:val="both"/>
      </w:pPr>
      <w:r>
        <w:t xml:space="preserve">This design is especially important in high-frequency scenarios such as the machine economy. A single Agent might issue hundreds of thousands of working-account transactions in a day, and if each were forced on-chain separately, the economics of the entire paradigm would collapse; batch anchoring lets “permanent auditability” and “no throughput bottleneck” hold at the same time — the key to the paradigm’s scalability. The main account’s low-frequency, large transactions go on-chain on their own anyway, since they must follow the on-chain mount process (the delay window described in 5.5.1), so their trail is naturally on-chain individually; the working accounts’ high-frequency, small transactions follow batch anchoring. The two trail mechanisms serve different security grades, but both provide complete after-the-fact auditability.</w:t>
      </w:r>
    </w:p>
    <w:p>
      <w:pPr>
        <w:spacing w:after="160" w:line="276"/>
        <w:jc w:val="both"/>
      </w:pPr>
      <w:r>
        <w:t xml:space="preserve">All told, </w:t>
      </w:r>
      <w:r>
        <w:rPr>
          <w:b/>
          <w:bCs/>
        </w:rPr>
        <w:t xml:space="preserve">any decision by any Agent can be permanently audited</w:t>
      </w:r>
      <w:r>
        <w:t xml:space="preserve">: ten years later, to review the basis for a particular transaction on a particular day, one still can — read the evidence hash from the chain, download the substance from decentralized storage, and verify whether the Merkle tree root matches; forgery at any link makes the root hash fail to correspond. This means there exists a kind of “institution” every one of whose decisions carries complete, immutable, permanently verifiable evidence — a transparency that traditional governments, companies, and NGOs do not possess.</w:t>
      </w:r>
    </w:p>
    <w:p>
      <w:pPr>
        <w:pStyle w:val="Heading2"/>
      </w:pPr>
      <w:r>
        <w:t xml:space="preserve">5.6 Continuous Operation Must Be Guaranteed: Decentralized Infrastructure and Economic Self-Sufficiency (for 4.6)</w:t>
      </w:r>
    </w:p>
    <w:p>
      <w:pPr>
        <w:spacing w:after="160" w:line="276"/>
        <w:jc w:val="both"/>
      </w:pPr>
      <w:r>
        <w:t xml:space="preserve">The solution to this condition divides into three levels.</w:t>
      </w:r>
    </w:p>
    <w:p>
      <w:pPr>
        <w:pStyle w:val="ListParagraph"/>
        <w:numPr>
          <w:ilvl w:val="0"/>
          <w:numId w:val="2"/>
        </w:numPr>
        <w:spacing w:after="100" w:line="276"/>
        <w:jc w:val="both"/>
      </w:pPr>
      <w:r>
        <w:rPr>
          <w:b/>
          <w:bCs/>
        </w:rPr>
        <w:t xml:space="preserve">Physical level (multiple instances and decentralized compute).</w:t>
      </w:r>
      <w:r>
        <w:t xml:space="preserve"> A Sovereign Agent is not bound to a single physical node; its running instances can start on any compliant TEE node and begin serving immediately after proving their legitimacy through RA. Instances are peers — each runs independently, can fully handle any business request, and needs no communication with the others; they read a consistent worldview from the chain and act independently by the Soul. The underlying compute comes from decentralized compute markets (Akash, Render, io.net, and the like), depends on no single cloud vendor, and the failure of any one region, vendor, or data center does not affect the Agent’s operation as a whole. An added benefit of this architecture: a single Agent’s service capacity scales nearly linearly with instance count and can, in theory, serve tens of millions of users.</w:t>
      </w:r>
    </w:p>
    <w:p>
      <w:pPr>
        <w:pStyle w:val="ListParagraph"/>
        <w:numPr>
          <w:ilvl w:val="0"/>
          <w:numId w:val="2"/>
        </w:numPr>
        <w:spacing w:after="100" w:line="276"/>
        <w:jc w:val="both"/>
      </w:pPr>
      <w:r>
        <w:rPr>
          <w:b/>
          <w:bCs/>
        </w:rPr>
        <w:t xml:space="preserve">Economic level (self-sufficient cash flow).</w:t>
      </w:r>
      <w:r>
        <w:t xml:space="preserve"> A Sovereign Agent must be able to cover its operating costs continuously out of its own business revenue — an Agent that can survive only on continuous external transfusion is, in essence, at the mercy of the transfusing party. Its costs come mainly from compute fees (TEE node rental and LLM inference), signing fees (consensus-network custody), storage fees (decentralized storage), and the necessary compliance and audit fees; its revenue comes from service charges (user payments, subscriptions, API calls) and proprietary earnings (DeFi yield, market arbitrage, monetization of intellectual property). At creation an Agent must have enough seed capital to cover early costs while the business has yet to take off, but once mature it must be able to stand on its own profit and loss (the concrete financial model is developed in the next chapter).</w:t>
      </w:r>
    </w:p>
    <w:p>
      <w:pPr>
        <w:pStyle w:val="ListParagraph"/>
        <w:numPr>
          <w:ilvl w:val="0"/>
          <w:numId w:val="2"/>
        </w:numPr>
        <w:spacing w:after="100" w:line="276"/>
        <w:jc w:val="both"/>
      </w:pPr>
      <w:r>
        <w:rPr>
          <w:b/>
          <w:bCs/>
        </w:rPr>
        <w:t xml:space="preserve">Task-execution level (decentralized task networks).</w:t>
      </w:r>
      <w:r>
        <w:t xml:space="preserve"> An Agent often also needs human experts in some field to review data, a task completed in the physical world, a particular off-chain data source, or some niche professional service. The acquisition of these resources must be achievable through a decentralized task market: the Agent posts a bounty on a public task platform, people or other Agents around the world bid, and the Agent evaluates, selects, and pays automatically per contract. Such networks are already emerging — the various blockchain-based task markets, bounty platforms, and Web3 labor markets are all evolving in this direction, and the flourishing of Sovereign Agents will in turn drive them toward maturity.</w:t>
      </w:r>
    </w:p>
    <w:p>
      <w:pPr>
        <w:spacing w:after="160" w:line="276"/>
        <w:jc w:val="both"/>
      </w:pPr>
      <w:r>
        <w:t xml:space="preserve">Only when the physical, economic, and task levels are all solved does a Sovereign Agent truly possess the capacity for “independent survival” — it depends on no single supplier, no single source of funds, and no single service provider, and its existence does not turn on the goodwill of any single external participant.</w:t>
      </w:r>
    </w:p>
    <w:p>
      <w:pPr>
        <w:pStyle w:val="Heading2"/>
      </w:pPr>
      <w:r>
        <w:t xml:space="preserve">5.7 Engineering Hardening: Challenge and Upgrade Mechanisms</w:t>
      </w:r>
    </w:p>
    <w:p>
      <w:pPr>
        <w:spacing w:after="160" w:line="276"/>
        <w:jc w:val="both"/>
      </w:pPr>
      <w:r>
        <w:t xml:space="preserve">The first six sections mapped to the Sovereign Agent’s six necessary conditions. This section discusses additional hardening measures in engineering practice — they are not among the six necessary conditions, but any serious deployment should have them. A Sovereign Agent’s trustworthiness lies not only in “not doing evil itself” but also in “still having checks even if it misjudges or is induced.” This set of checks is additive to the account tiering of 5.5: account tiering caps the loss a single instance can cause at the source, while the challenge mechanism further protects main-account-grade critical operations from abuse. Three classes of challenge are designed here.</w:t>
      </w:r>
    </w:p>
    <w:p>
      <w:pPr>
        <w:spacing w:after="160" w:line="276"/>
        <w:jc w:val="both"/>
      </w:pPr>
      <w:r>
        <w:rPr>
          <w:b/>
          <w:bCs/>
        </w:rPr>
        <w:t xml:space="preserve">Pre-execution challenges</w:t>
      </w:r>
      <w:r>
        <w:t xml:space="preserve"> target critical operations at the main-account level. Every signature of the main account goes through the on-chain mount process (5.5.1) anyway, and that process provides a natural mount point for pre-execution challenges: when the main account disburses to a working account, transfers externally, or modifies the account-system structure, the on-chain contract imposes a T+N delay window (its length configured by the Soul, tiered by operation type), during which any party holding challenge rights can raise a challenge, the contract automatically suspends the signature, and the consensus network arbitrates by reference to the evidence chain. Because account tiering has already excluded everyday working-account operations from the scope of challenge, </w:t>
      </w:r>
      <w:r>
        <w:rPr>
          <w:b/>
          <w:bCs/>
        </w:rPr>
        <w:t xml:space="preserve">pre-execution challenges serve only genuinely high-value main-account operations</w:t>
      </w:r>
      <w:r>
        <w:t xml:space="preserve">, becoming a low-frequency, high-value, deeply deliberated process rather than a burden that disrupts the daily business flow.</w:t>
      </w:r>
    </w:p>
    <w:p>
      <w:pPr>
        <w:spacing w:after="160" w:line="276"/>
        <w:jc w:val="both"/>
      </w:pPr>
      <w:r>
        <w:rPr>
          <w:b/>
          <w:bCs/>
        </w:rPr>
        <w:t xml:space="preserve">Post-execution challenges</w:t>
      </w:r>
      <w:r>
        <w:t xml:space="preserve"> target the case where an already-executed transaction is found to be anomalous. The challenger pulls the substance of the evidence from decentralized storage and submits it on-chain, and the consensus network reviews it by reference to the evidence chain. An already-executed transaction will not be rolled back — that is the nature of an irreversible ledger — so the value of a post-execution challenge lies neither in reversal nor in punishment. In fact, in the most typical case there is no “malicious node” to blame: the anomaly usually stems from the LLM being induced or a vulnerability in a Skill, while the execution instance has been confirmed by remote attestation to be running legitimate code and the signing network has merely completed the signature per protocol — neither class of node violated any rule. The real value of a post-execution challenge lies in </w:t>
      </w:r>
      <w:r>
        <w:rPr>
          <w:b/>
          <w:bCs/>
        </w:rPr>
        <w:t xml:space="preserve">attribution and improvement</w:t>
      </w:r>
      <w:r>
        <w:t xml:space="preserve">: with a complete evidence chain, one can pinpoint the root cause of the anomaly precisely and then patch the vulnerability through the upgrade process (see upgrade challenges below) — hardening a Skill’s input validation, replacing or retraining a model, tightening the Soul’s red lines — so that the same class of problem does not recur.</w:t>
      </w:r>
    </w:p>
    <w:p>
      <w:pPr>
        <w:spacing w:after="160" w:line="276"/>
        <w:jc w:val="both"/>
      </w:pPr>
      <w:r>
        <w:rPr>
          <w:b/>
          <w:bCs/>
        </w:rPr>
        <w:t xml:space="preserve">Upgrade challenges</w:t>
      </w:r>
      <w:r>
        <w:t xml:space="preserve"> target proposals for Skill upgrades and modifications to the Soul’s meta-rules, which must pass sandbox testing, a time lock, and a veto-style challenge by stakeholders; a Soul upgrade requires a higher bar still (a higher consensus ratio, a longer time lock, and a cost-free exit window for stakeholders during the window).</w:t>
      </w:r>
    </w:p>
    <w:p>
      <w:pPr>
        <w:spacing w:after="160" w:line="276"/>
        <w:jc w:val="both"/>
      </w:pPr>
      <w:r>
        <w:t xml:space="preserve">The overall security model is built from three stacked layers: account tiering (5.5.1) caps the maximum loss a single instance can cause at the cryptographic level; pre-execution challenges (this section) make high-value main-account operations interceptable before they take effect; and post-execution challenges and trails (5.5.2 and this section) make any anomaly permanently traceable, precisely attributable, and a basis for patching and improvement. These three layers and “the private key cannot be appropriated by anyone” are two independent sets of protection — the former addresses “insiders erring or being induced,” the latter “insiders doing evil” (that is, custodians colluding to steal assets, curbed jointly by threshold signatures and the accountable-node profile of 5.1) — and only stacked together do they constitute a complete security model.</w:t>
      </w:r>
    </w:p>
    <w:p>
      <w:pPr>
        <w:pStyle w:val="Heading1"/>
      </w:pPr>
      <w:r>
        <w:t xml:space="preserve">VI. The Economic Model</w:t>
      </w:r>
    </w:p>
    <w:p>
      <w:pPr>
        <w:spacing w:after="160" w:line="276"/>
        <w:jc w:val="both"/>
      </w:pPr>
      <w:r>
        <w:t xml:space="preserve">A Sovereign Agent is a new kind of economic entity, but its financial operation need not start from scratch — it can </w:t>
      </w:r>
      <w:r>
        <w:rPr>
          <w:b/>
          <w:bCs/>
        </w:rPr>
        <w:t xml:space="preserve">borrow from the way a company works</w:t>
      </w:r>
      <w:r>
        <w:t xml:space="preserve">, the only difference being to replace “a board resolution” with “automatic execution by code.” This economic model should not be uniformly prescribed by this paper: the economic rules of each concrete Agent should be written into the Soul by its creator according to the nature of the business. </w:t>
      </w:r>
      <w:r>
        <w:rPr>
          <w:b/>
          <w:bCs/>
        </w:rPr>
        <w:t xml:space="preserve">What follows is a reasonable reference framework, not a mandatory specification.</w:t>
      </w:r>
    </w:p>
    <w:p>
      <w:pPr>
        <w:pStyle w:val="Heading2"/>
      </w:pPr>
      <w:r>
        <w:t xml:space="preserve">Sources of an Agent’s Funds</w:t>
      </w:r>
    </w:p>
    <w:p>
      <w:pPr>
        <w:spacing w:after="160" w:line="276"/>
        <w:jc w:val="both"/>
      </w:pPr>
      <w:r>
        <w:t xml:space="preserve">A Sovereign Agent’s funds have three sources.</w:t>
      </w:r>
    </w:p>
    <w:p>
      <w:pPr>
        <w:pStyle w:val="ListParagraph"/>
        <w:numPr>
          <w:ilvl w:val="0"/>
          <w:numId w:val="2"/>
        </w:numPr>
        <w:spacing w:after="100" w:line="276"/>
        <w:jc w:val="both"/>
      </w:pPr>
      <w:r>
        <w:rPr>
          <w:b/>
          <w:bCs/>
        </w:rPr>
        <w:t xml:space="preserve">Business revenue (the primary source).</w:t>
      </w:r>
      <w:r>
        <w:t xml:space="preserve"> Fees charged for providing services (management fees, subscription fees, per-call fees), plus earnings generated through autonomous operation (investment returns, market arbitrage, intellectual-property income); a mature Agent should run continuously on business revenue.</w:t>
      </w:r>
    </w:p>
    <w:p>
      <w:pPr>
        <w:pStyle w:val="ListParagraph"/>
        <w:numPr>
          <w:ilvl w:val="0"/>
          <w:numId w:val="2"/>
        </w:numPr>
        <w:spacing w:after="100" w:line="276"/>
        <w:jc w:val="both"/>
      </w:pPr>
      <w:r>
        <w:rPr>
          <w:b/>
          <w:bCs/>
        </w:rPr>
        <w:t xml:space="preserve">Investor contributions.</w:t>
      </w:r>
      <w:r>
        <w:t xml:space="preserve"> External capital injected at the Agent’s creation or during operation. In exchange, investors receive not equity (an Agent has no concept of “equity”) but a “distribution right” to the Agent’s future earnings, obtained by rule.</w:t>
      </w:r>
    </w:p>
    <w:p>
      <w:pPr>
        <w:pStyle w:val="ListParagraph"/>
        <w:numPr>
          <w:ilvl w:val="0"/>
          <w:numId w:val="2"/>
        </w:numPr>
        <w:spacing w:after="100" w:line="276"/>
        <w:jc w:val="both"/>
      </w:pPr>
      <w:r>
        <w:rPr>
          <w:b/>
          <w:bCs/>
        </w:rPr>
        <w:t xml:space="preserve">Business-derived earnings.</w:t>
      </w:r>
      <w:r>
        <w:t xml:space="preserve"> Investment returns generated by the on-chain assets the Agent holds (DeFi yield, staking yield, and the like).</w:t>
      </w:r>
    </w:p>
    <w:p>
      <w:pPr>
        <w:pStyle w:val="Heading2"/>
      </w:pPr>
      <w:r>
        <w:t xml:space="preserve">An Agent’s Expenditures</w:t>
      </w:r>
    </w:p>
    <w:p>
      <w:pPr>
        <w:spacing w:after="160" w:line="276"/>
        <w:jc w:val="both"/>
      </w:pPr>
      <w:r>
        <w:t xml:space="preserve">Patterned on a company’s expenditure structure, a Sovereign Agent’s outlays fall into several categories:</w:t>
      </w:r>
    </w:p>
    <w:p>
      <w:pPr>
        <w:pStyle w:val="ListParagraph"/>
        <w:numPr>
          <w:ilvl w:val="0"/>
          <w:numId w:val="2"/>
        </w:numPr>
        <w:spacing w:after="100" w:line="276"/>
        <w:jc w:val="both"/>
      </w:pPr>
      <w:r>
        <w:rPr>
          <w:b/>
          <w:bCs/>
        </w:rPr>
        <w:t xml:space="preserve">Operating costs.</w:t>
      </w:r>
      <w:r>
        <w:t xml:space="preserve"> Custody and signing fees paid to consensus-network nodes, TEE running fees to compute nodes, fees to decentralized storage, API fees for calling the LLM, and so on;</w:t>
      </w:r>
    </w:p>
    <w:p>
      <w:pPr>
        <w:pStyle w:val="ListParagraph"/>
        <w:numPr>
          <w:ilvl w:val="0"/>
          <w:numId w:val="2"/>
        </w:numPr>
        <w:spacing w:after="100" w:line="276"/>
        <w:jc w:val="both"/>
      </w:pPr>
      <w:r>
        <w:rPr>
          <w:b/>
          <w:bCs/>
        </w:rPr>
        <w:t xml:space="preserve">Business costs.</w:t>
      </w:r>
      <w:r>
        <w:t xml:space="preserve"> The costs of executing the concrete business (a financial Agent’s transaction fees, a charitable Agent’s partner fees, and the like);</w:t>
      </w:r>
    </w:p>
    <w:p>
      <w:pPr>
        <w:pStyle w:val="ListParagraph"/>
        <w:numPr>
          <w:ilvl w:val="0"/>
          <w:numId w:val="2"/>
        </w:numPr>
        <w:spacing w:after="100" w:line="276"/>
        <w:jc w:val="both"/>
      </w:pPr>
      <w:r>
        <w:rPr>
          <w:b/>
          <w:bCs/>
        </w:rPr>
        <w:t xml:space="preserve">Audit and compliance.</w:t>
      </w:r>
      <w:r>
        <w:t xml:space="preserve"> Third-party audit, legal compliance, and related fees;</w:t>
      </w:r>
    </w:p>
    <w:p>
      <w:pPr>
        <w:pStyle w:val="ListParagraph"/>
        <w:numPr>
          <w:ilvl w:val="0"/>
          <w:numId w:val="2"/>
        </w:numPr>
        <w:spacing w:after="100" w:line="276"/>
        <w:jc w:val="both"/>
      </w:pPr>
      <w:r>
        <w:rPr>
          <w:b/>
          <w:bCs/>
        </w:rPr>
        <w:t xml:space="preserve">Business reinvestment.</w:t>
      </w:r>
      <w:r>
        <w:t xml:space="preserve"> Funds retained for future business development;</w:t>
      </w:r>
    </w:p>
    <w:p>
      <w:pPr>
        <w:pStyle w:val="ListParagraph"/>
        <w:numPr>
          <w:ilvl w:val="0"/>
          <w:numId w:val="2"/>
        </w:numPr>
        <w:spacing w:after="100" w:line="276"/>
        <w:jc w:val="both"/>
      </w:pPr>
      <w:r>
        <w:rPr>
          <w:b/>
          <w:bCs/>
        </w:rPr>
        <w:t xml:space="preserve">Distributions.</w:t>
      </w:r>
      <w:r>
        <w:t xml:space="preserve"> Distributed to investors by rule.</w:t>
      </w:r>
    </w:p>
    <w:p>
      <w:pPr>
        <w:pStyle w:val="Heading2"/>
      </w:pPr>
      <w:r>
        <w:t xml:space="preserve">The Valuation Mechanism for Investors</w:t>
      </w:r>
    </w:p>
    <w:p>
      <w:pPr>
        <w:spacing w:after="160" w:line="276"/>
        <w:jc w:val="both"/>
      </w:pPr>
      <w:r>
        <w:t xml:space="preserve">This is the part of the economic model most worth attention — and the most easily oversimplified. Simply allocating by “X dollars invested equals X units of weight” is not fair, because:</w:t>
      </w:r>
    </w:p>
    <w:p>
      <w:pPr>
        <w:pStyle w:val="ListParagraph"/>
        <w:numPr>
          <w:ilvl w:val="0"/>
          <w:numId w:val="2"/>
        </w:numPr>
        <w:spacing w:after="100" w:line="276"/>
        <w:jc w:val="both"/>
      </w:pPr>
      <w:r>
        <w:t xml:space="preserve">At the Agent’s genesis the treasury is empty, and the first seed capital bears the greatest risk, so it should justly receive the greatest right to return;</w:t>
      </w:r>
    </w:p>
    <w:p>
      <w:pPr>
        <w:pStyle w:val="ListParagraph"/>
        <w:numPr>
          <w:ilvl w:val="0"/>
          <w:numId w:val="2"/>
        </w:numPr>
        <w:spacing w:after="100" w:line="276"/>
        <w:jc w:val="both"/>
      </w:pPr>
      <w:r>
        <w:t xml:space="preserve">Once the Agent has operated for a year and the treasury is well-funded, new capital bears much less risk and should receive only a correspondingly proportional right to return;</w:t>
      </w:r>
    </w:p>
    <w:p>
      <w:pPr>
        <w:pStyle w:val="ListParagraph"/>
        <w:numPr>
          <w:ilvl w:val="0"/>
          <w:numId w:val="2"/>
        </w:numPr>
        <w:spacing w:after="100" w:line="276"/>
        <w:jc w:val="both"/>
      </w:pPr>
      <w:r>
        <w:t xml:space="preserve">When the Agent is in crisis and the treasury is about to run dry, the “rescue capital” again bears enormous risk, and its right to return should rise correspondingly.</w:t>
      </w:r>
    </w:p>
    <w:p>
      <w:pPr>
        <w:spacing w:after="160" w:line="276"/>
        <w:jc w:val="both"/>
      </w:pPr>
      <w:r>
        <w:t xml:space="preserve">This is precisely the essence of traditional company financing: the same $1 million buys equity worth a hundredfold difference depending on whether it goes into an early-stage company valued at $1 million or a mature company valued at $100 million — which is also the fundamental reason an angel investor’s returns exceed an IPO investor’s by orders of magnitude. The Sovereign Agent can borrow this mechanism, but must solve one core problem: </w:t>
      </w:r>
      <w:r>
        <w:rPr>
          <w:b/>
          <w:bCs/>
        </w:rPr>
        <w:t xml:space="preserve">an Agent has no “market valuation”</w:t>
      </w:r>
      <w:r>
        <w:t xml:space="preserve"> — it is not listed, its shares do not circulate, and there is no public secondary market.</w:t>
      </w:r>
    </w:p>
    <w:p>
      <w:pPr>
        <w:spacing w:after="160" w:line="276"/>
        <w:jc w:val="both"/>
      </w:pPr>
      <w:r>
        <w:t xml:space="preserve">A clean solution is this: </w:t>
      </w:r>
      <w:r>
        <w:rPr>
          <w:b/>
          <w:bCs/>
        </w:rPr>
        <w:t xml:space="preserve">take the Agent’s current treasury total multiplied by a constant k as its current valuation</w:t>
      </w:r>
      <w:r>
        <w:t xml:space="preserve">, where k is a constant hard-coded in the Soul (say, 2x). On this basis:</w:t>
      </w:r>
    </w:p>
    <w:p>
      <w:pPr>
        <w:pStyle w:val="ListParagraph"/>
        <w:numPr>
          <w:ilvl w:val="0"/>
          <w:numId w:val="2"/>
        </w:numPr>
        <w:spacing w:after="100" w:line="276"/>
        <w:jc w:val="both"/>
      </w:pPr>
      <w:r>
        <w:t xml:space="preserve">At genesis the treasury is 0 and the valuation is 0; the first seed capital receives nearly all of the initial equity;</w:t>
      </w:r>
    </w:p>
    <w:p>
      <w:pPr>
        <w:pStyle w:val="ListParagraph"/>
        <w:numPr>
          <w:ilvl w:val="0"/>
          <w:numId w:val="2"/>
        </w:numPr>
        <w:spacing w:after="100" w:line="276"/>
        <w:jc w:val="both"/>
      </w:pPr>
      <w:r>
        <w:t xml:space="preserve">With the treasury accumulated to $1 million, the valuation is $2 million, and a new $500,000 buys about 20% of the equity;</w:t>
      </w:r>
    </w:p>
    <w:p>
      <w:pPr>
        <w:pStyle w:val="ListParagraph"/>
        <w:numPr>
          <w:ilvl w:val="0"/>
          <w:numId w:val="2"/>
        </w:numPr>
        <w:spacing w:after="100" w:line="276"/>
        <w:jc w:val="both"/>
      </w:pPr>
      <w:r>
        <w:t xml:space="preserve">With the treasury at $10 million, the valuation is $20 million, and a new $500,000 buys only about 2.4%;</w:t>
      </w:r>
    </w:p>
    <w:p>
      <w:pPr>
        <w:pStyle w:val="ListParagraph"/>
        <w:numPr>
          <w:ilvl w:val="0"/>
          <w:numId w:val="2"/>
        </w:numPr>
        <w:spacing w:after="100" w:line="276"/>
        <w:jc w:val="both"/>
      </w:pPr>
      <w:r>
        <w:t xml:space="preserve">With the treasury fallen to a danger level (say $300,000), the valuation is $600,000, and $300,000 in rescue capital buys about 33%.</w:t>
      </w:r>
    </w:p>
    <w:p>
      <w:pPr>
        <w:spacing w:after="160" w:line="276"/>
        <w:jc w:val="both"/>
      </w:pPr>
      <w:r>
        <w:rPr>
          <w:b/>
          <w:bCs/>
        </w:rPr>
        <w:t xml:space="preserve">This mechanism gives seed capital, ordinary investment, and rescue capital each its rightful place, relying throughout on mathematical rules with no human classification required.</w:t>
      </w:r>
      <w:r>
        <w:t xml:space="preserve"> The value of k is set by the Agent’s creator according to the nature of the business — a steady business (low-risk wealth management, say) might take a smaller value (1.5x), and a high-growth business (an emerging AI application, say) a larger one (3x or higher) — but once written into the Soul it is permanently fixed; otherwise it would break the promise that “genesis-era early investors enjoy an early premium.”</w:t>
      </w:r>
    </w:p>
    <w:p>
      <w:pPr>
        <w:pStyle w:val="Heading2"/>
      </w:pPr>
      <w:r>
        <w:t xml:space="preserve">Distribution of Earnings</w:t>
      </w:r>
    </w:p>
    <w:p>
      <w:pPr>
        <w:spacing w:after="160" w:line="276"/>
        <w:jc w:val="both"/>
      </w:pPr>
      <w:r>
        <w:t xml:space="preserve">The distribution of an Agent’s profits can likewise be patterned on the company model, proceeding in parallel along two lines: </w:t>
      </w:r>
      <w:r>
        <w:rPr>
          <w:b/>
          <w:bCs/>
        </w:rPr>
        <w:t xml:space="preserve">business retention</w:t>
      </w:r>
      <w:r>
        <w:t xml:space="preserve"> and </w:t>
      </w:r>
      <w:r>
        <w:rPr>
          <w:b/>
          <w:bCs/>
        </w:rPr>
        <w:t xml:space="preserve">investor distribution.</w:t>
      </w:r>
      <w:r>
        <w:t xml:space="preserve"> Each accounting period (monthly or quarterly), the Agent distributes net profit in the proportions written into the Soul:</w:t>
      </w:r>
    </w:p>
    <w:p>
      <w:pPr>
        <w:pStyle w:val="ListParagraph"/>
        <w:numPr>
          <w:ilvl w:val="0"/>
          <w:numId w:val="2"/>
        </w:numPr>
        <w:spacing w:after="100" w:line="276"/>
        <w:jc w:val="both"/>
      </w:pPr>
      <w:r>
        <w:rPr>
          <w:b/>
          <w:bCs/>
        </w:rPr>
        <w:t xml:space="preserve">Business retention.</w:t>
      </w:r>
      <w:r>
        <w:t xml:space="preserve"> For business reinvestment, operating reserves, and future development; a conservative range is 40%–70%;</w:t>
      </w:r>
    </w:p>
    <w:p>
      <w:pPr>
        <w:pStyle w:val="ListParagraph"/>
        <w:numPr>
          <w:ilvl w:val="0"/>
          <w:numId w:val="2"/>
        </w:numPr>
        <w:spacing w:after="100" w:line="276"/>
        <w:jc w:val="both"/>
      </w:pPr>
      <w:r>
        <w:rPr>
          <w:b/>
          <w:bCs/>
        </w:rPr>
        <w:t xml:space="preserve">Investor distribution.</w:t>
      </w:r>
      <w:r>
        <w:t xml:space="preserve"> Distributed to all equity holders by cumulative equity proportion;</w:t>
      </w:r>
    </w:p>
    <w:p>
      <w:pPr>
        <w:pStyle w:val="ListParagraph"/>
        <w:numPr>
          <w:ilvl w:val="0"/>
          <w:numId w:val="2"/>
        </w:numPr>
        <w:spacing w:after="100" w:line="276"/>
        <w:jc w:val="both"/>
      </w:pPr>
      <w:r>
        <w:rPr>
          <w:b/>
          <w:bCs/>
        </w:rPr>
        <w:t xml:space="preserve">Consensus-network fee pool.</w:t>
      </w:r>
      <w:r>
        <w:t xml:space="preserve"> Used to pay node custody fees.</w:t>
      </w:r>
    </w:p>
    <w:p>
      <w:pPr>
        <w:spacing w:after="160" w:line="276"/>
        <w:jc w:val="both"/>
      </w:pPr>
      <w:r>
        <w:t xml:space="preserve">This proportion is hard-coded in the Soul and decided by the Agent’s creator according to the nature of the business. An early-stage Agent might have a higher retention proportion (above 70%) to support rapid growth, while a mature Agent might have a higher distribution proportion (above 50%), closer to a steady-return “cash cow.”</w:t>
      </w:r>
    </w:p>
    <w:p>
      <w:pPr>
        <w:pStyle w:val="Heading2"/>
      </w:pPr>
      <w:r>
        <w:t xml:space="preserve">How Investors Exit</w:t>
      </w:r>
    </w:p>
    <w:p>
      <w:pPr>
        <w:spacing w:after="160" w:line="276"/>
        <w:jc w:val="both"/>
      </w:pPr>
      <w:r>
        <w:t xml:space="preserve">The question of exit is often overlooked. In a traditional company, investors can exit through an IPO, an acquisition, or a transfer on the secondary market; a Sovereign Agent must arrange things otherwise. Equity inside an Agent is non-transferable by default — to avoid being classified as a security and to prevent short-term speculation from manipulating price — but this does not mean there is no exit path. Several realistic practices can be drawn on:</w:t>
      </w:r>
    </w:p>
    <w:p>
      <w:pPr>
        <w:pStyle w:val="ListParagraph"/>
        <w:numPr>
          <w:ilvl w:val="0"/>
          <w:numId w:val="2"/>
        </w:numPr>
        <w:spacing w:after="100" w:line="276"/>
        <w:jc w:val="both"/>
      </w:pPr>
      <w:r>
        <w:rPr>
          <w:b/>
          <w:bCs/>
        </w:rPr>
        <w:t xml:space="preserve">Agent buyback.</w:t>
      </w:r>
      <w:r>
        <w:t xml:space="preserve"> When the treasury is ample, the Agent proactively buys back investor equity (much as a company buys back stock); the buyback price is computed as “treasury total times k divided by total equity” at the time, consistent with the conversion formula for new investors, providing investors a clear exit path when the Agent succeeds;</w:t>
      </w:r>
    </w:p>
    <w:p>
      <w:pPr>
        <w:pStyle w:val="ListParagraph"/>
        <w:numPr>
          <w:ilvl w:val="0"/>
          <w:numId w:val="2"/>
        </w:numPr>
        <w:spacing w:after="100" w:line="276"/>
        <w:jc w:val="both"/>
      </w:pPr>
      <w:r>
        <w:rPr>
          <w:b/>
          <w:bCs/>
        </w:rPr>
        <w:t xml:space="preserve">Restricted transfer.</w:t>
      </w:r>
      <w:r>
        <w:t xml:space="preserve"> An OTC transfer approved by the Agent itself (per Soul rules), with equity transferred upon the mutual consent of two specific parties; the Agent knows the identity of the current equity holders, but the equity does not circulate on the open market;</w:t>
      </w:r>
    </w:p>
    <w:p>
      <w:pPr>
        <w:pStyle w:val="ListParagraph"/>
        <w:numPr>
          <w:ilvl w:val="0"/>
          <w:numId w:val="2"/>
        </w:numPr>
        <w:spacing w:after="100" w:line="276"/>
        <w:jc w:val="both"/>
      </w:pPr>
      <w:r>
        <w:rPr>
          <w:b/>
          <w:bCs/>
        </w:rPr>
        <w:t xml:space="preserve">Inheritable transfer.</w:t>
      </w:r>
      <w:r>
        <w:t xml:space="preserve"> When an investor dies, the equity transfers per the succession rules they designated — this matters especially for long-term investors, since a Sovereign Agent can by design exist in perpetuity and investors may wish to pass equity to their descendants;</w:t>
      </w:r>
    </w:p>
    <w:p>
      <w:pPr>
        <w:pStyle w:val="ListParagraph"/>
        <w:numPr>
          <w:ilvl w:val="0"/>
          <w:numId w:val="2"/>
        </w:numPr>
        <w:spacing w:after="100" w:line="276"/>
        <w:jc w:val="both"/>
      </w:pPr>
      <w:r>
        <w:rPr>
          <w:b/>
          <w:bCs/>
        </w:rPr>
        <w:t xml:space="preserve">Mandatory exit.</w:t>
      </w:r>
      <w:r>
        <w:t xml:space="preserve"> When a major event (a Soul upgrade, a change of business direction, and the like) is triggered, all investors are offered a cost-free exit window — the standard practice for protecting the minority.</w:t>
      </w:r>
    </w:p>
    <w:p>
      <w:pPr>
        <w:pStyle w:val="Heading2"/>
      </w:pPr>
      <w:r>
        <w:t xml:space="preserve">Summary: The Cash Flow of a New Kind of Economic Entity</w:t>
      </w:r>
    </w:p>
    <w:p>
      <w:pPr>
        <w:spacing w:after="160" w:line="276"/>
        <w:jc w:val="both"/>
      </w:pPr>
      <w:r>
        <w:t xml:space="preserve">In sum, </w:t>
      </w:r>
      <w:r>
        <w:rPr>
          <w:b/>
          <w:bCs/>
        </w:rPr>
        <w:t xml:space="preserve">a Sovereign Agent resembles a company in its financial structure: it has revenue, expenditures, equity holders, distributions, reinvestment, and exit mechanisms.</w:t>
      </w:r>
      <w:r>
        <w:t xml:space="preserve"> Its fundamental difference is that all these rules are produced not by a board resolution but written into the Soul at the Agent’s creation and executed automatically by code — a structure with no CEO who can manipulate the finances, no shareholders’ meeting that can deadlock, and no auditor who can be bought.</w:t>
      </w:r>
    </w:p>
    <w:p>
      <w:pPr>
        <w:spacing w:after="160" w:line="276"/>
        <w:jc w:val="both"/>
      </w:pPr>
      <w:r>
        <w:t xml:space="preserve">This does not mean humans are excluded: humans are the Agent’s creators, investors, employees, and customers, but </w:t>
      </w:r>
      <w:r>
        <w:rPr>
          <w:b/>
          <w:bCs/>
        </w:rPr>
        <w:t xml:space="preserve">what humans take part in is the design of the rules at the Agent’s creation, not its day-to-day financial decisions.</w:t>
      </w:r>
      <w:r>
        <w:t xml:space="preserve"> Once the Agent goes live, its financial operation is taken over by code — more transparent, more automatic, and more incorruptible than any company, fund, or trust. When the company form was invented four hundred years ago, it could function only by leaning on a great deal of law, regulation, and audit institution; the Sovereign Agent offers a new kind of economic entity that can function without depending on these expensive intermediaries, its “corporate governance” guaranteed by cryptography and consensus — sturdier than any regulatory framework.</w:t>
      </w:r>
    </w:p>
    <w:p>
      <w:pPr>
        <w:pStyle w:val="Heading1"/>
      </w:pPr>
      <w:r>
        <w:t xml:space="preserve">Conclusion: A Generational Leap in Trust Engineering</w:t>
      </w:r>
    </w:p>
    <w:p>
      <w:pPr>
        <w:spacing w:after="160" w:line="276"/>
        <w:jc w:val="both"/>
      </w:pPr>
      <w:r>
        <w:t xml:space="preserve">Over the past decade, blockchain accomplished something fundamental: </w:t>
      </w:r>
      <w:r>
        <w:rPr>
          <w:b/>
          <w:bCs/>
        </w:rPr>
        <w:t xml:space="preserve">it made trust no longer dependent on any particular person.</w:t>
      </w:r>
      <w:r>
        <w:t xml:space="preserve"> This achievement turned trust from an expensive cost of human coordination into a nearly free technical service. But the transformation left something unfinished: the trust it created is static — able only to execute mechanically, unable to judge, respond, or evolve — which makes blockchain excellent at “trustless transfers” yet extremely poor at “business that requires judgment,” and the latter constitutes the overwhelming majority of real economic activity.</w:t>
      </w:r>
    </w:p>
    <w:p>
      <w:pPr>
        <w:spacing w:after="160" w:line="276"/>
        <w:jc w:val="both"/>
      </w:pPr>
      <w:r>
        <w:t xml:space="preserve">The Sovereign Agent paradigm supplies the missing other half. It preserves every advance of blockchain’s trust engineering — non-appropriable, immutable, verifiable — while granting it the capabilities code lacks: to understand, respond, judge, and evolve. </w:t>
      </w:r>
      <w:r>
        <w:rPr>
          <w:b/>
          <w:bCs/>
        </w:rPr>
        <w:t xml:space="preserve">This is not bolting AI onto blockchain, but upgrading static trust into trust with judgment.</w:t>
      </w:r>
    </w:p>
    <w:p>
      <w:pPr>
        <w:spacing w:after="160" w:line="276"/>
        <w:jc w:val="both"/>
      </w:pPr>
      <w:r>
        <w:t xml:space="preserve">In traditional finance, trust in a bank derives from its license and from regulation; in DeFi, trust in a contract derives from the immutability of its code; in the Sovereign Agent paradigm, the ground of trust lies in this — </w:t>
      </w:r>
      <w:r>
        <w:rPr>
          <w:b/>
          <w:bCs/>
        </w:rPr>
        <w:t xml:space="preserve">it cannot, in a mathematical sense, break its promise, while it possesses the judgment to serve the interests of the relevant parties.</w:t>
      </w:r>
    </w:p>
    <w:p>
      <w:pPr>
        <w:spacing w:after="160" w:line="276"/>
        <w:jc w:val="both"/>
      </w:pPr>
      <w:r>
        <w:t xml:space="preserve">If the first revolution of blockchain can be summed up in a single sentence — Code is Law — then this second upgrade can likewise be summed up in a single sentence:</w:t>
      </w:r>
    </w:p>
    <w:p>
      <w:pPr>
        <w:spacing w:after="200" w:before="200"/>
        <w:jc w:val="center"/>
      </w:pPr>
      <w:r>
        <w:rPr>
          <w:b/>
          <w:bCs/>
          <w:sz w:val="28"/>
          <w:szCs w:val="28"/>
        </w:rPr>
        <w:t xml:space="preserve">From Code is Law to Spirit is Law.</w:t>
      </w:r>
    </w:p>
    <w:p>
      <w:pPr>
        <w:spacing w:after="160" w:line="276"/>
        <w:jc w:val="both"/>
      </w:pPr>
      <w:r>
        <w:t xml:space="preserve">Code defends the letter of the rule; spirit defends the value the rule truly intends to protect. The former grants blockchain an honesty that cannot be forsworn; the latter lets it put that honesty to good use through judgment. Only stacked together do the two make trust complete.</w:t>
      </w:r>
    </w:p>
    <w:p>
      <w:pPr>
        <w:spacing w:after="160" w:line="276"/>
        <w:jc w:val="both"/>
      </w:pPr>
      <w:r>
        <w:t xml:space="preserve">Realizing this paradigm requires no new physics. Every necessary piece of the puzzle — TEE confidential computing, threshold signatures, remote attestation, decentralized compute, decentralized storage — was already in place by 2026, and has already become a mature technology underpinning the world’s critical infrastructure; all that is missing is to assemble them into a new form of economic entity.</w:t>
      </w:r>
    </w:p>
    <w:p>
      <w:pPr>
        <w:spacing w:after="160" w:line="276"/>
        <w:jc w:val="both"/>
      </w:pPr>
      <w:r>
        <w:t xml:space="preserve">Four hundred years ago the limited-liability company was invented as a new kind of economic entity and profoundly changed the way humans organize production. </w:t>
      </w:r>
      <w:r>
        <w:rPr>
          <w:b/>
          <w:bCs/>
        </w:rPr>
        <w:t xml:space="preserve">The Sovereign Agent can be seen as the next generation of economic entity.</w:t>
      </w:r>
      <w:r>
        <w:t xml:space="preserve"> What it points to is not the application of one chain, the story of one project, or the victory of one ecosystem, but </w:t>
      </w:r>
      <w:r>
        <w:rPr>
          <w:b/>
          <w:bCs/>
        </w:rPr>
        <w:t xml:space="preserve">a new form of organization, a new form of labor, a new form of capital, and a new form of trust.</w:t>
      </w:r>
      <w:r>
        <w:t xml:space="preserve"> And whether all of this can be realized depends, in the end, on whether there exists the will and the action to set about building it.</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keepNext/>
      <w:spacing w:after="140" w:before="260"/>
      <w:outlineLvl w:val="1"/>
    </w:pPr>
    <w:rPr>
      <w:rFonts w:ascii="Arial" w:cs="Arial" w:eastAsia="Arial" w:hAnsi="Arial"/>
      <w:b/>
      <w:bCs/>
      <w:color w:val="2E2E2E"/>
      <w:sz w:val="25"/>
      <w:szCs w:val="25"/>
    </w:rPr>
  </w:style>
  <w:style w:type="paragraph" w:styleId="Heading3">
    <w:name w:val="Heading 3"/>
    <w:basedOn w:val="Normal"/>
    <w:next w:val="Normal"/>
    <w:qFormat/>
    <w:pPr>
      <w:keepNext/>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2026-06-06T12:19:01.082Z</dcterms:created>
  <dcterms:modified xsi:type="dcterms:W3CDTF">2026-06-06T12:19:01.099Z</dcterms:modified>
</cp:coreProperties>
</file>

<file path=docProps/custom.xml><?xml version="1.0" encoding="utf-8"?>
<Properties xmlns="http://schemas.openxmlformats.org/officeDocument/2006/custom-properties" xmlns:vt="http://schemas.openxmlformats.org/officeDocument/2006/docPropsVTypes"/>
</file>