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8F84B" w14:textId="77777777" w:rsidR="008436A4" w:rsidRDefault="00000000">
      <w:pPr>
        <w:pStyle w:val="1"/>
        <w:spacing w:line="288" w:lineRule="auto"/>
        <w:jc w:val="center"/>
        <w:rPr>
          <w:rFonts w:hint="eastAsia"/>
          <w:lang w:eastAsia="zh-CN"/>
        </w:rPr>
      </w:pPr>
      <w:r>
        <w:rPr>
          <w:rFonts w:ascii="微软雅黑" w:eastAsia="微软雅黑" w:hAnsi="微软雅黑" w:hint="eastAsia"/>
          <w:noProof/>
          <w:sz w:val="40"/>
          <w:lang w:eastAsia="zh-CN"/>
        </w:rPr>
        <w:t>儿童粗大运动评定量表（GMFM）应用指南【详解】</w:t>
      </w:r>
    </w:p>
    <w:p w14:paraId="3E89F457" w14:textId="77777777" w:rsidR="008436A4" w:rsidRDefault="00000000">
      <w:pPr>
        <w:spacing w:line="288" w:lineRule="auto"/>
        <w:ind w:firstLineChars="200" w:firstLine="480"/>
        <w:jc w:val="left"/>
      </w:pPr>
      <w:r>
        <w:rPr>
          <w:rFonts w:ascii="微软雅黑" w:eastAsia="微软雅黑" w:hAnsi="微软雅黑" w:hint="eastAsia"/>
          <w:noProof/>
          <w:color w:val="000000"/>
          <w:sz w:val="24"/>
          <w:lang w:eastAsia="zh-CN"/>
        </w:rPr>
        <w:t>在儿童康复与发展领域，准确评估粗大运动功能是制定有效干预方案的第一步。</w:t>
      </w:r>
      <w:r>
        <w:rPr>
          <w:rFonts w:ascii="微软雅黑" w:eastAsia="微软雅黑" w:hAnsi="微软雅黑" w:hint="eastAsia"/>
          <w:noProof/>
          <w:color w:val="000000"/>
          <w:sz w:val="24"/>
        </w:rPr>
        <w:t>儿童粗大运动评定量表（Gross Motor Function Measure, GMFM）正是为此而生的金牌标准工具。本文将带您全面了解GMFM，从其诞生背景到详细使用方法，再到结果解读与实际应用，为您提供一份清晰实用的指南。</w:t>
      </w:r>
    </w:p>
    <w:p w14:paraId="4D6F960F"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GMFM是什么？为何重要？</w:t>
      </w:r>
    </w:p>
    <w:p w14:paraId="4CDC8FDF"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GMFM由Russell等学者于1989年开发，是一种标准化、定量化的评估工具，专门用于测量脑瘫及其他运动障碍儿童的粗大运动功能随时间或干预而产生的变化。它的科学性、可靠性和有效性使其在全球康复界、特教领域及科研中被广泛应用。</w:t>
      </w:r>
    </w:p>
    <w:p w14:paraId="4488305C"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GMFM的精髓在于，它将儿童从仰卧到奔跑跳跃的完整运动发育链条，分解为一系列可观察、可测量的具体行为。通过评估这些行为，我们不仅能了解孩子当前“能做到什么”，更能客观地追踪其进步，为康复治疗、教育安置和生活辅助提供至关重要的决策依据。</w:t>
      </w:r>
    </w:p>
    <w:p w14:paraId="37B404CD"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GMFM的两个核心版本：88项与66项</w:t>
      </w:r>
    </w:p>
    <w:p w14:paraId="1028FBFA"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GMFM主要包含两个版本，以适应不同场景的需求。</w:t>
      </w:r>
    </w:p>
    <w:p w14:paraId="0F574E96" w14:textId="77777777" w:rsidR="008436A4" w:rsidRDefault="00000000">
      <w:pPr>
        <w:spacing w:line="288" w:lineRule="auto"/>
        <w:ind w:firstLineChars="200" w:firstLine="480"/>
        <w:jc w:val="left"/>
      </w:pPr>
      <w:r>
        <w:rPr>
          <w:rFonts w:ascii="微软雅黑" w:eastAsia="微软雅黑" w:hAnsi="微软雅黑" w:hint="eastAsia"/>
          <w:b/>
          <w:noProof/>
          <w:color w:val="000000"/>
          <w:sz w:val="24"/>
        </w:rPr>
        <w:t>GMFM-88</w:t>
      </w:r>
      <w:r>
        <w:rPr>
          <w:rFonts w:ascii="微软雅黑" w:eastAsia="微软雅黑" w:hAnsi="微软雅黑" w:hint="eastAsia"/>
          <w:noProof/>
          <w:color w:val="000000"/>
          <w:sz w:val="24"/>
        </w:rPr>
        <w:t>：</w:t>
      </w:r>
      <w:r>
        <w:rPr>
          <w:rFonts w:ascii="微软雅黑" w:eastAsia="微软雅黑" w:hAnsi="微软雅黑" w:hint="eastAsia"/>
          <w:b/>
          <w:noProof/>
          <w:color w:val="000000"/>
          <w:sz w:val="24"/>
        </w:rPr>
        <w:t>完整评估版</w:t>
      </w:r>
      <w:r>
        <w:rPr>
          <w:rFonts w:ascii="微软雅黑" w:eastAsia="微软雅黑" w:hAnsi="微软雅黑" w:hint="eastAsia"/>
          <w:noProof/>
          <w:color w:val="000000"/>
          <w:sz w:val="24"/>
        </w:rPr>
        <w:t>。包含88个项目，全面覆盖粗大运动的五个维度（能区），适用于需要获取最详尽信息的研究、初次全面评估或制定精细化康复计划的情况。</w:t>
      </w:r>
    </w:p>
    <w:p w14:paraId="236E7CC7" w14:textId="77777777" w:rsidR="008436A4" w:rsidRDefault="00000000">
      <w:pPr>
        <w:spacing w:line="288" w:lineRule="auto"/>
        <w:ind w:firstLineChars="200" w:firstLine="480"/>
        <w:jc w:val="left"/>
      </w:pPr>
      <w:r>
        <w:rPr>
          <w:rFonts w:ascii="微软雅黑" w:eastAsia="微软雅黑" w:hAnsi="微软雅黑" w:hint="eastAsia"/>
          <w:b/>
          <w:noProof/>
          <w:color w:val="000000"/>
          <w:sz w:val="24"/>
        </w:rPr>
        <w:lastRenderedPageBreak/>
        <w:t>GMFM-66</w:t>
      </w:r>
      <w:r>
        <w:rPr>
          <w:rFonts w:ascii="微软雅黑" w:eastAsia="微软雅黑" w:hAnsi="微软雅黑" w:hint="eastAsia"/>
          <w:noProof/>
          <w:color w:val="000000"/>
          <w:sz w:val="24"/>
        </w:rPr>
        <w:t>：</w:t>
      </w:r>
      <w:r>
        <w:rPr>
          <w:rFonts w:ascii="微软雅黑" w:eastAsia="微软雅黑" w:hAnsi="微软雅黑" w:hint="eastAsia"/>
          <w:b/>
          <w:noProof/>
          <w:color w:val="000000"/>
          <w:sz w:val="24"/>
        </w:rPr>
        <w:t>简化高效版</w:t>
      </w:r>
      <w:r>
        <w:rPr>
          <w:rFonts w:ascii="微软雅黑" w:eastAsia="微软雅黑" w:hAnsi="微软雅黑" w:hint="eastAsia"/>
          <w:noProof/>
          <w:color w:val="000000"/>
          <w:sz w:val="24"/>
        </w:rPr>
        <w:t>。从88项中精选出66个最具代表性和区分度的项目构成。它在保证评估效度的前提下，大幅节省了时间，更适用于定期随访、筛查或时间有限的临床环境。</w:t>
      </w:r>
    </w:p>
    <w:p w14:paraId="60B59F2E"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两个版本均共享相同的五大能区结构，这五个能区遵循着儿童运动发育的自然顺序：</w:t>
      </w:r>
    </w:p>
    <w:p w14:paraId="32A88D17"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1、</w:t>
      </w:r>
      <w:r>
        <w:rPr>
          <w:rFonts w:ascii="微软雅黑" w:eastAsia="微软雅黑" w:hAnsi="微软雅黑" w:hint="eastAsia"/>
          <w:b/>
          <w:noProof/>
          <w:color w:val="000000"/>
          <w:sz w:val="24"/>
          <w:lang w:eastAsia="zh-CN"/>
        </w:rPr>
        <w:t>A区：躺和翻身</w:t>
      </w:r>
      <w:r>
        <w:rPr>
          <w:rFonts w:ascii="微软雅黑" w:eastAsia="微软雅黑" w:hAnsi="微软雅黑" w:hint="eastAsia"/>
          <w:noProof/>
          <w:color w:val="000000"/>
          <w:sz w:val="24"/>
          <w:lang w:eastAsia="zh-CN"/>
        </w:rPr>
        <w:t xml:space="preserve"> - 评估头部控制、躯干屈曲、四肢活动及翻身能力。这是所有运动发展的基石。</w:t>
      </w:r>
    </w:p>
    <w:p w14:paraId="07397BFB"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2、</w:t>
      </w:r>
      <w:r>
        <w:rPr>
          <w:rFonts w:ascii="微软雅黑" w:eastAsia="微软雅黑" w:hAnsi="微软雅黑" w:hint="eastAsia"/>
          <w:b/>
          <w:noProof/>
          <w:color w:val="000000"/>
          <w:sz w:val="24"/>
          <w:lang w:eastAsia="zh-CN"/>
        </w:rPr>
        <w:t>B区：坐</w:t>
      </w:r>
      <w:r>
        <w:rPr>
          <w:rFonts w:ascii="微软雅黑" w:eastAsia="微软雅黑" w:hAnsi="微软雅黑" w:hint="eastAsia"/>
          <w:noProof/>
          <w:color w:val="000000"/>
          <w:sz w:val="24"/>
          <w:lang w:eastAsia="zh-CN"/>
        </w:rPr>
        <w:t xml:space="preserve"> - 评估坐位平衡的维持、坐姿下的重心转移以及手在坐位时够取物品的能力。稳定的坐姿是孩子参与桌面活动和学习的前提。</w:t>
      </w:r>
    </w:p>
    <w:p w14:paraId="435610BE"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3、</w:t>
      </w:r>
      <w:r>
        <w:rPr>
          <w:rFonts w:ascii="微软雅黑" w:eastAsia="微软雅黑" w:hAnsi="微软雅黑" w:hint="eastAsia"/>
          <w:b/>
          <w:noProof/>
          <w:color w:val="000000"/>
          <w:sz w:val="24"/>
          <w:lang w:eastAsia="zh-CN"/>
        </w:rPr>
        <w:t>C区：爬和跪</w:t>
      </w:r>
      <w:r>
        <w:rPr>
          <w:rFonts w:ascii="微软雅黑" w:eastAsia="微软雅黑" w:hAnsi="微软雅黑" w:hint="eastAsia"/>
          <w:noProof/>
          <w:color w:val="000000"/>
          <w:sz w:val="24"/>
          <w:lang w:eastAsia="zh-CN"/>
        </w:rPr>
        <w:t xml:space="preserve"> - 评估腹爬、四爬、以及爬与坐、跪姿势之间的转换。这一阶段对协调性、空间感知和肢体力量发展至关重要。</w:t>
      </w:r>
    </w:p>
    <w:p w14:paraId="57CD2A94"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4、</w:t>
      </w:r>
      <w:r>
        <w:rPr>
          <w:rFonts w:ascii="微软雅黑" w:eastAsia="微软雅黑" w:hAnsi="微软雅黑" w:hint="eastAsia"/>
          <w:b/>
          <w:noProof/>
          <w:color w:val="000000"/>
          <w:sz w:val="24"/>
          <w:lang w:eastAsia="zh-CN"/>
        </w:rPr>
        <w:t>D区：站</w:t>
      </w:r>
      <w:r>
        <w:rPr>
          <w:rFonts w:ascii="微软雅黑" w:eastAsia="微软雅黑" w:hAnsi="微软雅黑" w:hint="eastAsia"/>
          <w:noProof/>
          <w:color w:val="000000"/>
          <w:sz w:val="24"/>
          <w:lang w:eastAsia="zh-CN"/>
        </w:rPr>
        <w:t xml:space="preserve"> - 评估从有支撑到独立的站立能力、站立位平衡以及单腿站立等。这是走向独立行走的关键准备。</w:t>
      </w:r>
    </w:p>
    <w:p w14:paraId="74E75CA2"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5、</w:t>
      </w:r>
      <w:r>
        <w:rPr>
          <w:rFonts w:ascii="微软雅黑" w:eastAsia="微软雅黑" w:hAnsi="微软雅黑" w:hint="eastAsia"/>
          <w:b/>
          <w:noProof/>
          <w:color w:val="000000"/>
          <w:sz w:val="24"/>
          <w:lang w:eastAsia="zh-CN"/>
        </w:rPr>
        <w:t>E区：走、跑和跳</w:t>
      </w:r>
      <w:r>
        <w:rPr>
          <w:rFonts w:ascii="微软雅黑" w:eastAsia="微软雅黑" w:hAnsi="微软雅黑" w:hint="eastAsia"/>
          <w:noProof/>
          <w:color w:val="000000"/>
          <w:sz w:val="24"/>
          <w:lang w:eastAsia="zh-CN"/>
        </w:rPr>
        <w:t xml:space="preserve"> - 评估行走的质与量、跑步、跳跃及在移动中完成技巧（如捡物、转向）的能力。代表最高级的运动技能。</w:t>
      </w:r>
    </w:p>
    <w:p w14:paraId="6AD9B021"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如何使用GMFM？评分与解读详解</w:t>
      </w:r>
    </w:p>
    <w:p w14:paraId="3C46D6CD"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评估者通过直接观察或引导孩子完成各能区的具体项目（例如：“能否独立维持坐位30秒？”“能否双脚跳离地面？”），并依据以下标准进行评分：</w:t>
      </w:r>
    </w:p>
    <w:p w14:paraId="04AB5736" w14:textId="77777777" w:rsidR="008436A4" w:rsidRDefault="00000000">
      <w:pPr>
        <w:spacing w:line="288" w:lineRule="auto"/>
        <w:jc w:val="center"/>
      </w:pPr>
      <w:r>
        <w:rPr>
          <w:rFonts w:ascii="微软雅黑" w:eastAsia="微软雅黑" w:hAnsi="微软雅黑" w:hint="eastAsia"/>
          <w:noProof/>
          <w:color w:val="000000"/>
          <w:sz w:val="24"/>
        </w:rPr>
        <w:t>GMFM 4级评分标准</w:t>
      </w:r>
    </w:p>
    <w:tbl>
      <w:tblPr>
        <w:tblW w:w="5000" w:type="pct"/>
        <w:tblLook w:val="04A0" w:firstRow="1" w:lastRow="0" w:firstColumn="1" w:lastColumn="0" w:noHBand="0" w:noVBand="1"/>
      </w:tblPr>
      <w:tblGrid>
        <w:gridCol w:w="634"/>
        <w:gridCol w:w="7656"/>
      </w:tblGrid>
      <w:tr w:rsidR="008436A4" w14:paraId="65A11FD1" w14:textId="77777777">
        <w:tc>
          <w:tcPr>
            <w:tcW w:w="0" w:type="auto"/>
            <w:tcBorders>
              <w:top w:val="single" w:sz="6" w:space="0" w:color="222222"/>
              <w:left w:val="single" w:sz="6" w:space="0" w:color="222222"/>
              <w:bottom w:val="single" w:sz="6" w:space="0" w:color="222222"/>
              <w:right w:val="single" w:sz="6" w:space="0" w:color="222222"/>
            </w:tcBorders>
          </w:tcPr>
          <w:p w14:paraId="3C3D52D6" w14:textId="77777777" w:rsidR="008436A4" w:rsidRDefault="00000000">
            <w:pPr>
              <w:spacing w:line="288" w:lineRule="auto"/>
              <w:jc w:val="left"/>
            </w:pPr>
            <w:r>
              <w:rPr>
                <w:rFonts w:ascii="微软雅黑" w:eastAsia="微软雅黑" w:hAnsi="微软雅黑" w:hint="eastAsia"/>
                <w:b/>
                <w:noProof/>
                <w:color w:val="000000"/>
                <w:sz w:val="24"/>
              </w:rPr>
              <w:t>评分</w:t>
            </w:r>
          </w:p>
        </w:tc>
        <w:tc>
          <w:tcPr>
            <w:tcW w:w="0" w:type="auto"/>
            <w:tcBorders>
              <w:top w:val="single" w:sz="6" w:space="0" w:color="222222"/>
              <w:left w:val="single" w:sz="6" w:space="0" w:color="222222"/>
              <w:bottom w:val="single" w:sz="6" w:space="0" w:color="222222"/>
              <w:right w:val="single" w:sz="6" w:space="0" w:color="222222"/>
            </w:tcBorders>
          </w:tcPr>
          <w:p w14:paraId="179FB9A1" w14:textId="77777777" w:rsidR="008436A4" w:rsidRDefault="00000000">
            <w:pPr>
              <w:spacing w:line="288" w:lineRule="auto"/>
              <w:jc w:val="left"/>
            </w:pPr>
            <w:r>
              <w:rPr>
                <w:rFonts w:ascii="微软雅黑" w:eastAsia="微软雅黑" w:hAnsi="微软雅黑" w:hint="eastAsia"/>
                <w:b/>
                <w:noProof/>
                <w:color w:val="000000"/>
                <w:sz w:val="24"/>
              </w:rPr>
              <w:t>描述</w:t>
            </w:r>
          </w:p>
        </w:tc>
      </w:tr>
      <w:tr w:rsidR="008436A4" w14:paraId="06D3EE6C" w14:textId="77777777">
        <w:tc>
          <w:tcPr>
            <w:tcW w:w="0" w:type="auto"/>
            <w:tcBorders>
              <w:top w:val="single" w:sz="6" w:space="0" w:color="222222"/>
              <w:left w:val="single" w:sz="6" w:space="0" w:color="222222"/>
              <w:bottom w:val="single" w:sz="6" w:space="0" w:color="222222"/>
              <w:right w:val="single" w:sz="6" w:space="0" w:color="222222"/>
            </w:tcBorders>
          </w:tcPr>
          <w:p w14:paraId="714E75F5" w14:textId="77777777" w:rsidR="008436A4" w:rsidRDefault="00000000">
            <w:pPr>
              <w:spacing w:line="288" w:lineRule="auto"/>
              <w:jc w:val="left"/>
            </w:pPr>
            <w:r>
              <w:rPr>
                <w:rFonts w:ascii="微软雅黑" w:eastAsia="微软雅黑" w:hAnsi="微软雅黑" w:hint="eastAsia"/>
                <w:b/>
                <w:noProof/>
                <w:color w:val="000000"/>
                <w:sz w:val="24"/>
              </w:rPr>
              <w:lastRenderedPageBreak/>
              <w:t>0分</w:t>
            </w:r>
          </w:p>
        </w:tc>
        <w:tc>
          <w:tcPr>
            <w:tcW w:w="0" w:type="auto"/>
            <w:tcBorders>
              <w:top w:val="single" w:sz="6" w:space="0" w:color="222222"/>
              <w:left w:val="single" w:sz="6" w:space="0" w:color="222222"/>
              <w:bottom w:val="single" w:sz="6" w:space="0" w:color="222222"/>
              <w:right w:val="single" w:sz="6" w:space="0" w:color="222222"/>
            </w:tcBorders>
          </w:tcPr>
          <w:p w14:paraId="6A101A75" w14:textId="77777777" w:rsidR="008436A4" w:rsidRDefault="00000000">
            <w:pPr>
              <w:spacing w:line="288" w:lineRule="auto"/>
              <w:jc w:val="left"/>
              <w:rPr>
                <w:lang w:eastAsia="zh-CN"/>
              </w:rPr>
            </w:pPr>
            <w:r>
              <w:rPr>
                <w:rFonts w:ascii="微软雅黑" w:eastAsia="微软雅黑" w:hAnsi="微软雅黑" w:hint="eastAsia"/>
                <w:b/>
                <w:noProof/>
                <w:color w:val="000000"/>
                <w:sz w:val="24"/>
                <w:lang w:eastAsia="zh-CN"/>
              </w:rPr>
              <w:t>完全不能完成</w:t>
            </w:r>
            <w:r>
              <w:rPr>
                <w:rFonts w:ascii="微软雅黑" w:eastAsia="微软雅黑" w:hAnsi="微软雅黑" w:hint="eastAsia"/>
                <w:noProof/>
                <w:color w:val="000000"/>
                <w:sz w:val="24"/>
                <w:lang w:eastAsia="zh-CN"/>
              </w:rPr>
              <w:t>：孩子无法做出该项目所要求的任何动作。</w:t>
            </w:r>
          </w:p>
        </w:tc>
      </w:tr>
      <w:tr w:rsidR="008436A4" w14:paraId="167A27E2" w14:textId="77777777">
        <w:tc>
          <w:tcPr>
            <w:tcW w:w="0" w:type="auto"/>
            <w:tcBorders>
              <w:top w:val="single" w:sz="6" w:space="0" w:color="222222"/>
              <w:left w:val="single" w:sz="6" w:space="0" w:color="222222"/>
              <w:bottom w:val="single" w:sz="6" w:space="0" w:color="222222"/>
              <w:right w:val="single" w:sz="6" w:space="0" w:color="222222"/>
            </w:tcBorders>
          </w:tcPr>
          <w:p w14:paraId="0B6E58A4" w14:textId="77777777" w:rsidR="008436A4" w:rsidRDefault="00000000">
            <w:pPr>
              <w:spacing w:line="288" w:lineRule="auto"/>
              <w:jc w:val="left"/>
            </w:pPr>
            <w:r>
              <w:rPr>
                <w:rFonts w:ascii="微软雅黑" w:eastAsia="微软雅黑" w:hAnsi="微软雅黑" w:hint="eastAsia"/>
                <w:b/>
                <w:noProof/>
                <w:color w:val="000000"/>
                <w:sz w:val="24"/>
              </w:rPr>
              <w:t>1分</w:t>
            </w:r>
          </w:p>
        </w:tc>
        <w:tc>
          <w:tcPr>
            <w:tcW w:w="0" w:type="auto"/>
            <w:tcBorders>
              <w:top w:val="single" w:sz="6" w:space="0" w:color="222222"/>
              <w:left w:val="single" w:sz="6" w:space="0" w:color="222222"/>
              <w:bottom w:val="single" w:sz="6" w:space="0" w:color="222222"/>
              <w:right w:val="single" w:sz="6" w:space="0" w:color="222222"/>
            </w:tcBorders>
          </w:tcPr>
          <w:p w14:paraId="234B2FEC" w14:textId="77777777" w:rsidR="008436A4" w:rsidRDefault="00000000">
            <w:pPr>
              <w:spacing w:line="288" w:lineRule="auto"/>
              <w:jc w:val="left"/>
              <w:rPr>
                <w:lang w:eastAsia="zh-CN"/>
              </w:rPr>
            </w:pPr>
            <w:r>
              <w:rPr>
                <w:rFonts w:ascii="微软雅黑" w:eastAsia="微软雅黑" w:hAnsi="微软雅黑" w:hint="eastAsia"/>
                <w:b/>
                <w:noProof/>
                <w:color w:val="000000"/>
                <w:sz w:val="24"/>
                <w:lang w:eastAsia="zh-CN"/>
              </w:rPr>
              <w:t>部分完成</w:t>
            </w:r>
            <w:r>
              <w:rPr>
                <w:rFonts w:ascii="微软雅黑" w:eastAsia="微软雅黑" w:hAnsi="微软雅黑" w:hint="eastAsia"/>
                <w:noProof/>
                <w:color w:val="000000"/>
                <w:sz w:val="24"/>
                <w:lang w:eastAsia="zh-CN"/>
              </w:rPr>
              <w:t>：孩子能启动动作或完成小部分，但表现远低于同龄正常水平，动作模式异常。</w:t>
            </w:r>
          </w:p>
        </w:tc>
      </w:tr>
      <w:tr w:rsidR="008436A4" w14:paraId="34F77A97" w14:textId="77777777">
        <w:tc>
          <w:tcPr>
            <w:tcW w:w="0" w:type="auto"/>
            <w:tcBorders>
              <w:top w:val="single" w:sz="6" w:space="0" w:color="222222"/>
              <w:left w:val="single" w:sz="6" w:space="0" w:color="222222"/>
              <w:bottom w:val="single" w:sz="6" w:space="0" w:color="222222"/>
              <w:right w:val="single" w:sz="6" w:space="0" w:color="222222"/>
            </w:tcBorders>
          </w:tcPr>
          <w:p w14:paraId="6758D6F3" w14:textId="77777777" w:rsidR="008436A4" w:rsidRDefault="00000000">
            <w:pPr>
              <w:spacing w:line="288" w:lineRule="auto"/>
              <w:jc w:val="left"/>
            </w:pPr>
            <w:r>
              <w:rPr>
                <w:rFonts w:ascii="微软雅黑" w:eastAsia="微软雅黑" w:hAnsi="微软雅黑" w:hint="eastAsia"/>
                <w:b/>
                <w:noProof/>
                <w:color w:val="000000"/>
                <w:sz w:val="24"/>
              </w:rPr>
              <w:t>2分</w:t>
            </w:r>
          </w:p>
        </w:tc>
        <w:tc>
          <w:tcPr>
            <w:tcW w:w="0" w:type="auto"/>
            <w:tcBorders>
              <w:top w:val="single" w:sz="6" w:space="0" w:color="222222"/>
              <w:left w:val="single" w:sz="6" w:space="0" w:color="222222"/>
              <w:bottom w:val="single" w:sz="6" w:space="0" w:color="222222"/>
              <w:right w:val="single" w:sz="6" w:space="0" w:color="222222"/>
            </w:tcBorders>
          </w:tcPr>
          <w:p w14:paraId="563B1DEA" w14:textId="77777777" w:rsidR="008436A4" w:rsidRDefault="00000000">
            <w:pPr>
              <w:spacing w:line="288" w:lineRule="auto"/>
              <w:jc w:val="left"/>
              <w:rPr>
                <w:lang w:eastAsia="zh-CN"/>
              </w:rPr>
            </w:pPr>
            <w:r>
              <w:rPr>
                <w:rFonts w:ascii="微软雅黑" w:eastAsia="微软雅黑" w:hAnsi="微软雅黑" w:hint="eastAsia"/>
                <w:b/>
                <w:noProof/>
                <w:color w:val="000000"/>
                <w:sz w:val="24"/>
                <w:lang w:eastAsia="zh-CN"/>
              </w:rPr>
              <w:t>完成但质量欠佳</w:t>
            </w:r>
            <w:r>
              <w:rPr>
                <w:rFonts w:ascii="微软雅黑" w:eastAsia="微软雅黑" w:hAnsi="微软雅黑" w:hint="eastAsia"/>
                <w:noProof/>
                <w:color w:val="000000"/>
                <w:sz w:val="24"/>
                <w:lang w:eastAsia="zh-CN"/>
              </w:rPr>
              <w:t>：孩子能完成整个动作，但在流畅性、速度、协调性或稳定性方面明显不足。</w:t>
            </w:r>
          </w:p>
        </w:tc>
      </w:tr>
      <w:tr w:rsidR="008436A4" w14:paraId="02333917" w14:textId="77777777">
        <w:tc>
          <w:tcPr>
            <w:tcW w:w="0" w:type="auto"/>
            <w:tcBorders>
              <w:top w:val="single" w:sz="6" w:space="0" w:color="222222"/>
              <w:left w:val="single" w:sz="6" w:space="0" w:color="222222"/>
              <w:bottom w:val="single" w:sz="6" w:space="0" w:color="222222"/>
              <w:right w:val="single" w:sz="6" w:space="0" w:color="222222"/>
            </w:tcBorders>
          </w:tcPr>
          <w:p w14:paraId="1526D1DE" w14:textId="77777777" w:rsidR="008436A4" w:rsidRDefault="00000000">
            <w:pPr>
              <w:spacing w:line="288" w:lineRule="auto"/>
              <w:jc w:val="left"/>
            </w:pPr>
            <w:r>
              <w:rPr>
                <w:rFonts w:ascii="微软雅黑" w:eastAsia="微软雅黑" w:hAnsi="微软雅黑" w:hint="eastAsia"/>
                <w:b/>
                <w:noProof/>
                <w:color w:val="000000"/>
                <w:sz w:val="24"/>
              </w:rPr>
              <w:t>3分</w:t>
            </w:r>
          </w:p>
        </w:tc>
        <w:tc>
          <w:tcPr>
            <w:tcW w:w="0" w:type="auto"/>
            <w:tcBorders>
              <w:top w:val="single" w:sz="6" w:space="0" w:color="222222"/>
              <w:left w:val="single" w:sz="6" w:space="0" w:color="222222"/>
              <w:bottom w:val="single" w:sz="6" w:space="0" w:color="222222"/>
              <w:right w:val="single" w:sz="6" w:space="0" w:color="222222"/>
            </w:tcBorders>
          </w:tcPr>
          <w:p w14:paraId="0D4DF16A" w14:textId="77777777" w:rsidR="008436A4" w:rsidRDefault="00000000">
            <w:pPr>
              <w:spacing w:line="288" w:lineRule="auto"/>
              <w:jc w:val="left"/>
              <w:rPr>
                <w:lang w:eastAsia="zh-CN"/>
              </w:rPr>
            </w:pPr>
            <w:r>
              <w:rPr>
                <w:rFonts w:ascii="微软雅黑" w:eastAsia="微软雅黑" w:hAnsi="微软雅黑" w:hint="eastAsia"/>
                <w:b/>
                <w:noProof/>
                <w:color w:val="000000"/>
                <w:sz w:val="24"/>
                <w:lang w:eastAsia="zh-CN"/>
              </w:rPr>
              <w:t>熟练完成</w:t>
            </w:r>
            <w:r>
              <w:rPr>
                <w:rFonts w:ascii="微软雅黑" w:eastAsia="微软雅黑" w:hAnsi="微软雅黑" w:hint="eastAsia"/>
                <w:noProof/>
                <w:color w:val="000000"/>
                <w:sz w:val="24"/>
                <w:lang w:eastAsia="zh-CN"/>
              </w:rPr>
              <w:t>：孩子能轻松、流畅地完成动作，质量与同龄正常儿童相当。</w:t>
            </w:r>
          </w:p>
        </w:tc>
      </w:tr>
    </w:tbl>
    <w:p w14:paraId="0221E912"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评分完成后，通过计算各能区得分百分比和总得分百分比，可以将原始分数转化为更直观的能力水平指标。</w:t>
      </w:r>
    </w:p>
    <w:p w14:paraId="69F7167B"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结果解读示例：</w:t>
      </w:r>
    </w:p>
    <w:p w14:paraId="47264D56"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假设一个孩子在GMFM-88的评估中，总原始得分为185分（满分264分），那么他的总百分比得分为：(185 / 264) * 100% ≈ 70%。</w:t>
      </w:r>
    </w:p>
    <w:p w14:paraId="2371BA94"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整体解读</w:t>
      </w:r>
      <w:r>
        <w:rPr>
          <w:rFonts w:ascii="微软雅黑" w:eastAsia="微软雅黑" w:hAnsi="微软雅黑" w:hint="eastAsia"/>
          <w:noProof/>
          <w:color w:val="000000"/>
          <w:sz w:val="24"/>
          <w:lang w:eastAsia="zh-CN"/>
        </w:rPr>
        <w:t>：该儿童粗大运动功能处于中等偏上水平，约具备同龄儿童70%的典型运动能力。多数基础运动已掌握，但在更复杂、需要高协调性或力量的活动上可能存在挑战。</w:t>
      </w:r>
    </w:p>
    <w:p w14:paraId="5D0F8D8A"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分能区解读</w:t>
      </w:r>
      <w:r>
        <w:rPr>
          <w:rFonts w:ascii="微软雅黑" w:eastAsia="微软雅黑" w:hAnsi="微软雅黑" w:hint="eastAsia"/>
          <w:noProof/>
          <w:color w:val="000000"/>
          <w:sz w:val="24"/>
          <w:lang w:eastAsia="zh-CN"/>
        </w:rPr>
        <w:t>：进一步分析各能区百分比得分。如果其“走、跑、跳”（E区）得分仅为50%，而“坐”（B区）得分达90%，则说明孩子的静态姿势控制良好，但动态移动和高级运动技能是明显的短板。这提示康复和训练应重点针对E区进行。</w:t>
      </w:r>
    </w:p>
    <w:p w14:paraId="38B5D5CD"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给家长的解读提示</w:t>
      </w:r>
      <w:r>
        <w:rPr>
          <w:rFonts w:ascii="微软雅黑" w:eastAsia="微软雅黑" w:hAnsi="微软雅黑" w:hint="eastAsia"/>
          <w:noProof/>
          <w:color w:val="000000"/>
          <w:sz w:val="24"/>
          <w:lang w:eastAsia="zh-CN"/>
        </w:rPr>
        <w:t>：不要过分纠结于具体百分比数字，而应关注“趋势”。一段时间后再次评估，分数的提升（哪怕只有几个百分点）都意味着实实在在的进步。评估报告中的描述性评语往往比分数更能揭示孩子的具体优势和困难模式。</w:t>
      </w:r>
    </w:p>
    <w:p w14:paraId="32D7FE2D"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lastRenderedPageBreak/>
        <w:t>GMFM的多维度应用场景</w:t>
      </w:r>
    </w:p>
    <w:p w14:paraId="233EE2FC"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GMFM的价值远超出一份评估报告，它能在多个领域扮演核心角色：</w:t>
      </w:r>
    </w:p>
    <w:p w14:paraId="3E96A0D5"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临床康复领域</w:t>
      </w:r>
      <w:r>
        <w:rPr>
          <w:rFonts w:ascii="微软雅黑" w:eastAsia="微软雅黑" w:hAnsi="微软雅黑" w:hint="eastAsia"/>
          <w:noProof/>
          <w:color w:val="000000"/>
          <w:sz w:val="24"/>
          <w:lang w:eastAsia="zh-CN"/>
        </w:rPr>
        <w:t>：</w:t>
      </w:r>
    </w:p>
    <w:p w14:paraId="33A4E991"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脑瘫康复的核心标尺</w:t>
      </w:r>
      <w:r>
        <w:rPr>
          <w:rFonts w:ascii="微软雅黑" w:eastAsia="微软雅黑" w:hAnsi="微软雅黑" w:hint="eastAsia"/>
          <w:noProof/>
          <w:color w:val="000000"/>
          <w:sz w:val="24"/>
          <w:lang w:eastAsia="zh-CN"/>
        </w:rPr>
        <w:t>：从诊断到治疗全程，用于设定基线、制定个性化方案（PT/OT）、监控疗效、调整策略。</w:t>
      </w:r>
    </w:p>
    <w:p w14:paraId="58A11F83"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其他运动障碍的评估</w:t>
      </w:r>
      <w:r>
        <w:rPr>
          <w:rFonts w:ascii="微软雅黑" w:eastAsia="微软雅黑" w:hAnsi="微软雅黑" w:hint="eastAsia"/>
          <w:noProof/>
          <w:color w:val="000000"/>
          <w:sz w:val="24"/>
          <w:lang w:eastAsia="zh-CN"/>
        </w:rPr>
        <w:t>：同样适用于发育迟缓、肌营养不良、脊髓损伤等疾病导致的运动功能评估。</w:t>
      </w:r>
    </w:p>
    <w:p w14:paraId="3842DB80"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教育领域</w:t>
      </w:r>
      <w:r>
        <w:rPr>
          <w:rFonts w:ascii="微软雅黑" w:eastAsia="微软雅黑" w:hAnsi="微软雅黑" w:hint="eastAsia"/>
          <w:noProof/>
          <w:color w:val="000000"/>
          <w:sz w:val="24"/>
          <w:lang w:eastAsia="zh-CN"/>
        </w:rPr>
        <w:t>：</w:t>
      </w:r>
    </w:p>
    <w:p w14:paraId="77EBA174"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特殊教育</w:t>
      </w:r>
      <w:r>
        <w:rPr>
          <w:rFonts w:ascii="微软雅黑" w:eastAsia="微软雅黑" w:hAnsi="微软雅黑" w:hint="eastAsia"/>
          <w:noProof/>
          <w:color w:val="000000"/>
          <w:sz w:val="24"/>
          <w:lang w:eastAsia="zh-CN"/>
        </w:rPr>
        <w:t>：帮助特教老师准确了解学生的运动能力，用以设计个性化的体育课、安排座位、调整活动场地，确保安全与有效参与。</w:t>
      </w:r>
    </w:p>
    <w:p w14:paraId="259DC4D2"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随班就读支持</w:t>
      </w:r>
      <w:r>
        <w:rPr>
          <w:rFonts w:ascii="微软雅黑" w:eastAsia="微软雅黑" w:hAnsi="微软雅黑" w:hint="eastAsia"/>
          <w:noProof/>
          <w:color w:val="000000"/>
          <w:sz w:val="24"/>
          <w:lang w:eastAsia="zh-CN"/>
        </w:rPr>
        <w:t>：让普通学校的老师理解有运动障碍学生的需求，在体育测评、课间活动等方面提供合理调整和支持。</w:t>
      </w:r>
    </w:p>
    <w:p w14:paraId="30947280"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科学研究领域</w:t>
      </w:r>
      <w:r>
        <w:rPr>
          <w:rFonts w:ascii="微软雅黑" w:eastAsia="微软雅黑" w:hAnsi="微软雅黑" w:hint="eastAsia"/>
          <w:noProof/>
          <w:color w:val="000000"/>
          <w:sz w:val="24"/>
          <w:lang w:eastAsia="zh-CN"/>
        </w:rPr>
        <w:t>：</w:t>
      </w:r>
    </w:p>
    <w:p w14:paraId="49F9538B"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运动发育规律研究</w:t>
      </w:r>
      <w:r>
        <w:rPr>
          <w:rFonts w:ascii="微软雅黑" w:eastAsia="微软雅黑" w:hAnsi="微软雅黑" w:hint="eastAsia"/>
          <w:noProof/>
          <w:color w:val="000000"/>
          <w:sz w:val="24"/>
          <w:lang w:eastAsia="zh-CN"/>
        </w:rPr>
        <w:t>：作为标准化工具，用于探讨不同群体（如早产儿）的运动发育轨迹。</w:t>
      </w:r>
    </w:p>
    <w:p w14:paraId="7D06DA6D"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康复干预效果论证</w:t>
      </w:r>
      <w:r>
        <w:rPr>
          <w:rFonts w:ascii="微软雅黑" w:eastAsia="微软雅黑" w:hAnsi="微软雅黑" w:hint="eastAsia"/>
          <w:noProof/>
          <w:color w:val="000000"/>
          <w:sz w:val="24"/>
          <w:lang w:eastAsia="zh-CN"/>
        </w:rPr>
        <w:t>：作为核心结局指标，客观比较不同康复技术、疗法或器械的有效性。</w:t>
      </w:r>
    </w:p>
    <w:p w14:paraId="0AF68D20"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给不同使用者的行动建议</w:t>
      </w:r>
    </w:p>
    <w:p w14:paraId="2F90AC1D"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给康复治疗师</w:t>
      </w:r>
      <w:r>
        <w:rPr>
          <w:rFonts w:ascii="微软雅黑" w:eastAsia="微软雅黑" w:hAnsi="微软雅黑" w:hint="eastAsia"/>
          <w:noProof/>
          <w:color w:val="000000"/>
          <w:sz w:val="24"/>
          <w:lang w:eastAsia="zh-CN"/>
        </w:rPr>
        <w:t>：将GMFM评估结果直接转化为治疗目标。例如，若孩子“从跪立位转换为站立位”（C12）得分为0或1，则可将此作为下一阶段的重点训练任务。</w:t>
      </w:r>
    </w:p>
    <w:p w14:paraId="5C27A3CF"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lastRenderedPageBreak/>
        <w:t>给家长和家庭</w:t>
      </w:r>
      <w:r>
        <w:rPr>
          <w:rFonts w:ascii="微软雅黑" w:eastAsia="微软雅黑" w:hAnsi="微软雅黑" w:hint="eastAsia"/>
          <w:noProof/>
          <w:color w:val="000000"/>
          <w:sz w:val="24"/>
          <w:lang w:eastAsia="zh-CN"/>
        </w:rPr>
        <w:t>：评估报告是家庭训练的“地图”。治疗师会根据薄弱项给出家庭活动建议（如通过游戏练习翻身、在安全环境下练习扶站）。家庭的重点是创造机会、积极鼓励，并将训练自然融入日常生活。</w:t>
      </w:r>
    </w:p>
    <w:p w14:paraId="77C41CC7"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给学校老师</w:t>
      </w:r>
      <w:r>
        <w:rPr>
          <w:rFonts w:ascii="微软雅黑" w:eastAsia="微软雅黑" w:hAnsi="微软雅黑" w:hint="eastAsia"/>
          <w:noProof/>
          <w:color w:val="000000"/>
          <w:sz w:val="24"/>
          <w:lang w:eastAsia="zh-CN"/>
        </w:rPr>
        <w:t>：根据孩子的运动能力，合理期望其在集体活动中的表现。提供必要的物理环境支持（如稳定的椅子、通畅的过道），并在活动中给予差异化的指令和支持。</w:t>
      </w:r>
    </w:p>
    <w:p w14:paraId="399103AB"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工具的局限与未来展望</w:t>
      </w:r>
    </w:p>
    <w:p w14:paraId="0B4676E3"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没有任何工具是完美的，GMFM也不例外。它的主要局限在于侧重于“运动功能”的完成度，而对“运动质量”（如异常步态的具体模式）的刻画不够细致。此外，它更适用于评估脑瘫等神经系统障碍儿童的运动变化，对于其他疾病谱系的敏感性可能不同。</w:t>
      </w:r>
    </w:p>
    <w:p w14:paraId="294BAC0C"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展望未来，GMFM的发展将与科技深度融合：</w:t>
      </w:r>
    </w:p>
    <w:p w14:paraId="57140A12"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1、</w:t>
      </w:r>
      <w:r>
        <w:rPr>
          <w:rFonts w:ascii="微软雅黑" w:eastAsia="微软雅黑" w:hAnsi="微软雅黑" w:hint="eastAsia"/>
          <w:b/>
          <w:noProof/>
          <w:color w:val="000000"/>
          <w:sz w:val="24"/>
          <w:lang w:eastAsia="zh-CN"/>
        </w:rPr>
        <w:t>数字化与客观化</w:t>
      </w:r>
      <w:r>
        <w:rPr>
          <w:rFonts w:ascii="微软雅黑" w:eastAsia="微软雅黑" w:hAnsi="微软雅黑" w:hint="eastAsia"/>
          <w:noProof/>
          <w:color w:val="000000"/>
          <w:sz w:val="24"/>
          <w:lang w:eastAsia="zh-CN"/>
        </w:rPr>
        <w:t>：结合可穿戴传感器和动作捕捉技术，提供步态参数、关节角度等更客观的量化数据。</w:t>
      </w:r>
    </w:p>
    <w:p w14:paraId="36D339D8"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2、</w:t>
      </w:r>
      <w:r>
        <w:rPr>
          <w:rFonts w:ascii="微软雅黑" w:eastAsia="微软雅黑" w:hAnsi="微软雅黑" w:hint="eastAsia"/>
          <w:b/>
          <w:noProof/>
          <w:color w:val="000000"/>
          <w:sz w:val="24"/>
          <w:lang w:eastAsia="zh-CN"/>
        </w:rPr>
        <w:t>个性化与智能化</w:t>
      </w:r>
      <w:r>
        <w:rPr>
          <w:rFonts w:ascii="微软雅黑" w:eastAsia="微软雅黑" w:hAnsi="微软雅黑" w:hint="eastAsia"/>
          <w:noProof/>
          <w:color w:val="000000"/>
          <w:sz w:val="24"/>
          <w:lang w:eastAsia="zh-CN"/>
        </w:rPr>
        <w:t>：利用大数据分析，建立预测模型，为每个孩子提供更个性化的发展预测和干预建议。</w:t>
      </w:r>
    </w:p>
    <w:p w14:paraId="605EDD1F"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3、</w:t>
      </w:r>
      <w:r>
        <w:rPr>
          <w:rFonts w:ascii="微软雅黑" w:eastAsia="微软雅黑" w:hAnsi="微软雅黑" w:hint="eastAsia"/>
          <w:b/>
          <w:noProof/>
          <w:color w:val="000000"/>
          <w:sz w:val="24"/>
          <w:lang w:eastAsia="zh-CN"/>
        </w:rPr>
        <w:t>远程化与普及化</w:t>
      </w:r>
      <w:r>
        <w:rPr>
          <w:rFonts w:ascii="微软雅黑" w:eastAsia="微软雅黑" w:hAnsi="微软雅黑" w:hint="eastAsia"/>
          <w:noProof/>
          <w:color w:val="000000"/>
          <w:sz w:val="24"/>
          <w:lang w:eastAsia="zh-CN"/>
        </w:rPr>
        <w:t>：发展可靠的远程评估方案，让偏远地区的儿童也能获得专业的评估服务。</w:t>
      </w:r>
    </w:p>
    <w:p w14:paraId="3255DD4E" w14:textId="77777777" w:rsidR="008436A4" w:rsidRDefault="00000000">
      <w:pPr>
        <w:spacing w:line="288" w:lineRule="auto"/>
        <w:ind w:firstLineChars="200" w:firstLine="480"/>
        <w:jc w:val="left"/>
        <w:rPr>
          <w:lang w:eastAsia="zh-CN"/>
        </w:rPr>
      </w:pPr>
      <w:r>
        <w:rPr>
          <w:rFonts w:ascii="微软雅黑" w:eastAsia="微软雅黑" w:hAnsi="微软雅黑" w:hint="eastAsia"/>
          <w:b/>
          <w:noProof/>
          <w:color w:val="000000"/>
          <w:sz w:val="24"/>
          <w:lang w:eastAsia="zh-CN"/>
        </w:rPr>
        <w:t>结语</w:t>
      </w:r>
    </w:p>
    <w:p w14:paraId="2317DA85" w14:textId="77777777" w:rsidR="008436A4" w:rsidRDefault="00000000">
      <w:pPr>
        <w:spacing w:line="288" w:lineRule="auto"/>
        <w:ind w:firstLineChars="200" w:firstLine="480"/>
        <w:jc w:val="left"/>
        <w:rPr>
          <w:lang w:eastAsia="zh-CN"/>
        </w:rPr>
      </w:pPr>
      <w:r>
        <w:rPr>
          <w:rFonts w:ascii="微软雅黑" w:eastAsia="微软雅黑" w:hAnsi="微软雅黑" w:hint="eastAsia"/>
          <w:noProof/>
          <w:color w:val="000000"/>
          <w:sz w:val="24"/>
          <w:lang w:eastAsia="zh-CN"/>
        </w:rPr>
        <w:t>儿童粗大运动评定量表（GMFM）不仅仅是一张评分表，更是一套理解儿童运动发展的科学语言和一套推动功能进步的导航系统。无论是康复专业人士、教育工作者还是家长，熟练掌握其逻辑和应用，都能更精准地看到孩子的</w:t>
      </w:r>
      <w:r>
        <w:rPr>
          <w:rFonts w:ascii="微软雅黑" w:eastAsia="微软雅黑" w:hAnsi="微软雅黑" w:hint="eastAsia"/>
          <w:noProof/>
          <w:color w:val="000000"/>
          <w:sz w:val="24"/>
          <w:lang w:eastAsia="zh-CN"/>
        </w:rPr>
        <w:lastRenderedPageBreak/>
        <w:t>努力与成长，从而用更科学、更温暖的方式，助力他们迈出更坚实的人生每一步。</w:t>
      </w:r>
    </w:p>
    <w:sectPr w:rsidR="008436A4">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21">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6A4"/>
    <w:rsid w:val="00387126"/>
    <w:rsid w:val="008436A4"/>
    <w:rsid w:val="00893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D375A"/>
  <w15:docId w15:val="{72F785D9-ED84-44D0-9A13-EE3B7FB46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pPr>
      <w:spacing w:after="0" w:line="240" w:lineRule="auto"/>
      <w:jc w:val="both"/>
    </w:pPr>
    <w:rPr>
      <w:rFonts w:ascii="Calibri" w:eastAsia="等线" w:hAnsi="Calibri" w:cs="21"/>
    </w:rPr>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000000"/>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000000"/>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000000"/>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156082"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156082"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156082" w:themeColor="accent1"/>
      <w:spacing w:val="15"/>
      <w:sz w:val="24"/>
      <w:szCs w:val="24"/>
    </w:rPr>
  </w:style>
  <w:style w:type="paragraph" w:styleId="a8">
    <w:name w:val="Title"/>
    <w:basedOn w:val="a"/>
    <w:next w:val="a"/>
    <w:link w:val="a9"/>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467886"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1282</Words>
  <Characters>1385</Characters>
  <Application>Microsoft Office Word</Application>
  <DocSecurity>0</DocSecurity>
  <Lines>692</Lines>
  <Paragraphs>666</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和东 毛</dc:creator>
  <cp:lastModifiedBy>和东 毛</cp:lastModifiedBy>
  <cp:revision>2</cp:revision>
  <dcterms:created xsi:type="dcterms:W3CDTF">2026-04-03T05:29:00Z</dcterms:created>
  <dcterms:modified xsi:type="dcterms:W3CDTF">2026-04-03T05:29:00Z</dcterms:modified>
</cp:coreProperties>
</file>