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  <w:lang w:val="en-US" w:eastAsia="zh-CN"/>
        </w:rPr>
        <w:t>OFFSET优化</w:t>
      </w:r>
      <w:r>
        <w:rPr>
          <w:rFonts w:hint="eastAsia"/>
        </w:rPr>
        <w:t>平台验收报告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平台开发背景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为保障OLED段生产良率，蒸镀工程师需要在生产中调整对位offset值，但人为调节存在较大风险，且效率较低，浪费人力资源，通过开发offset自动优化工具可有效弥补人为工作的不足</w:t>
      </w:r>
    </w:p>
    <w:p>
      <w:pPr>
        <w:ind w:firstLine="420"/>
      </w:pPr>
      <w:r>
        <w:drawing>
          <wp:inline distT="0" distB="0" distL="0" distR="0">
            <wp:extent cx="4157345" cy="2193290"/>
            <wp:effectExtent l="0" t="0" r="1460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699" cy="2237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Theme="majorEastAsia" w:hAnsiTheme="majorEastAsia" w:eastAsiaTheme="majorEastAsia"/>
          <w:b/>
          <w:sz w:val="32"/>
          <w:szCs w:val="32"/>
        </w:rPr>
      </w:pPr>
      <w:r>
        <w:rPr>
          <w:rFonts w:hint="eastAsia" w:asciiTheme="majorEastAsia" w:hAnsiTheme="majorEastAsia" w:eastAsiaTheme="majorEastAsia"/>
          <w:b/>
          <w:sz w:val="32"/>
          <w:szCs w:val="32"/>
        </w:rPr>
        <w:t>平台价值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 xml:space="preserve">1. </w:t>
      </w:r>
      <w:r>
        <w:rPr>
          <w:rFonts w:hint="eastAsia"/>
          <w:lang w:val="en-US" w:eastAsia="zh-CN"/>
        </w:rPr>
        <w:t>平台可替代工程师进行offset自动优化，可最大程度减少人力成本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2. </w:t>
      </w:r>
      <w:r>
        <w:rPr>
          <w:rFonts w:hint="eastAsia"/>
          <w:lang w:val="en-US" w:eastAsia="zh-CN"/>
        </w:rPr>
        <w:t>参数信息可通过前端页面进行调整，以适应不同产品的不同需求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3. </w:t>
      </w:r>
      <w:r>
        <w:rPr>
          <w:rFonts w:hint="eastAsia"/>
          <w:lang w:val="en-US" w:eastAsia="zh-CN"/>
        </w:rPr>
        <w:t>优化过程中的异常信息（单片PPA异常，offset调整值过大等）通过邮件警报，第一时间告知给相关负责人</w:t>
      </w:r>
    </w:p>
    <w:p>
      <w:pPr>
        <w:ind w:firstLine="420"/>
      </w:pPr>
    </w:p>
    <w:p>
      <w:pPr>
        <w:numPr>
          <w:ilvl w:val="0"/>
          <w:numId w:val="1"/>
        </w:numPr>
        <w:rPr>
          <w:rFonts w:asciiTheme="majorEastAsia" w:hAnsiTheme="majorEastAsia" w:eastAsiaTheme="majorEastAsia"/>
          <w:b/>
          <w:sz w:val="32"/>
          <w:szCs w:val="32"/>
        </w:rPr>
      </w:pPr>
      <w:r>
        <w:rPr>
          <w:rFonts w:hint="eastAsia" w:asciiTheme="majorEastAsia" w:hAnsiTheme="majorEastAsia" w:eastAsiaTheme="majorEastAsia"/>
          <w:b/>
          <w:sz w:val="32"/>
          <w:szCs w:val="32"/>
          <w:lang w:val="en-US" w:eastAsia="zh-CN"/>
        </w:rPr>
        <w:t>系统功能需求</w:t>
      </w:r>
    </w:p>
    <w:p>
      <w:pPr>
        <w:pStyle w:val="4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3.1系统总体功能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 OFFSET的定时自动优化功能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平台需要定时自动扫描PPA测量数据，根据Cycleid周期做OFFSET自动优化，优化结果需要自动写入 CIM系统的中间表，并且每次优化后需要自动邮件推送OFFSET点检表。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PPA波动趋势概览及查询功能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用户可通过产品名称，MASKID及GLASS的制程时间范围对PPA测试数据进行筛选，并按照MASKID区分绘制的每个GLASS的 PPA_X和 PPA_Y的合格率波动趋势图，并且绘制所有膜层的 MAX(PPA) 的合格率波动趋势图。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3.1.3 OFFSET优化结果概览及查询功能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默认显示最近3个月的所有Cycle下的OFFSET优化结果概览表，用户还可通过</w:t>
      </w:r>
      <w:bookmarkStart w:id="0" w:name="_GoBack"/>
      <w:r>
        <w:rPr>
          <w:rFonts w:hint="eastAsia"/>
          <w:lang w:val="en-US" w:eastAsia="zh-CN"/>
        </w:rPr>
        <w:t>产品</w:t>
      </w:r>
      <w:bookmarkEnd w:id="0"/>
      <w:r>
        <w:rPr>
          <w:rFonts w:hint="eastAsia"/>
          <w:lang w:val="en-US" w:eastAsia="zh-CN"/>
        </w:rPr>
        <w:t>名称，周期ID，产线及CycleID对各腔室的OFFSET优化结果进行详细查询。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3.1.4 PPA优化前后对比功能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用户可通过GLASSID和腔室名称，查看单个 GLASS在某一腔室下 PPA_X和PPA_Y方向 的OFFSET优化前后的对比效果。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3.1.5 PPA原数据概览功能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默认显示最近一周的 原始PPA测量数据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3.1.6 PPA单点超限及OFFSET调整过大报警功能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平台需要支持对PPA原始测量数据进行PPA单点超限异常识别，识别到PPA单点超限异常后，需要利用邮件对相关运维人员做报警提示，并提出异常GLASS的PPA测量数据;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平台需要支持对OFFSET优化结果的中调整量超限异常识别，识别到OFFSET调整过大异常后，需要利用邮件对相关运维人员做报警提示;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平台能够默认显示最近一周的 单点超限异常及OFFSET调整异常记录，支持下载和清空操作。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3.1.7 PPA占比合格率报警功能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平台需要支持对PPA原始测量数据进行PPA合格率超限判别，识别到PPA合格率超限后，需要利用邮件对相关运维人员做报警提示;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平台能够默认显示最近一周的PPA合格率超限记录，支持下载和清空操作。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3.1.8 用户自定义配置功能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平台需要支持用户自定义PPA_X和PPA_Y方向的两层管控线阈值，PPA单点超限报警阈值，OFFSET调整量报警阈值，最低优化GLASS数，最低优化阈值，并且能够按照产品名称，腔室名称及X,Y方向设置PPA合格率超限报警阈值。</w:t>
      </w:r>
    </w:p>
    <w:p>
      <w:pPr>
        <w:pStyle w:val="4"/>
        <w:rPr>
          <w:rFonts w:hint="eastAsia"/>
          <w:sz w:val="28"/>
          <w:szCs w:val="28"/>
        </w:rPr>
      </w:pPr>
      <w:r>
        <w:rPr>
          <w:sz w:val="28"/>
          <w:szCs w:val="28"/>
        </w:rPr>
        <w:t>3.2</w:t>
      </w:r>
      <w:r>
        <w:rPr>
          <w:rFonts w:hint="eastAsia"/>
          <w:sz w:val="28"/>
          <w:szCs w:val="28"/>
        </w:rPr>
        <w:t>代码架构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平台的代码框架分为两部分，分别是DataProcess和 WebServer ，平台项目代码均部署在Web服务器上，IP地址为 10.68.2.38。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 DataProcess部分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 Python + Linux-crontab 做自动定时的PPA数据处理和OFFSET优化计算，每次任务中清洗后的数据及OFFSET优化计算的结果均存储在项目数据库中，数据库选型为Postgresql, 数据库服务器IP地址为 10.68.2.182，DataProcess的处理流程图如下所示：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881245" cy="3177540"/>
            <wp:effectExtent l="0" t="0" r="0" b="0"/>
            <wp:docPr id="1" name="图片 1" descr="Data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ataProces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 WebServer 部分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WebServer部分利用Django框架编写，数据库同DataProcess，前端首页地址为 http://10.68.2.38:8868，主要负责处理前端页面请求和ajax请求，WebServer的处理流程图如下所示：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</w:pPr>
      <w:r>
        <w:rPr>
          <w:rFonts w:hint="default"/>
          <w:lang w:val="en-US" w:eastAsia="zh-CN"/>
        </w:rPr>
        <w:drawing>
          <wp:inline distT="0" distB="0" distL="114300" distR="114300">
            <wp:extent cx="4902200" cy="3451225"/>
            <wp:effectExtent l="0" t="0" r="0" b="0"/>
            <wp:docPr id="3" name="图片 3" descr="Web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bServ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8"/>
          <w:szCs w:val="28"/>
        </w:rPr>
      </w:pPr>
      <w:r>
        <w:rPr>
          <w:sz w:val="28"/>
          <w:szCs w:val="28"/>
        </w:rPr>
        <w:t>3.3</w:t>
      </w:r>
      <w:r>
        <w:rPr>
          <w:rFonts w:hint="eastAsia"/>
          <w:sz w:val="28"/>
          <w:szCs w:val="28"/>
        </w:rPr>
        <w:t>主要功能流程图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平台主要功能流程图如下所示：</w:t>
      </w:r>
    </w:p>
    <w:p>
      <w:pPr>
        <w:ind w:firstLine="420"/>
      </w:pPr>
      <w:r>
        <w:rPr>
          <w:rFonts w:hint="default"/>
          <w:lang w:val="en-US" w:eastAsia="zh-CN"/>
        </w:rPr>
        <w:drawing>
          <wp:inline distT="0" distB="0" distL="114300" distR="114300">
            <wp:extent cx="4354830" cy="4459605"/>
            <wp:effectExtent l="0" t="0" r="0" b="0"/>
            <wp:docPr id="4" name="图片 4" descr="主要功能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主要功能流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>
      <w:pPr>
        <w:ind w:firstLine="420"/>
      </w:pPr>
    </w:p>
    <w:p>
      <w:pPr>
        <w:numPr>
          <w:ilvl w:val="0"/>
          <w:numId w:val="1"/>
        </w:numPr>
        <w:rPr>
          <w:rFonts w:asciiTheme="majorEastAsia" w:hAnsiTheme="majorEastAsia" w:eastAsiaTheme="majorEastAsia"/>
          <w:b/>
          <w:sz w:val="32"/>
          <w:szCs w:val="32"/>
        </w:rPr>
      </w:pPr>
      <w:r>
        <w:rPr>
          <w:rFonts w:hint="eastAsia" w:asciiTheme="majorEastAsia" w:hAnsiTheme="majorEastAsia" w:eastAsiaTheme="majorEastAsia"/>
          <w:b/>
          <w:sz w:val="32"/>
          <w:szCs w:val="32"/>
        </w:rPr>
        <w:t>平台功能测试</w:t>
      </w:r>
    </w:p>
    <w:p>
      <w:pPr>
        <w:numPr>
          <w:numId w:val="0"/>
        </w:numPr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 xml:space="preserve">4.1 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EVA_PPA波动趋势显示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2661920"/>
            <wp:effectExtent l="0" t="0" r="12700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用户可以选择指定产品、指定MaskID、指定起止时间，图表将显示经由选定的每个Mask的所有Glass在X和Y方向的合格率。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每张图表，用红线表示X方向的合格率，用黑线表示Y方向的合格率，图标的展示信息可以通过鼠标实现缩放。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72050" cy="299085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该页面的底端可以显示指定时间段内每张Glass在所有膜层嵌套下的PPA合格率。</w:t>
      </w:r>
    </w:p>
    <w:p>
      <w:pPr>
        <w:numPr>
          <w:numId w:val="0"/>
        </w:numPr>
        <w:rPr>
          <w:rFonts w:asciiTheme="majorEastAsia" w:hAnsiTheme="majorEastAsia" w:eastAsiaTheme="majorEastAsia"/>
          <w:b/>
          <w:sz w:val="32"/>
          <w:szCs w:val="32"/>
        </w:rPr>
      </w:pPr>
      <w:r>
        <w:drawing>
          <wp:inline distT="0" distB="0" distL="114300" distR="114300">
            <wp:extent cx="5268595" cy="1595755"/>
            <wp:effectExtent l="0" t="0" r="825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4.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2 OFFSET优化结果</w:t>
      </w: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266690" cy="2237105"/>
            <wp:effectExtent l="0" t="0" r="10160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该页面会自动更新最近的完整周期内的信息，包括该周期内的起止时间、蒸镀的Glass数等。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用户可以选择指定的产品名、周期数、生产线等信息，查询和下载所选周期内各个腔室内的offset优化信息。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36855"/>
            <wp:effectExtent l="0" t="0" r="8255" b="1079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/>
          <w:bCs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264150" cy="2244090"/>
            <wp:effectExtent l="0" t="0" r="12700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numPr>
          <w:numId w:val="0"/>
        </w:numPr>
        <w:rPr>
          <w:rFonts w:asciiTheme="majorEastAsia" w:hAnsiTheme="majorEastAsia" w:eastAsiaTheme="majorEastAsia"/>
          <w:b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4.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3 OFFSET优化结果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480310"/>
            <wp:effectExtent l="0" t="0" r="2540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用户可以通过选择指定GlassID和腔室，通过按钮“优化前”或“优化后”PPA的散点分布。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X方向和Y方向分别展示，同时以管控线作为参照。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Theme="majorEastAsia" w:hAnsiTheme="majorEastAsia" w:eastAsiaTheme="majorEastAsia"/>
          <w:b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4.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4 数据概览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217420"/>
            <wp:effectExtent l="0" t="0" r="14605" b="1143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数据概览，可展示近一周时间内所有PPA数据以及OFFSET优化的数据。</w:t>
      </w: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asciiTheme="majorEastAsia" w:hAnsiTheme="majorEastAsia" w:eastAsiaTheme="majorEastAsia"/>
          <w:b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4.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5 报警记录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950085"/>
            <wp:effectExtent l="0" t="0" r="6350" b="1206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包括异常报警记录、合格率报警记录等；界面可以显示最新的报警记录；用户可选择下载和清除报警记录。</w:t>
      </w: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asciiTheme="majorEastAsia" w:hAnsiTheme="majorEastAsia" w:eastAsiaTheme="majorEastAsia"/>
          <w:b/>
          <w:sz w:val="32"/>
          <w:szCs w:val="32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4.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6 配置页面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903730"/>
            <wp:effectExtent l="0" t="0" r="9525" b="127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在配置页面，用户通过前端页面的配置，达到修改后台初始化参数的目的。配置页面分成两部分：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基本设置：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341120"/>
            <wp:effectExtent l="0" t="0" r="2540" b="1143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如图所示，基本设置包括X/Y方向的管控线数值，PPA报警上限等，单周期内最低优化Glass数、最低优化阈值，OFFSET报警上限等；同时可是设定是否触发报警邮件模块。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合格率设置：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299845"/>
            <wp:effectExtent l="0" t="0" r="3810" b="1460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如图所示，可以设定指定产品在每个腔室中X/Y方向的合格率。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4.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6 邮件发送</w:t>
      </w: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4.6.1 Offset优化邮件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548890"/>
            <wp:effectExtent l="0" t="0" r="2540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每次优化offset优化工作完成后，平台会通过发送邮件，展示最新的offset优化结果，同时会将该结果写成csv文件作为附件一并发送。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4.6.2 警报邮件</w:t>
      </w:r>
    </w:p>
    <w:p>
      <w:pPr>
        <w:numPr>
          <w:ilvl w:val="0"/>
          <w:numId w:val="0"/>
        </w:numP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如果存在PPA单点超限、offset调整过大等情况，则会发送邮件警报。以offset调整过大为例，逐个列出造成offset调整过大的各项信息；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632200"/>
            <wp:effectExtent l="0" t="0" r="5080" b="635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并通过图表展示出调整前X/Y方向的合格率信息。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9865" cy="2337435"/>
            <wp:effectExtent l="0" t="0" r="6985" b="571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439035"/>
            <wp:effectExtent l="0" t="0" r="3810" b="1841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asciiTheme="majorEastAsia" w:hAnsiTheme="majorEastAsia" w:eastAsiaTheme="majorEastAsia"/>
          <w:b/>
          <w:sz w:val="32"/>
          <w:szCs w:val="32"/>
        </w:rPr>
      </w:pPr>
      <w:r>
        <w:rPr>
          <w:rFonts w:hint="eastAsia" w:asciiTheme="majorEastAsia" w:hAnsiTheme="majorEastAsia" w:eastAsiaTheme="majorEastAsia"/>
          <w:b/>
          <w:sz w:val="32"/>
          <w:szCs w:val="32"/>
        </w:rPr>
        <w:t>平台使用反馈</w:t>
      </w:r>
    </w:p>
    <w:p>
      <w:pPr>
        <w:ind w:firstLine="420"/>
      </w:pPr>
      <w:r>
        <w:rPr>
          <w:rFonts w:hint="eastAsia"/>
        </w:rPr>
        <w:t>列举调查问卷题目，人员反馈比例，各题目平均分，开放评价收集，开放问题收集和解答</w:t>
      </w:r>
    </w:p>
    <w:p>
      <w:pPr>
        <w:numPr>
          <w:ilvl w:val="0"/>
          <w:numId w:val="1"/>
        </w:numPr>
        <w:rPr>
          <w:rFonts w:asciiTheme="majorEastAsia" w:hAnsiTheme="majorEastAsia" w:eastAsiaTheme="majorEastAsia"/>
          <w:b/>
          <w:sz w:val="32"/>
          <w:szCs w:val="32"/>
        </w:rPr>
      </w:pPr>
      <w:r>
        <w:rPr>
          <w:rFonts w:hint="eastAsia" w:asciiTheme="majorEastAsia" w:hAnsiTheme="majorEastAsia" w:eastAsiaTheme="majorEastAsia"/>
          <w:b/>
          <w:sz w:val="32"/>
          <w:szCs w:val="32"/>
        </w:rPr>
        <w:t>附件</w:t>
      </w:r>
    </w:p>
    <w:p>
      <w:pPr>
        <w:ind w:firstLine="420"/>
      </w:pPr>
      <w:r>
        <w:rPr>
          <w:rFonts w:hint="eastAsia"/>
        </w:rPr>
        <w:t>附上 所有工艺人员填写的原始调查问卷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97BF26"/>
    <w:multiLevelType w:val="singleLevel"/>
    <w:tmpl w:val="D097BF2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FF37085"/>
    <w:multiLevelType w:val="singleLevel"/>
    <w:tmpl w:val="DFF3708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82F028B"/>
    <w:multiLevelType w:val="multilevel"/>
    <w:tmpl w:val="582F028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>
    <w:nsid w:val="6F3EF197"/>
    <w:multiLevelType w:val="singleLevel"/>
    <w:tmpl w:val="6F3EF19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AA9F34F"/>
    <w:multiLevelType w:val="singleLevel"/>
    <w:tmpl w:val="7AA9F34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8AC"/>
    <w:rsid w:val="004078AC"/>
    <w:rsid w:val="00443BDA"/>
    <w:rsid w:val="007C4675"/>
    <w:rsid w:val="05E957AB"/>
    <w:rsid w:val="07260AC7"/>
    <w:rsid w:val="09C84F50"/>
    <w:rsid w:val="0B257F57"/>
    <w:rsid w:val="0BC51B0A"/>
    <w:rsid w:val="124666D1"/>
    <w:rsid w:val="12FC6F2F"/>
    <w:rsid w:val="167624B8"/>
    <w:rsid w:val="18EE17A9"/>
    <w:rsid w:val="1EFE4EEC"/>
    <w:rsid w:val="21687524"/>
    <w:rsid w:val="228C6447"/>
    <w:rsid w:val="24E23DD9"/>
    <w:rsid w:val="260E6AEC"/>
    <w:rsid w:val="26E800D3"/>
    <w:rsid w:val="2E6E190A"/>
    <w:rsid w:val="2FE1684D"/>
    <w:rsid w:val="34543256"/>
    <w:rsid w:val="377526C1"/>
    <w:rsid w:val="37E10EA1"/>
    <w:rsid w:val="3C2E63A9"/>
    <w:rsid w:val="3F87007A"/>
    <w:rsid w:val="403D2844"/>
    <w:rsid w:val="40667FBB"/>
    <w:rsid w:val="42C24D6F"/>
    <w:rsid w:val="434433CC"/>
    <w:rsid w:val="48EB75AA"/>
    <w:rsid w:val="49A03CEC"/>
    <w:rsid w:val="4A8671D7"/>
    <w:rsid w:val="4B4D5355"/>
    <w:rsid w:val="54CB6BD8"/>
    <w:rsid w:val="5CB91C88"/>
    <w:rsid w:val="5E833CE3"/>
    <w:rsid w:val="61E83E57"/>
    <w:rsid w:val="637636E0"/>
    <w:rsid w:val="65D767CA"/>
    <w:rsid w:val="6C6253F4"/>
    <w:rsid w:val="6DC44E45"/>
    <w:rsid w:val="6DD27B8E"/>
    <w:rsid w:val="6E255B93"/>
    <w:rsid w:val="6E592958"/>
    <w:rsid w:val="70A31A0D"/>
    <w:rsid w:val="739153FA"/>
    <w:rsid w:val="778459D1"/>
    <w:rsid w:val="78A661B5"/>
    <w:rsid w:val="7C074118"/>
    <w:rsid w:val="7DDF2C32"/>
    <w:rsid w:val="7E61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285</Words>
  <Characters>1628</Characters>
  <Lines>13</Lines>
  <Paragraphs>3</Paragraphs>
  <TotalTime>178</TotalTime>
  <ScaleCrop>false</ScaleCrop>
  <LinksUpToDate>false</LinksUpToDate>
  <CharactersWithSpaces>1910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2019-07-05T10:57:00Z</dcterms:created>
  <dc:creator>董兆宇</dc:creator>
  <cp:lastModifiedBy>王吉东</cp:lastModifiedBy>
  <dcterms:modified xsi:type="dcterms:W3CDTF">2019-07-07T11:28:34Z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