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进气歧管 CFD 仿真说明</w:t>
      </w:r>
    </w:p>
    <w:p>
      <w:pPr>
        <w:pStyle w:val="Heading2"/>
      </w:pPr>
      <w:r>
        <w:t>1. 网格要求</w:t>
      </w:r>
    </w:p>
    <w:p>
      <w:r>
        <w:t>进气道与进气歧管 CFD 建议采用多面体+边界层网格,近壁面 y+ 控制在 30~300 之间(配合壁面函数),阀座附近需局部加密。</w:t>
      </w:r>
    </w:p>
    <w:p>
      <w:pPr>
        <w:pStyle w:val="Heading2"/>
      </w:pPr>
      <w:r>
        <w:t>2. 边界条件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典型值</w:t>
            </w:r>
          </w:p>
        </w:tc>
      </w:tr>
      <w:tr>
        <w:tc>
          <w:tcPr>
            <w:tcW w:type="dxa" w:w="2880"/>
          </w:tcPr>
          <w:p>
            <w:r>
              <w:t>歧管入口</w:t>
            </w:r>
          </w:p>
        </w:tc>
        <w:tc>
          <w:tcPr>
            <w:tcW w:type="dxa" w:w="2880"/>
          </w:tcPr>
          <w:p>
            <w:r>
              <w:t>总压</w:t>
            </w:r>
          </w:p>
        </w:tc>
        <w:tc>
          <w:tcPr>
            <w:tcW w:type="dxa" w:w="2880"/>
          </w:tcPr>
          <w:p>
            <w:r>
              <w:t>101.3 kPa</w:t>
            </w:r>
          </w:p>
        </w:tc>
      </w:tr>
      <w:tr>
        <w:tc>
          <w:tcPr>
            <w:tcW w:type="dxa" w:w="2880"/>
          </w:tcPr>
          <w:p>
            <w:r>
              <w:t>歧管入口</w:t>
            </w:r>
          </w:p>
        </w:tc>
        <w:tc>
          <w:tcPr>
            <w:tcW w:type="dxa" w:w="2880"/>
          </w:tcPr>
          <w:p>
            <w:r>
              <w:t>温度</w:t>
            </w:r>
          </w:p>
        </w:tc>
        <w:tc>
          <w:tcPr>
            <w:tcW w:type="dxa" w:w="2880"/>
          </w:tcPr>
          <w:p>
            <w:r>
              <w:t>300 K</w:t>
            </w:r>
          </w:p>
        </w:tc>
      </w:tr>
      <w:tr>
        <w:tc>
          <w:tcPr>
            <w:tcW w:type="dxa" w:w="2880"/>
          </w:tcPr>
          <w:p>
            <w:r>
              <w:t>气道出口</w:t>
            </w:r>
          </w:p>
        </w:tc>
        <w:tc>
          <w:tcPr>
            <w:tcW w:type="dxa" w:w="2880"/>
          </w:tcPr>
          <w:p>
            <w:r>
              <w:t>质量流量</w:t>
            </w:r>
          </w:p>
        </w:tc>
        <w:tc>
          <w:tcPr>
            <w:tcW w:type="dxa" w:w="2880"/>
          </w:tcPr>
          <w:p>
            <w:r>
              <w:t>按工况给定</w:t>
            </w:r>
          </w:p>
        </w:tc>
      </w:tr>
      <w:tr>
        <w:tc>
          <w:tcPr>
            <w:tcW w:type="dxa" w:w="2880"/>
          </w:tcPr>
          <w:p>
            <w:r>
              <w:t>壁面</w:t>
            </w:r>
          </w:p>
        </w:tc>
        <w:tc>
          <w:tcPr>
            <w:tcW w:type="dxa" w:w="2880"/>
          </w:tcPr>
          <w:p>
            <w:r>
              <w:t>无滑移</w:t>
            </w:r>
          </w:p>
        </w:tc>
        <w:tc>
          <w:tcPr>
            <w:tcW w:type="dxa" w:w="2880"/>
          </w:tcPr>
          <w:p>
            <w:r>
              <w:t>绝热/定温</w:t>
            </w:r>
          </w:p>
        </w:tc>
      </w:tr>
    </w:tbl>
    <w:p>
      <w:pPr>
        <w:pStyle w:val="Heading2"/>
      </w:pPr>
      <w:r>
        <w:t>3. 收敛判据</w:t>
      </w:r>
    </w:p>
    <w:p>
      <w:r>
        <w:t>质量流量残差下降 4 个数量级,且歧管各出口流量不再变化(波动小于 1%)时可认为收敛。充气效率是主要评价指标。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