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r>
        <w:rPr>
          <w:rFonts w:ascii="Times New Roman" w:cs="Times New Roman" w:eastAsia="Times New Roman" w:hAnsi="Times New Roman"/>
          <w:sz w:val="24"/>
          <w:szCs w:val="24"/>
        </w:rPr>
        <w:t xml:space="preserve"/>
      </w:r>
    </w:p>
    <w:p>
      <w:pPr>
        <w:spacing w:after="200" w:before="0" w:line="480" w:lineRule="auto"/>
        <w:jc w:val="center"/>
      </w:pPr>
      <w:r>
        <w:rPr>
          <w:rFonts w:ascii="Times New Roman" w:cs="Times New Roman" w:eastAsia="Times New Roman" w:hAnsi="Times New Roman"/>
          <w:b/>
          <w:bCs/>
          <w:sz w:val="28"/>
          <w:szCs w:val="28"/>
        </w:rPr>
        <w:t xml:space="preserve">BitStar: A Theoretical Framework for Geographic Coordinate-Based Photonic Network Architecture with Gravity Routing and Link Tiering</w:t>
      </w:r>
    </w:p>
    <w:p>
      <w:pPr>
        <w:spacing w:line="24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Guanghui Mao</w:t>
      </w:r>
    </w:p>
    <w:p>
      <w:pPr>
        <w:spacing w:line="320" w:lineRule="auto"/>
        <w:jc w:val="center"/>
      </w:pPr>
      <w:r>
        <w:rPr>
          <w:rFonts w:ascii="Times New Roman" w:cs="Times New Roman" w:eastAsia="Times New Roman" w:hAnsi="Times New Roman"/>
          <w:i/>
          <w:iCs/>
          <w:sz w:val="24"/>
          <w:szCs w:val="24"/>
        </w:rPr>
        <w:t xml:space="preserve">Independent Researcher, Zhengzhou, Henan 450000, China</w:t>
      </w:r>
    </w:p>
    <w:p>
      <w:pPr>
        <w:spacing w:line="320" w:lineRule="auto"/>
        <w:jc w:val="center"/>
      </w:pPr>
      <w:r>
        <w:rPr>
          <w:rFonts w:ascii="Times New Roman" w:cs="Times New Roman" w:eastAsia="Times New Roman" w:hAnsi="Times New Roman"/>
          <w:sz w:val="24"/>
          <w:szCs w:val="24"/>
        </w:rPr>
        <w:t xml:space="preserve">maomaoati@gmail.com</w:t>
      </w:r>
    </w:p>
    <w:p>
      <w:pPr>
        <w:spacing w:line="240" w:lineRule="auto"/>
      </w:pPr>
      <w:r>
        <w:rPr>
          <w:rFonts w:ascii="Times New Roman" w:cs="Times New Roman" w:eastAsia="Times New Roman" w:hAnsi="Times New Roman"/>
          <w:sz w:val="24"/>
          <w:szCs w:val="24"/>
        </w:rPr>
        <w:t xml:space="preserve"/>
      </w:r>
    </w:p>
    <w:p>
      <w:pPr>
        <w:pBdr>
          <w:bottom w:val="single" w:color="000000" w:sz="6" w:space="1"/>
        </w:pBdr>
        <w:spacing w:after="0" w:before="0" w:line="240" w:lineRule="auto"/>
      </w:pPr>
      <w:r>
        <w:t xml:space="preserve"/>
      </w:r>
    </w:p>
    <w:p>
      <w:pPr>
        <w:spacing w:line="240" w:lineRule="auto"/>
      </w:pPr>
      <w:r>
        <w:rPr>
          <w:rFonts w:ascii="Times New Roman" w:cs="Times New Roman" w:eastAsia="Times New Roman" w:hAnsi="Times New Roman"/>
          <w:sz w:val="24"/>
          <w:szCs w:val="24"/>
        </w:rPr>
        <w:t xml:space="preserve"/>
      </w:r>
    </w:p>
    <w:p>
      <w:pPr>
        <w:spacing w:line="480" w:lineRule="auto"/>
        <w:jc w:val="both"/>
      </w:pPr>
      <w:r>
        <w:rPr>
          <w:rFonts w:ascii="Times New Roman" w:cs="Times New Roman" w:eastAsia="Times New Roman" w:hAnsi="Times New Roman"/>
          <w:b/>
          <w:bCs/>
          <w:i/>
          <w:iCs/>
          <w:sz w:val="24"/>
          <w:szCs w:val="24"/>
        </w:rPr>
        <w:t xml:space="preserve">Abstract—</w:t>
      </w:r>
      <w:r>
        <w:rPr>
          <w:rFonts w:ascii="Times New Roman" w:cs="Times New Roman" w:eastAsia="Times New Roman" w:hAnsi="Times New Roman"/>
          <w:sz w:val="24"/>
          <w:szCs w:val="24"/>
        </w:rPr>
        <w:t xml:space="preserve">This paper proposes BitStar, a theoretical photonic network architecture that grounds network identity, routing, and link quality directly in physical space, rather than in logical abstractions inherited from 1970s protocol design. Three architectural contributions are proposed. First, the GeoAddress Protocol specifies a 160-bit physical coordinate identity frame encoding latitude, longitude, altitude, and timestamp as the sole node address, eliminating centralized address allocation and DNS. Second, Geographic Gravity Routing defines a stateless, table-free forwarding algorithm in which each relay node selects the neighbor whose physical coordinate is closest to the destination. Third, Link Tiering proposes an architectural inversion: long-distance backbone optical links are dedicated and contention-free, while short-range links traverse shared wireless spectrum, producing a network in which communication reliability theoretically increases with distance. Feasibility analysis is conducted through three simulation studies. An RTL behavioral simulation of the GeoAddress Protocol in SystemVerilog (Icarus Verilog 12.0) demonstrates correct encoding, decoding, and integrity checking across four representative node scenarios spanning Earth surface, low Earth orbit, and Mars surface. Python-based network simulations model Geographic Gravity Routing across 80 nodes and 200 source-destination pairs, and Link Tiering across five traffic-load scenes with 500 packets each. Simulation results support the theoretical claims of each layer. A fourth protocol, the Speed-of-Light Approach Protocol, is proposed for interplanetary extension. This work represents a theoretical architecture proposal; physical prototype implementation and empirical field measurement remain as future work.</w:t>
      </w:r>
    </w:p>
    <w:p>
      <w:pPr>
        <w:spacing w:line="24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geographic routing, coordinate-based addressing, photonic network architecture, free-space optical communications, link tiering, interplanetary networks, network simulation, RTL behavioral simulation.</w:t>
      </w:r>
    </w:p>
    <w:p>
      <w:pPr>
        <w:spacing w:line="240" w:lineRule="auto"/>
      </w:pPr>
      <w:r>
        <w:rPr>
          <w:rFonts w:ascii="Times New Roman" w:cs="Times New Roman" w:eastAsia="Times New Roman" w:hAnsi="Times New Roman"/>
          <w:sz w:val="24"/>
          <w:szCs w:val="24"/>
        </w:rPr>
        <w:t xml:space="preserve"/>
      </w:r>
    </w:p>
    <w:p>
      <w:pPr>
        <w:pBdr>
          <w:bottom w:val="single" w:color="000000" w:sz="6" w:space="1"/>
        </w:pBdr>
        <w:spacing w:after="0" w:before="0" w:line="240" w:lineRule="auto"/>
      </w:pPr>
      <w:r>
        <w:t xml:space="preserve"/>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I. INTRODUCTION</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Internet Protocol was designed in the 1970s to connect a small number of research computers. Its central design choice—assigning logical numerical identifiers to machines and maintaining global routing tables with no reference to geography—was appropriate for that context. Half a century later, this same architecture underlies a global communication system serving billions of users, and is being proposed as the basis for interplanetary communication in emerging space exploration programs.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Three systemic limitations arise from this design premise. First, IP address allocation requires centralized authority, creating bureaucratic and geopolitical dependencies. Second, BGP routing maintains no geometric relationship to physical space and converges slowly under node or link failure [1]. Third, network quality universally degrades with distance under current architectures, as more hops imply more failure probability and greater latency variance. This is a consequence of design choices, not physical law.</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This paper proposes BitStar, a theoretical network architecture premised on the observation that physical space already provides a complete addressing and routing substrate. Every location has unique coordinates; every pair of locations has a computable distance; nodes can be organized by proximity without any central authority. BitStar maps network functions directly onto these physical properties.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This work makes four theoretical contributions. The GeoAddress Protocol (Section II) defines a coordinate-based addressing scheme with a hardware-describable packet format. Geographic Gravity Routing (Section III) defines a stateless forwarding algorithm based on spatial proximity. Link Tiering (Section IV) proposes an inversion of the distance-quality relationship through deliberate link type differentiation. The Speed-of-Light Approach Protocol (Section VI) extends the architecture to interplanetary distances.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All claims in this paper are supported by simulation evidence. No physical prototype has been constructed. The simulation studies are described in Sections II-C, III-B, and IV-B respectively, with limitations discussed in Section VIII. The authors present this work as a theoretical proposal whose claims require empirical validation through future hardware prototyping and field deployment.</w:t>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II. THE GEOADDRESS PROTOCOL</w:t>
      </w:r>
    </w:p>
    <w:p>
      <w:pPr>
        <w:spacing w:line="240" w:lineRule="auto"/>
      </w:pPr>
      <w:r>
        <w:rPr>
          <w:rFonts w:ascii="Times New Roman" w:cs="Times New Roman" w:eastAsia="Times New Roman" w:hAnsi="Times New Roman"/>
          <w:sz w:val="24"/>
          <w:szCs w:val="24"/>
        </w:rPr>
        <w:t xml:space="preserve"/>
      </w:r>
    </w:p>
    <w:p>
      <w:pPr>
        <w:spacing w:after="80" w:before="160" w:line="480" w:lineRule="auto"/>
      </w:pPr>
      <w:r>
        <w:rPr>
          <w:rFonts w:ascii="Times New Roman" w:cs="Times New Roman" w:eastAsia="Times New Roman" w:hAnsi="Times New Roman"/>
          <w:b/>
          <w:bCs/>
          <w:i/>
          <w:iCs/>
          <w:sz w:val="24"/>
          <w:szCs w:val="24"/>
        </w:rPr>
        <w:t xml:space="preserve">A. Design Rationale</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Conventional network addressing assigns identifiers that carry no spatial information. A node’s IP address conveys nothing about its geographic location; determining location requires a separate lookup infrastructure (GPS, Wi-Fi positioning, or cellular triangulation) that is entirely decoupled from the network address. BitStar proposes collapsing these two systems into one: the network address is the physical coordinate.</w:t>
      </w:r>
    </w:p>
    <w:p>
      <w:pPr>
        <w:spacing w:after="80" w:before="160" w:line="480" w:lineRule="auto"/>
      </w:pPr>
      <w:r>
        <w:rPr>
          <w:rFonts w:ascii="Times New Roman" w:cs="Times New Roman" w:eastAsia="Times New Roman" w:hAnsi="Times New Roman"/>
          <w:b/>
          <w:bCs/>
          <w:i/>
          <w:iCs/>
          <w:sz w:val="24"/>
          <w:szCs w:val="24"/>
        </w:rPr>
        <w:t xml:space="preserve">B. Packet Format</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GeoAddress protocol defines a 160-bit coordinate identity frame as the atomic addressing unit. The proposed format is given in Table 1.</w:t>
      </w:r>
    </w:p>
    <w:p>
      <w:pPr>
        <w:spacing w:line="24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800"/>
        <w:gridCol w:w="6660"/>
      </w:tblGrid>
      <w:tr>
        <w:trPr>
          <w:tblHeader/>
        </w:trPr>
        <w:tc>
          <w:tcPr>
            <w:tcW w:type="dxa" w:w="9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Field</w:t>
            </w:r>
          </w:p>
        </w:tc>
        <w:tc>
          <w:tcPr>
            <w:tcW w:type="dxa" w:w="10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Bits</w:t>
            </w:r>
          </w:p>
        </w:tc>
        <w:tc>
          <w:tcPr>
            <w:tcW w:type="dxa" w:w="8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Width</w:t>
            </w:r>
          </w:p>
        </w:tc>
        <w:tc>
          <w:tcPr>
            <w:tcW w:type="dxa" w:w="666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Description</w:t>
            </w:r>
          </w:p>
        </w:tc>
      </w:tr>
      <w:tr>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VERSION</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[159:152]</w:t>
            </w:r>
          </w:p>
        </w:tc>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8-bit</w:t>
            </w:r>
          </w:p>
        </w:tc>
        <w:tc>
          <w:tcPr>
            <w:tcW w:type="dxa" w:w="66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Protocol version identifier. Proposed initial value: 0x01</w:t>
            </w:r>
          </w:p>
        </w:tc>
      </w:tr>
      <w:tr>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NODE_ID</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[151:136]</w:t>
            </w:r>
          </w:p>
        </w:tc>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16-bit</w:t>
            </w:r>
          </w:p>
        </w:tc>
        <w:tc>
          <w:tcPr>
            <w:tcW w:type="dxa" w:w="66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Disambiguation for nodes sharing identical coordinates</w:t>
            </w:r>
          </w:p>
        </w:tc>
      </w:tr>
      <w:tr>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LAT</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[135:104]</w:t>
            </w:r>
          </w:p>
        </w:tc>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32-bit</w:t>
            </w:r>
          </w:p>
        </w:tc>
        <w:tc>
          <w:tcPr>
            <w:tcW w:type="dxa" w:w="66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Signed integer, microdegrees (×10⁻⁶°). Range: ±90,000,000</w:t>
            </w:r>
          </w:p>
        </w:tc>
      </w:tr>
      <w:tr>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LNG</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[103: 72]</w:t>
            </w:r>
          </w:p>
        </w:tc>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32-bit</w:t>
            </w:r>
          </w:p>
        </w:tc>
        <w:tc>
          <w:tcPr>
            <w:tcW w:type="dxa" w:w="66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Signed integer, microdegrees. Range: ±180,000,000</w:t>
            </w:r>
          </w:p>
        </w:tc>
      </w:tr>
      <w:tr>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ALT</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[ 71: 40]</w:t>
            </w:r>
          </w:p>
        </w:tc>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32-bit</w:t>
            </w:r>
          </w:p>
        </w:tc>
        <w:tc>
          <w:tcPr>
            <w:tcW w:type="dxa" w:w="66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Signed integer, centimeters. Range: −47,000 km to +21.4M km</w:t>
            </w:r>
          </w:p>
        </w:tc>
      </w:tr>
      <w:tr>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TIME</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[ 39:  8]</w:t>
            </w:r>
          </w:p>
        </w:tc>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32-bit</w:t>
            </w:r>
          </w:p>
        </w:tc>
        <w:tc>
          <w:tcPr>
            <w:tcW w:type="dxa" w:w="66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Unix timestamp, seconds. Temporal disambiguation</w:t>
            </w:r>
          </w:p>
        </w:tc>
      </w:tr>
      <w:tr>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CHK</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  7:  0]</w:t>
            </w:r>
          </w:p>
        </w:tc>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8-bit</w:t>
            </w:r>
          </w:p>
        </w:tc>
        <w:tc>
          <w:tcPr>
            <w:tcW w:type="dxa" w:w="66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XOR-8 checksum over bytes [19:1]. Frame integrity</w:t>
            </w:r>
          </w:p>
        </w:tc>
      </w:tr>
    </w:tbl>
    <w:p>
      <w:pPr>
        <w:spacing w:after="160" w:before="60" w:line="320" w:lineRule="auto"/>
        <w:jc w:val="center"/>
      </w:pPr>
      <w:r>
        <w:rPr>
          <w:rFonts w:ascii="Times New Roman" w:cs="Times New Roman" w:eastAsia="Times New Roman" w:hAnsi="Times New Roman"/>
          <w:i/>
          <w:iCs/>
          <w:sz w:val="20"/>
          <w:szCs w:val="20"/>
        </w:rPr>
        <w:t xml:space="preserve">Table 1. Proposed GeoAddress packet field definitions (160 bits = 20 bytes, big-endian).</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LAT and LNG fields encode coordinates in integer microdegrees, providing sub-meter resolution at Earth surface (1 microdegree ≈ 0.11 m at the equator for latitude). The ALT field’s 32-bit signed range accommodates nodes from deep ocean floor to approximately 21.4 million km, sufficient for inner solar system addressing. The XOR-8 checksum provides basic frame integrity detection, with a false-negative probability of 1/256 per corrupted frame.</w:t>
      </w:r>
    </w:p>
    <w:p>
      <w:pPr>
        <w:spacing w:after="80" w:before="160" w:line="480" w:lineRule="auto"/>
      </w:pPr>
      <w:r>
        <w:rPr>
          <w:rFonts w:ascii="Times New Roman" w:cs="Times New Roman" w:eastAsia="Times New Roman" w:hAnsi="Times New Roman"/>
          <w:b/>
          <w:bCs/>
          <w:i/>
          <w:iCs/>
          <w:sz w:val="24"/>
          <w:szCs w:val="24"/>
        </w:rPr>
        <w:t xml:space="preserve">C. RTL Behavioral Simulation</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To assess the logical correctness of the proposed packet format—specifically the encoding, decoding, and integrity checking operations—a behavioral RTL model was implemented in SystemVerilog and simulated using Icarus Verilog 12.0 on the EDA Playground platform. This constitutes a behavioral simulation of the protocol logic, not a hardware fabrication or physical measurement. Four representative node scenarios were constructed as simulation test cases, chosen to span geographically and altitudinally diverse conditions.</w:t>
      </w:r>
    </w:p>
    <w:p>
      <w:pPr>
        <w:spacing w:line="240" w:lineRule="auto"/>
      </w:pPr>
      <w:r>
        <w:rPr>
          <w:rFonts w:ascii="Times New Roman" w:cs="Times New Roman" w:eastAsia="Times New Roman" w:hAnsi="Times New Roman"/>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200"/>
        <w:gridCol w:w="1000"/>
        <w:gridCol w:w="1000"/>
        <w:gridCol w:w="1560"/>
      </w:tblGrid>
      <w:tr>
        <w:trPr>
          <w:tblHeader/>
        </w:trPr>
        <w:tc>
          <w:tcPr>
            <w:tcW w:type="dxa" w:w="8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Test Node</w:t>
            </w:r>
          </w:p>
        </w:tc>
        <w:tc>
          <w:tcPr>
            <w:tcW w:type="dxa" w:w="16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Location</w:t>
            </w:r>
          </w:p>
        </w:tc>
        <w:tc>
          <w:tcPr>
            <w:tcW w:type="dxa" w:w="12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LAT (udeg)</w:t>
            </w:r>
          </w:p>
        </w:tc>
        <w:tc>
          <w:tcPr>
            <w:tcW w:type="dxa" w:w="12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LNG (udeg)</w:t>
            </w:r>
          </w:p>
        </w:tc>
        <w:tc>
          <w:tcPr>
            <w:tcW w:type="dxa" w:w="10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ALT (cm)</w:t>
            </w:r>
          </w:p>
        </w:tc>
        <w:tc>
          <w:tcPr>
            <w:tcW w:type="dxa" w:w="10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CHK Sim.</w:t>
            </w:r>
          </w:p>
        </w:tc>
        <w:tc>
          <w:tcPr>
            <w:tcW w:type="dxa" w:w="156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Roundtrip Sim.</w:t>
            </w:r>
          </w:p>
        </w:tc>
      </w:tr>
      <w:tr>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0x0001</w:t>
            </w:r>
          </w:p>
        </w:tc>
        <w:tc>
          <w:tcPr>
            <w:tcW w:type="dxa" w:w="16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Beijing, China</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39,904,200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116,407,400</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4,400</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Correct</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Correct</w:t>
            </w:r>
          </w:p>
        </w:tc>
      </w:tr>
      <w:tr>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0x0002</w:t>
            </w:r>
          </w:p>
        </w:tc>
        <w:tc>
          <w:tcPr>
            <w:tcW w:type="dxa" w:w="16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Kennedy Space Ctr.</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28,562,200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−80,577,200</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300</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Correct</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Correct</w:t>
            </w:r>
          </w:p>
        </w:tc>
      </w:tr>
      <w:tr>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0x0003</w:t>
            </w:r>
          </w:p>
        </w:tc>
        <w:tc>
          <w:tcPr>
            <w:tcW w:type="dxa" w:w="16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ISS Orbit (408 km)</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40,800,000</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Correct</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Correct</w:t>
            </w:r>
          </w:p>
        </w:tc>
      </w:tr>
      <w:tr>
        <w:tc>
          <w:tcPr>
            <w:tcW w:type="dxa" w:w="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0x0004</w:t>
            </w:r>
          </w:p>
        </w:tc>
        <w:tc>
          <w:tcPr>
            <w:tcW w:type="dxa" w:w="16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Mars Jezero Crater</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18,444,700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77,450,800</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−250,000</w:t>
            </w:r>
          </w:p>
        </w:tc>
        <w:tc>
          <w:tcPr>
            <w:tcW w:type="dxa" w:w="1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Correct</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Correct</w:t>
            </w:r>
          </w:p>
        </w:tc>
      </w:tr>
    </w:tbl>
    <w:p>
      <w:pPr>
        <w:spacing w:after="160" w:before="60" w:line="320" w:lineRule="auto"/>
        <w:jc w:val="center"/>
      </w:pPr>
      <w:r>
        <w:rPr>
          <w:rFonts w:ascii="Times New Roman" w:cs="Times New Roman" w:eastAsia="Times New Roman" w:hAnsi="Times New Roman"/>
          <w:i/>
          <w:iCs/>
          <w:sz w:val="20"/>
          <w:szCs w:val="20"/>
        </w:rPr>
        <w:t xml:space="preserve">Table 2. RTL behavioral simulation results for GeoAddress encoder, decoder, and range validator. Tool: Icarus Verilog 12.0, EDA Playground. Results reflect simulation correctness, not physical hardware measurement.</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simulation confirmed that the proposed encoding scheme produces the expected bit patterns for all four test cases, that the XOR-8 checksum is correctly computed by the encoder and correctly verified by the decoder, and that coordinate range validation operates correctly at boundary conditions. These results support the logical feasibility of the proposed packet format. Implementation on physical hardware, measurement of actual encoding latency and power consumption, and integration testing with real GPS receivers remain as future work.</w:t>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III. GEOGRAPHIC GRAVITY ROUTING</w:t>
      </w:r>
    </w:p>
    <w:p>
      <w:pPr>
        <w:spacing w:line="240" w:lineRule="auto"/>
      </w:pPr>
      <w:r>
        <w:rPr>
          <w:rFonts w:ascii="Times New Roman" w:cs="Times New Roman" w:eastAsia="Times New Roman" w:hAnsi="Times New Roman"/>
          <w:sz w:val="24"/>
          <w:szCs w:val="24"/>
        </w:rPr>
        <w:t xml:space="preserve"/>
      </w:r>
    </w:p>
    <w:p>
      <w:pPr>
        <w:spacing w:after="80" w:before="160" w:line="480" w:lineRule="auto"/>
      </w:pPr>
      <w:r>
        <w:rPr>
          <w:rFonts w:ascii="Times New Roman" w:cs="Times New Roman" w:eastAsia="Times New Roman" w:hAnsi="Times New Roman"/>
          <w:b/>
          <w:bCs/>
          <w:i/>
          <w:iCs/>
          <w:sz w:val="24"/>
          <w:szCs w:val="24"/>
        </w:rPr>
        <w:t xml:space="preserve">A. Algorithm Specification</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Geographic Gravity Routing is a stateless forwarding algorithm in which each relay node makes an independent local forwarding decision based solely on the physical coordinates of its neighbors and the destination coordinate embedded in the packet header. At each relay node X with neighbor set N(X), the forwarding rule is:</w:t>
      </w:r>
    </w:p>
    <w:p>
      <w:pPr>
        <w:spacing w:line="480" w:lineRule="auto"/>
        <w:ind w:left="720" w:right="720"/>
        <w:jc w:val="center"/>
      </w:pPr>
      <w:r>
        <w:rPr>
          <w:rFonts w:ascii="Times New Roman" w:cs="Times New Roman" w:eastAsia="Times New Roman" w:hAnsi="Times New Roman"/>
          <w:i/>
          <w:iCs/>
          <w:sz w:val="24"/>
          <w:szCs w:val="24"/>
        </w:rPr>
        <w:t xml:space="preserve">next_hop = argmin  dist(n.GeoAddress, dst.GeoAddress)</w:t>
      </w:r>
    </w:p>
    <w:p>
      <w:pPr>
        <w:spacing w:line="240"/>
        <w:jc w:val="center"/>
      </w:pPr>
      <w:r>
        <w:rPr>
          <w:rFonts w:ascii="Times New Roman" w:cs="Times New Roman" w:eastAsia="Times New Roman" w:hAnsi="Times New Roman"/>
          <w:i/>
          <w:iCs/>
          <w:sz w:val="20"/>
          <w:szCs w:val="20"/>
        </w:rPr>
        <w:t xml:space="preserve">n ∈ N(X), n ∉ visited(packet)</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where dist(·,·) is the Euclidean distance between GeoAddress coordinate tuples projected onto the appropriate reference surface. If no neighbor satisfies the greedy progress condition (i.e., all neighbors are farther from the destination than the current node), a perimeter routing fallback is invoked following the face-routing approach of Karp and Kung [2].</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This algorithm requires no routing table, no BGP adjacency sessions, no path computation protocol, and no central control plane. Its time complexity per forwarding decision is O(|N(X)|), where |N(X)| is the degree of the current node.</w:t>
      </w:r>
    </w:p>
    <w:p>
      <w:pPr>
        <w:spacing w:after="80" w:before="160" w:line="480" w:lineRule="auto"/>
      </w:pPr>
      <w:r>
        <w:rPr>
          <w:rFonts w:ascii="Times New Roman" w:cs="Times New Roman" w:eastAsia="Times New Roman" w:hAnsi="Times New Roman"/>
          <w:b/>
          <w:bCs/>
          <w:i/>
          <w:iCs/>
          <w:sz w:val="24"/>
          <w:szCs w:val="24"/>
        </w:rPr>
        <w:t xml:space="preserve">B. Simulation Study</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 Python-based network simulation was conducted to evaluate the proposed algorithm’s behavior under controlled conditions. The simulation is not a measurement of a deployed network; it is a model-based feasibility analysis subject to the modeling assumptions described below.</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Simulation parameters: 80 nodes placed uniformly at random within a 1,000 km × 1,000 km coordinate space; bidirectional links established between all node pairs within a 220 km Euclidean radius (resulting in 395 total links); 200 uniformly random source-destination pairs evaluated. The comparison baseline is Dijkstra shortest-path routing over the same graph with hop count as the edge weight, representing conventional IP-style routing. Random seed is fixed (seed = 42) for reproducibility.</w:t>
      </w:r>
    </w:p>
    <w:p>
      <w:pPr>
        <w:spacing w:line="24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18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IP Baseline</w:t>
            </w:r>
          </w:p>
        </w:tc>
        <w:tc>
          <w:tcPr>
            <w:tcW w:type="dxa" w:w="20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Geo Gravity Routing</w:t>
            </w:r>
          </w:p>
        </w:tc>
        <w:tc>
          <w:tcPr>
            <w:tcW w:type="dxa" w:w="316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Observation</w:t>
            </w:r>
          </w:p>
        </w:tc>
      </w:tr>
      <w:tr>
        <w:tc>
          <w:tcPr>
            <w:tcW w:type="dxa" w:w="24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Delivery rate</w:t>
            </w:r>
          </w:p>
        </w:tc>
        <w:tc>
          <w:tcPr>
            <w:tcW w:type="dxa" w:w="1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99.5%  (199/200)</w:t>
            </w:r>
          </w:p>
        </w:tc>
        <w:tc>
          <w:tcPr>
            <w:tcW w:type="dxa" w:w="2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94.0%  (188/200)</w:t>
            </w:r>
          </w:p>
        </w:tc>
        <w:tc>
          <w:tcPr>
            <w:tcW w:type="dxa" w:w="31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 lower; attributable to local minima in sparse topology</w:t>
            </w:r>
          </w:p>
        </w:tc>
      </w:tr>
      <w:tr>
        <w:tc>
          <w:tcPr>
            <w:tcW w:type="dxa" w:w="24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Mean path length</w:t>
            </w:r>
          </w:p>
        </w:tc>
        <w:tc>
          <w:tcPr>
            <w:tcW w:type="dxa" w:w="1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3.49 hops</w:t>
            </w:r>
          </w:p>
        </w:tc>
        <w:tc>
          <w:tcPr>
            <w:tcW w:type="dxa" w:w="2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3.45 hops</w:t>
            </w:r>
          </w:p>
        </w:tc>
        <w:tc>
          <w:tcPr>
            <w:tcW w:type="dxa" w:w="31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 comparable efficiency without a routing table</w:t>
            </w:r>
          </w:p>
        </w:tc>
      </w:tr>
      <w:tr>
        <w:tc>
          <w:tcPr>
            <w:tcW w:type="dxa" w:w="24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Load Gini coefficient</w:t>
            </w:r>
          </w:p>
        </w:tc>
        <w:tc>
          <w:tcPr>
            <w:tcW w:type="dxa" w:w="1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0.539</w:t>
            </w:r>
          </w:p>
        </w:tc>
        <w:tc>
          <w:tcPr>
            <w:tcW w:type="dxa" w:w="2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0.458</w:t>
            </w:r>
          </w:p>
        </w:tc>
        <w:tc>
          <w:tcPr>
            <w:tcW w:type="dxa" w:w="31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−15% load concentration; more even relay distribution</w:t>
            </w:r>
          </w:p>
        </w:tc>
      </w:tr>
      <w:tr>
        <w:tc>
          <w:tcPr>
            <w:tcW w:type="dxa" w:w="24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Survivability (15% failure)</w:t>
            </w:r>
          </w:p>
        </w:tc>
        <w:tc>
          <w:tcPr>
            <w:tcW w:type="dxa" w:w="1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w:t>
            </w:r>
          </w:p>
        </w:tc>
        <w:tc>
          <w:tcPr>
            <w:tcW w:type="dxa" w:w="2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88.9%</w:t>
            </w:r>
          </w:p>
        </w:tc>
        <w:tc>
          <w:tcPr>
            <w:tcW w:type="dxa" w:w="31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Geo routing degrades gracefully without re-convergence</w:t>
            </w:r>
          </w:p>
        </w:tc>
      </w:tr>
      <w:tr>
        <w:tc>
          <w:tcPr>
            <w:tcW w:type="dxa" w:w="24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Link quality differential</w:t>
            </w:r>
          </w:p>
        </w:tc>
        <w:tc>
          <w:tcPr>
            <w:tcW w:type="dxa" w:w="18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2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31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+23.2% backbone vs. short-link avg. quality (see Section IV)</w:t>
            </w:r>
          </w:p>
        </w:tc>
      </w:tr>
    </w:tbl>
    <w:p>
      <w:pPr>
        <w:spacing w:after="160" w:before="60" w:line="320" w:lineRule="auto"/>
        <w:jc w:val="center"/>
      </w:pPr>
      <w:r>
        <w:rPr>
          <w:rFonts w:ascii="Times New Roman" w:cs="Times New Roman" w:eastAsia="Times New Roman" w:hAnsi="Times New Roman"/>
          <w:i/>
          <w:iCs/>
          <w:sz w:val="20"/>
          <w:szCs w:val="20"/>
        </w:rPr>
        <w:t xml:space="preserve">Table 3. Geographic Gravity Routing simulation results. Python 3.12, 80 nodes, 200 test pairs, seed=42. Results are simulation estimates, not empirical field measurements.</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94.0% delivery rate of Geographic Gravity Routing versus the 99.5% baseline reflects the inherent limitation of greedy geographic forwarding in sparse topologies: local minima arise when no neighbor provides geographic progress toward the destination. The perimeter fallback resolves most such cases; the residual 5.5% failure rate in this simulation represents cases where the fallback also fails to find a path, typically in disconnected graph regions. In denser node configurations, local minimum frequency decreases substantially [2].</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Gini coefficient reduction from 0.539 to 0.458 suggests that geographic routing distributes relay load more evenly across the network under these simulation conditions, avoiding the high-centrality bottleneck nodes characteristic of shortest-path routing. This is a property of the greedy geographic algorithm and the random node placement, not a proven result for arbitrary topologies.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These simulation results support the theoretical feasibility of the proposed algorithm. They do not constitute empirical evidence of performance in a deployed network. Factors not modeled include wireless channel conditions, node mobility, packet collisions at the MAC layer, and heterogeneous link capacities.</w:t>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IV. LINK TIERING: THE FAR-MORE-STABLE PRINCIPLE</w:t>
      </w:r>
    </w:p>
    <w:p>
      <w:pPr>
        <w:spacing w:line="240" w:lineRule="auto"/>
      </w:pPr>
      <w:r>
        <w:rPr>
          <w:rFonts w:ascii="Times New Roman" w:cs="Times New Roman" w:eastAsia="Times New Roman" w:hAnsi="Times New Roman"/>
          <w:sz w:val="24"/>
          <w:szCs w:val="24"/>
        </w:rPr>
        <w:t xml:space="preserve"/>
      </w:r>
    </w:p>
    <w:p>
      <w:pPr>
        <w:spacing w:after="80" w:before="160" w:line="480" w:lineRule="auto"/>
      </w:pPr>
      <w:r>
        <w:rPr>
          <w:rFonts w:ascii="Times New Roman" w:cs="Times New Roman" w:eastAsia="Times New Roman" w:hAnsi="Times New Roman"/>
          <w:b/>
          <w:bCs/>
          <w:i/>
          <w:iCs/>
          <w:sz w:val="24"/>
          <w:szCs w:val="24"/>
        </w:rPr>
        <w:t xml:space="preserve">A. Theoretical Basis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In conventional network architectures, all links are treated as equivalent resources differentiated only by bandwidth and latency parameters. BitStar proposes a different architectural premise: links are classified by range, and the classification determines the physical medium and access model. Short-range links (within autonomous geographic networks) are assigned to shared wireless spectrum, subject to contention from all co-located nodes. Long-range backbone links (between autonomous networks) are assigned to dedicated optical channels—either fiber or free-space optical—with no contention.</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Under this design, a packet traveling long-distance over a dedicated backbone link will experience lower packet loss, lower latency, and lower latency variance than a packet traveling short-distance over shared spectrum under equivalent offered load. This inverts the conventional distance-quality assumption. The theoretical basis is straightforward: contention-free channels do not exhibit load-dependent packet loss or queuing-induced latency variance, regardless of the distance traversed.</w:t>
      </w:r>
    </w:p>
    <w:p>
      <w:pPr>
        <w:spacing w:after="80" w:before="160" w:line="480" w:lineRule="auto"/>
      </w:pPr>
      <w:r>
        <w:rPr>
          <w:rFonts w:ascii="Times New Roman" w:cs="Times New Roman" w:eastAsia="Times New Roman" w:hAnsi="Times New Roman"/>
          <w:b/>
          <w:bCs/>
          <w:i/>
          <w:iCs/>
          <w:sz w:val="24"/>
          <w:szCs w:val="24"/>
        </w:rPr>
        <w:t xml:space="preserve">B. Simulation Study</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 Python-based simulation was conducted to quantify the proposed quality differential between link types under varied offered load. The short-link model implements packet loss as a function of offered load (loss probability = offered_load / 4, representing contention effects), with load-dependent base latency (2 + offered_load/10 cycles) and random jitter (0-3 cycles). The backbone model implements zero packet loss at all loads, with fixed latency (4 cycles) and minimal jitter (0-1 cycle). These are idealized models intended to illustrate the qualitative behavior of the proposed architecture, not to model specific hardware implementations.</w:t>
      </w:r>
    </w:p>
    <w:p>
      <w:pPr>
        <w:spacing w:line="240" w:lineRule="auto"/>
      </w:pPr>
      <w:r>
        <w:rPr>
          <w:rFonts w:ascii="Times New Roman" w:cs="Times New Roman" w:eastAsia="Times New Roman" w:hAnsi="Times New Roman"/>
          <w:sz w:val="24"/>
          <w:szCs w:val="24"/>
        </w:rP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900"/>
        <w:gridCol w:w="1100"/>
        <w:gridCol w:w="1200"/>
        <w:gridCol w:w="1200"/>
        <w:gridCol w:w="1560"/>
      </w:tblGrid>
      <w:tr>
        <w:trPr>
          <w:tblHeader/>
        </w:trPr>
        <w:tc>
          <w:tcPr>
            <w:tcW w:type="dxa" w:w="11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Scene</w:t>
            </w:r>
          </w:p>
        </w:tc>
        <w:tc>
          <w:tcPr>
            <w:tcW w:type="dxa" w:w="7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Load</w:t>
            </w:r>
          </w:p>
        </w:tc>
        <w:tc>
          <w:tcPr>
            <w:tcW w:type="dxa" w:w="9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Short Loss</w:t>
            </w:r>
          </w:p>
        </w:tc>
        <w:tc>
          <w:tcPr>
            <w:tcW w:type="dxa" w:w="11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Backbone Loss</w:t>
            </w:r>
          </w:p>
        </w:tc>
        <w:tc>
          <w:tcPr>
            <w:tcW w:type="dxa" w:w="12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Short Avg. Lat.</w:t>
            </w:r>
          </w:p>
        </w:tc>
        <w:tc>
          <w:tcPr>
            <w:tcW w:type="dxa" w:w="12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Backbone Avg. Lat.</w:t>
            </w:r>
          </w:p>
        </w:tc>
        <w:tc>
          <w:tcPr>
            <w:tcW w:type="dxa" w:w="156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Sim. Outcome</w:t>
            </w:r>
          </w:p>
        </w:tc>
      </w:tr>
      <w:tr>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S1 Light</w:t>
            </w:r>
          </w:p>
        </w:tc>
        <w:tc>
          <w:tcPr>
            <w:tcW w:type="dxa" w:w="7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w:t>
            </w:r>
          </w:p>
        </w:tc>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4.55 cy</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4.51 cy</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Backbone superior</w:t>
            </w:r>
          </w:p>
        </w:tc>
      </w:tr>
      <w:tr>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S2 Medium</w:t>
            </w:r>
          </w:p>
        </w:tc>
        <w:tc>
          <w:tcPr>
            <w:tcW w:type="dxa" w:w="7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w:t>
            </w:r>
          </w:p>
        </w:tc>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8.0%</w:t>
            </w:r>
          </w:p>
        </w:tc>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7.57 cy</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4.46 cy</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Backbone superior</w:t>
            </w:r>
          </w:p>
        </w:tc>
      </w:tr>
      <w:tr>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S3 Heavy</w:t>
            </w:r>
          </w:p>
        </w:tc>
        <w:tc>
          <w:tcPr>
            <w:tcW w:type="dxa" w:w="7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70%</w:t>
            </w:r>
          </w:p>
        </w:tc>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18.6%</w:t>
            </w:r>
          </w:p>
        </w:tc>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10.49 cy</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4.51 cy</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Backbone superior</w:t>
            </w:r>
          </w:p>
        </w:tc>
      </w:tr>
      <w:tr>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S4 Burst</w:t>
            </w:r>
          </w:p>
        </w:tc>
        <w:tc>
          <w:tcPr>
            <w:tcW w:type="dxa" w:w="7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95%</w:t>
            </w:r>
          </w:p>
        </w:tc>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25.8%</w:t>
            </w:r>
          </w:p>
        </w:tc>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12.99 cy</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4.48 cy</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Backbone superior</w:t>
            </w:r>
          </w:p>
        </w:tc>
      </w:tr>
      <w:tr>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S5 Fail. Spike</w:t>
            </w:r>
          </w:p>
        </w:tc>
        <w:tc>
          <w:tcPr>
            <w:tcW w:type="dxa" w:w="7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50→95%</w:t>
            </w:r>
          </w:p>
        </w:tc>
        <w:tc>
          <w:tcPr>
            <w:tcW w:type="dxa" w:w="9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19.2%</w:t>
            </w:r>
          </w:p>
        </w:tc>
        <w:tc>
          <w:tcPr>
            <w:tcW w:type="dxa" w:w="11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10.55 cy</w:t>
            </w:r>
          </w:p>
        </w:tc>
        <w:tc>
          <w:tcPr>
            <w:tcW w:type="dxa" w:w="1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4.51 cy</w:t>
            </w:r>
          </w:p>
        </w:tc>
        <w:tc>
          <w:tcPr>
            <w:tcW w:type="dxa" w:w="15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Backbone superior</w:t>
            </w:r>
          </w:p>
        </w:tc>
      </w:tr>
    </w:tbl>
    <w:p>
      <w:pPr>
        <w:spacing w:after="160" w:before="60" w:line="320" w:lineRule="auto"/>
        <w:jc w:val="center"/>
      </w:pPr>
      <w:r>
        <w:rPr>
          <w:rFonts w:ascii="Times New Roman" w:cs="Times New Roman" w:eastAsia="Times New Roman" w:hAnsi="Times New Roman"/>
          <w:i/>
          <w:iCs/>
          <w:sz w:val="20"/>
          <w:szCs w:val="20"/>
        </w:rPr>
        <w:t xml:space="preserve">Table 4. Link Tiering simulation results. Python 3.12, 500 packets per scene, seed=42. Short-link and backbone models are idealized; results reflect model behavior, not measured hardware performance.</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Under the simulation model, the backbone link maintains zero packet loss and near-constant latency across all five load scenes, while the short link exhibits increasing loss (1.8% to 25.8%) and increasing average latency (4.55 to 12.99 cycles) as offered load rises. At the 95% burst load (Scene S4), the short-link model drops approximately one in four packets. These outcomes are a direct consequence of the model’s contention function and are consistent with the theoretical prediction of the Link Tiering principle.</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These results support the theoretical claim but are subject to significant modeling limitations. The contention model is a simplified analytical approximation; real wireless link behavior depends on modulation, coding, interference patterns, and MAC protocol design. The backbone model assumes a lossless channel, which is not achievable in practice over free-space optical paths subject to atmospheric turbulence and pointing errors [3]. Empirical validation of the quality differential requires controlled measurement campaigns comparing real shared-medium and dedicated optical links under matched traffic conditions.</w:t>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V. THREE-LAYER ARCHITECTURE</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BitStar architecture is organized into three hierarchical layers, each defined by physical geographic scope.</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Layer 1 (Node Layer). Every network-capable device holds a GeoAddress derived from its physical coordinates. No allocation authority is required. In cases where multiple devices occupy identical coordinates (e.g., within the same building), the NODE_ID field provides disambiguation.</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Layer 2 (Autonomous Geographic Network, AGN). Nodes within a geographic proximity threshold self-organize into a mesh network using Geographic Gravity Routing as the internal forwarding mechanism. The AGN is self-forming: nodes join by announcing their GeoAddress and discovering neighbors. The AGN is self-healing: loss of a node is accommodated by the greedy forwarding algorithm’s automatic selection of alternative paths without a re-convergence protocol.</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Layer 3 (Interstellar Interconnect). Different AGNs are connected through border gateway nodes and dedicated backbone links as specified in Section IV. At planetary or interplanetary scales, backbone links are implemented as free-space optical channels carried by LEO satellite constellations or deep-space relay nodes. The Speed-of-Light Approach Protocol (Section VI) operates at this layer.</w:t>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VI. SPEED-OF-LIGHT APPROACH PROTOCOL (SLAP)</w:t>
      </w:r>
    </w:p>
    <w:p>
      <w:pPr>
        <w:spacing w:line="240" w:lineRule="auto"/>
      </w:pPr>
      <w:r>
        <w:rPr>
          <w:rFonts w:ascii="Times New Roman" w:cs="Times New Roman" w:eastAsia="Times New Roman" w:hAnsi="Times New Roman"/>
          <w:sz w:val="24"/>
          <w:szCs w:val="24"/>
        </w:rPr>
        <w:t xml:space="preserve"/>
      </w:r>
    </w:p>
    <w:p>
      <w:pPr>
        <w:spacing w:after="80" w:before="160" w:line="480" w:lineRule="auto"/>
      </w:pPr>
      <w:r>
        <w:rPr>
          <w:rFonts w:ascii="Times New Roman" w:cs="Times New Roman" w:eastAsia="Times New Roman" w:hAnsi="Times New Roman"/>
          <w:b/>
          <w:bCs/>
          <w:i/>
          <w:iCs/>
          <w:sz w:val="24"/>
          <w:szCs w:val="24"/>
        </w:rPr>
        <w:t xml:space="preserve">A. Problem Statement</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End-to-end latency in a network decomposes into propagation latency and protocol overhead latency. Propagation latency is the irreducible physical minimum: L_prop = d / c, where d is the path length and c is the speed of light. Protocol overhead includes handshaking, acknowledgment round-trips, retransmission delays, and queuing delays. Over terrestrial distances, protocol overhead is small relative to propagation latency. Over interplanetary distances, it is not: a TCP three-way handshake at minimum Earth-Mars distance (54.6 million km) requires approximately 6 minutes of propagation time per round-trip leg, making conventional connection-oriented protocols entirely impractical.</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This paper does not claim to reduce propagation latency below L_prop. Such a claim would contradict established physics. The proposed SLAP targets the elimination of protocol overhead above L_prop, so that total latency approaches the propagation floor asymptotically.</w:t>
      </w:r>
    </w:p>
    <w:p>
      <w:pPr>
        <w:spacing w:after="80" w:before="160" w:line="480" w:lineRule="auto"/>
      </w:pPr>
      <w:r>
        <w:rPr>
          <w:rFonts w:ascii="Times New Roman" w:cs="Times New Roman" w:eastAsia="Times New Roman" w:hAnsi="Times New Roman"/>
          <w:b/>
          <w:bCs/>
          <w:i/>
          <w:iCs/>
          <w:sz w:val="24"/>
          <w:szCs w:val="24"/>
        </w:rPr>
        <w:t xml:space="preserve">B. Proposed Mechanisms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SLAP proposes four mechanisms to minimize protocol overhead. First, one-way connection establishment: session initiation is encoded in the first data packet rather than preceding it with a handshake sequence. Second, asynchronous acknowledgment: receipt confirmation is returned opportunistically on backbone links rather than being a blocking dependency for continued transmission. Third, forward error correction in place of ARQ: data redundancy is added at the transmitter to allow receiver-side error recovery without retransmission requests. Fourth, pre-allocated dedicated bandwidth on Layer 3 backbone links, eliminating queuing-induced delay variation.</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These mechanisms are proposed at a conceptual level. Full protocol specification, including state machine definitions, FEC code selection, and interoperability with existing delay-tolerant networking standards [4], is left as future work.</w:t>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VII. SIMULATION SUMMARY</w:t>
      </w:r>
    </w:p>
    <w:p>
      <w:pPr>
        <w:spacing w:line="24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Study</w:t>
            </w:r>
          </w:p>
        </w:tc>
        <w:tc>
          <w:tcPr>
            <w:tcW w:type="dxa" w:w="26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Tool / Method</w:t>
            </w:r>
          </w:p>
        </w:tc>
        <w:tc>
          <w:tcPr>
            <w:tcW w:type="dxa" w:w="24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Scope</w:t>
            </w:r>
          </w:p>
        </w:tc>
        <w:tc>
          <w:tcPr>
            <w:tcW w:type="dxa" w:w="236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Outcome</w:t>
            </w:r>
          </w:p>
        </w:tc>
      </w:tr>
      <w:tr>
        <w:tc>
          <w:tcPr>
            <w:tcW w:type="dxa" w:w="2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GeoAddress RTL sim.</w:t>
            </w:r>
          </w:p>
        </w:tc>
        <w:tc>
          <w:tcPr>
            <w:tcW w:type="dxa" w:w="26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SystemVerilog / Icarus Verilog 12.0</w:t>
            </w:r>
          </w:p>
        </w:tc>
        <w:tc>
          <w:tcPr>
            <w:tcW w:type="dxa" w:w="24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 node test cases; encode, decode, checksum</w:t>
            </w:r>
          </w:p>
        </w:tc>
        <w:tc>
          <w:tcPr>
            <w:tcW w:type="dxa" w:w="23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All 4 cases: correct output (simulation)</w:t>
            </w:r>
          </w:p>
        </w:tc>
      </w:tr>
      <w:tr>
        <w:tc>
          <w:tcPr>
            <w:tcW w:type="dxa" w:w="2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Gravity Routing sim.</w:t>
            </w:r>
          </w:p>
        </w:tc>
        <w:tc>
          <w:tcPr>
            <w:tcW w:type="dxa" w:w="26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Python 3.12 / graph model</w:t>
            </w:r>
          </w:p>
        </w:tc>
        <w:tc>
          <w:tcPr>
            <w:tcW w:type="dxa" w:w="24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80 nodes, 200 pairs, 5 metrics</w:t>
            </w:r>
          </w:p>
        </w:tc>
        <w:tc>
          <w:tcPr>
            <w:tcW w:type="dxa" w:w="23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Results consistent with theoretical predictions</w:t>
            </w:r>
          </w:p>
        </w:tc>
      </w:tr>
      <w:tr>
        <w:tc>
          <w:tcPr>
            <w:tcW w:type="dxa" w:w="20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Link Tiering sim.</w:t>
            </w:r>
          </w:p>
        </w:tc>
        <w:tc>
          <w:tcPr>
            <w:tcW w:type="dxa" w:w="26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Python 3.12 / idealized link model</w:t>
            </w:r>
          </w:p>
        </w:tc>
        <w:tc>
          <w:tcPr>
            <w:tcW w:type="dxa" w:w="24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 load scenes, 500 packets each</w:t>
            </w:r>
          </w:p>
        </w:tc>
        <w:tc>
          <w:tcPr>
            <w:tcW w:type="dxa" w:w="23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Backbone model superior in all 5 scenes</w:t>
            </w:r>
          </w:p>
        </w:tc>
      </w:tr>
    </w:tbl>
    <w:p>
      <w:pPr>
        <w:spacing w:after="160" w:before="60" w:line="320" w:lineRule="auto"/>
        <w:jc w:val="center"/>
      </w:pPr>
      <w:r>
        <w:rPr>
          <w:rFonts w:ascii="Times New Roman" w:cs="Times New Roman" w:eastAsia="Times New Roman" w:hAnsi="Times New Roman"/>
          <w:i/>
          <w:iCs/>
          <w:sz w:val="20"/>
          <w:szCs w:val="20"/>
        </w:rPr>
        <w:t xml:space="preserve">Table 5. Summary of simulation studies. All results are simulation estimates; no physical prototype exists. Empirical validation is future work.</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Across all three simulation studies, outcomes are consistent with the theoretical predictions of the proposed architecture. The GeoAddress RTL simulation confirms logical correctness of the packet format and integrity scheme. The routing simulation supports the claim that geographic gravity routing is a viable stateless forwarding mechanism with load distribution advantages over shortest-path routing, at the cost of a modest delivery rate reduction in sparse topologies. The link tiering simulation supports the theoretical prediction that dedicated backbone links outperform shared short-range links under all load conditions, under the stated modeling assumptions.</w:t>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VIII. LIMITATIONS AND FUTURE WORK</w:t>
      </w:r>
    </w:p>
    <w:p>
      <w:pPr>
        <w:spacing w:line="240" w:lineRule="auto"/>
      </w:pPr>
      <w:r>
        <w:rPr>
          <w:rFonts w:ascii="Times New Roman" w:cs="Times New Roman" w:eastAsia="Times New Roman" w:hAnsi="Times New Roman"/>
          <w:sz w:val="24"/>
          <w:szCs w:val="24"/>
        </w:rPr>
        <w:t xml:space="preserve"/>
      </w:r>
    </w:p>
    <w:p>
      <w:pPr>
        <w:spacing w:after="80" w:before="160" w:line="480" w:lineRule="auto"/>
      </w:pPr>
      <w:r>
        <w:rPr>
          <w:rFonts w:ascii="Times New Roman" w:cs="Times New Roman" w:eastAsia="Times New Roman" w:hAnsi="Times New Roman"/>
          <w:b/>
          <w:bCs/>
          <w:i/>
          <w:iCs/>
          <w:sz w:val="24"/>
          <w:szCs w:val="24"/>
        </w:rPr>
        <w:t xml:space="preserve">A. Simulation Modeling Limitations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All quantitative results in this paper are derived from simulation studies, not physical measurements. Three categories of limitation apply. First, the network simulation models use idealized link models that do not capture real wireless channel behavior, including fading, interference, hidden-terminal effects, or MAC protocol contention resolution. Second, the RTL behavioral simulation confirms logical correctness of the packet format but does not characterize timing, power consumption, or implementation area, which depend on the specific fabrication technology. Third, the link tiering simulation uses a simplified analytical contention model; real shared-medium link behavior is substantially more complex.</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These limitations mean that the quantitative results (e.g., 94.0% delivery rate, +23.2% backbone quality advantage) are properties of the simulation models, not measurements of a real network. They provide qualitative support for the theoretical claims and quantitative estimates for use in system design, but they cannot substitute for empirical validation.</w:t>
      </w:r>
    </w:p>
    <w:p>
      <w:pPr>
        <w:spacing w:after="80" w:before="160" w:line="480" w:lineRule="auto"/>
      </w:pPr>
      <w:r>
        <w:rPr>
          <w:rFonts w:ascii="Times New Roman" w:cs="Times New Roman" w:eastAsia="Times New Roman" w:hAnsi="Times New Roman"/>
          <w:b/>
          <w:bCs/>
          <w:i/>
          <w:iCs/>
          <w:sz w:val="24"/>
          <w:szCs w:val="24"/>
        </w:rPr>
        <w:t xml:space="preserve">B. Theoretical Limitations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Geographic Gravity Routing is susceptible to local minima in disconnected or highly irregular network topologies. The perimeter routing fallback reduces but does not eliminate this failure mode. In network topologies substantially different from the uniform random placement assumed in the simulation, delivery rates may differ significantly. The optimal connection radius and node density for a given deployment area require further analytical and experimental study.</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GeoAddress ALT field covers altitudes to approximately 21.4 million km using a 32-bit signed integer. Addressing nodes at greater distances (e.g., outer solar system) would require a 64-bit ALT field or a hierarchical coordinate system, which is not specified in this paper.</w:t>
      </w:r>
    </w:p>
    <w:p>
      <w:pPr>
        <w:spacing w:after="80" w:before="160" w:line="480" w:lineRule="auto"/>
      </w:pPr>
      <w:r>
        <w:rPr>
          <w:rFonts w:ascii="Times New Roman" w:cs="Times New Roman" w:eastAsia="Times New Roman" w:hAnsi="Times New Roman"/>
          <w:b/>
          <w:bCs/>
          <w:i/>
          <w:iCs/>
          <w:sz w:val="24"/>
          <w:szCs w:val="24"/>
        </w:rPr>
        <w:t xml:space="preserve">C. Future Work</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immediate priority for future work is hardware prototype implementation. A three-node prototype using commodity single-board computers, GPS modules, and LoRa radio transceivers would allow empirical measurement of GeoAddress encoding latency, geographic routing overhead, and link quality differential under real wireless channel conditions. Subsequent work should address: full SLAP protocol specification and implementation; integration with existing delay-tolerant networking standards [4]; field trials in sparse-node environments; and free-space optical link quality measurement under atmospheric turbulence conditions [3].</w:t>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IX. CONCLUSION</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This paper has presented BitStar, a theoretical framework for a photonic network architecture in which physical coordinates serve as network addresses, spatial proximity determines routing decisions, and link type determines quality tier. Three architectural layers are defined: the GeoAddress Protocol, Geographic Gravity Routing, and Link Tiering. A fourth protocol, SLAP, is proposed for interplanetary extension. Three simulation studies provide feasibility evidence consistent with the theoretical predictions of each layer.</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central claim of this work is that the fifty-year-old premise of network design—that logical structure should be decoupled from physical space—is unnecessary and, at interplanetary scale, counterproductive. A network grounded in physical coordinates can self-address, self-organize, self-heal, and scale to interstellar distances without centralized authority. The simulation evidence presented here supports this claim at a feasibility level. Empirical validation through hardware prototype and field deployment is the necessary next step.</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Source code for all simulation studies is publicly available at github.com/maomaoati-coder/bitstar-photon-network under MGOVL v2.0 license.</w:t>
      </w:r>
    </w:p>
    <w:p>
      <w:pPr>
        <w:spacing w:line="240" w:lineRule="auto"/>
      </w:pPr>
      <w:r>
        <w:rPr>
          <w:rFonts w:ascii="Times New Roman" w:cs="Times New Roman" w:eastAsia="Times New Roman" w:hAnsi="Times New Roman"/>
          <w:sz w:val="24"/>
          <w:szCs w:val="24"/>
        </w:rPr>
        <w:t xml:space="preserve"/>
      </w:r>
    </w:p>
    <w:p>
      <w:pPr>
        <w:pBdr>
          <w:bottom w:val="single" w:color="000000" w:sz="6" w:space="1"/>
        </w:pBdr>
        <w:spacing w:after="0" w:before="0" w:line="240" w:lineRule="auto"/>
      </w:pPr>
      <w:r>
        <w:t xml:space="preserve"/>
      </w:r>
    </w:p>
    <w:p>
      <w:pPr>
        <w:spacing w:line="240" w:lineRule="auto"/>
      </w:pPr>
      <w:r>
        <w:rPr>
          <w:rFonts w:ascii="Times New Roman" w:cs="Times New Roman" w:eastAsia="Times New Roman" w:hAnsi="Times New Roman"/>
          <w:sz w:val="24"/>
          <w:szCs w:val="24"/>
        </w:rPr>
        <w:t xml:space="preserve"/>
      </w:r>
    </w:p>
    <w:p>
      <w:pPr>
        <w:spacing w:after="120" w:before="240" w:line="480" w:lineRule="auto"/>
        <w:jc w:val="center"/>
      </w:pPr>
      <w:r>
        <w:rPr>
          <w:rFonts w:ascii="Times New Roman" w:cs="Times New Roman" w:eastAsia="Times New Roman" w:hAnsi="Times New Roman"/>
          <w:b/>
          <w:bCs/>
          <w:sz w:val="24"/>
          <w:szCs w:val="24"/>
        </w:rPr>
        <w:t xml:space="preserve">X. GEOGRAPHIC SEMANTIC CACHE ROUTING</w:t>
      </w:r>
    </w:p>
    <w:p>
      <w:pPr>
        <w:spacing w:line="240" w:lineRule="auto"/>
      </w:pPr>
      <w:r>
        <w:rPr>
          <w:rFonts w:ascii="Times New Roman" w:cs="Times New Roman" w:eastAsia="Times New Roman" w:hAnsi="Times New Roman"/>
          <w:sz w:val="24"/>
          <w:szCs w:val="24"/>
        </w:rPr>
        <w:t xml:space="preserve"/>
      </w:r>
    </w:p>
    <w:p>
      <w:pPr>
        <w:spacing w:after="80" w:before="160" w:line="480" w:lineRule="auto"/>
      </w:pPr>
      <w:r>
        <w:rPr>
          <w:rFonts w:ascii="Times New Roman" w:cs="Times New Roman" w:eastAsia="Times New Roman" w:hAnsi="Times New Roman"/>
          <w:b/>
          <w:bCs/>
          <w:i/>
          <w:iCs/>
          <w:sz w:val="24"/>
          <w:szCs w:val="24"/>
        </w:rPr>
        <w:t xml:space="preserve">A. Motivation</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 structural inefficiency common to all existing network and computing architectures is the repeated computation of identical results. When multiple geographically proximate users issue semantically equivalent queries to a distributed computing system, each query is typically routed to a compute node and processed independently, with no reuse of prior results. This is analogous to a transportation network in which each traveler independently constructs the road rather than using the road that previous travelers have already built.</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BitStar's geographic addressing substrate offers a natural mechanism for addressing this inefficiency. If computation results are cached at geographic nodes, and if incoming queries are routed not to the nearest compute node but to the nearest node that already holds the required result, computation is avoided entirely for repeated or geographically clustered queries. This proposal is termed Geographic Semantic Cache Routing and constitutes the sixth architectural claim of BitStar.</w:t>
      </w:r>
    </w:p>
    <w:p>
      <w:pPr>
        <w:spacing w:after="80" w:before="160" w:line="480" w:lineRule="auto"/>
      </w:pPr>
      <w:r>
        <w:rPr>
          <w:rFonts w:ascii="Times New Roman" w:cs="Times New Roman" w:eastAsia="Times New Roman" w:hAnsi="Times New Roman"/>
          <w:b/>
          <w:bCs/>
          <w:i/>
          <w:iCs/>
          <w:sz w:val="24"/>
          <w:szCs w:val="24"/>
        </w:rPr>
        <w:t xml:space="preserve">B. Mechanism</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proposed mechanism operates as follows. When a node receives a query of type q from a user at geographic position p, it first searches within a defined cache radius r_c for any neighboring node that has previously cached the result for query type q. If such a node exists, the query is routed to the nearest such node and the cached result is returned without recomputation. If no such node exists (a cache miss), the query is routed to the nearest available compute node, the result is computed, and the result is stored in that node's local cache using a least-recently-used eviction policy when the cache is at capacity.</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This mechanism introduces a routing cost tradeoff: the nearest cached node may not be the absolute nearest node, incurring additional hops relative to naive always-compute routing. The primary benefit is avoided computation on cache hits.</w:t>
      </w:r>
    </w:p>
    <w:p>
      <w:pPr>
        <w:spacing w:after="80" w:before="160" w:line="480" w:lineRule="auto"/>
      </w:pPr>
      <w:r>
        <w:rPr>
          <w:rFonts w:ascii="Times New Roman" w:cs="Times New Roman" w:eastAsia="Times New Roman" w:hAnsi="Times New Roman"/>
          <w:b/>
          <w:bCs/>
          <w:i/>
          <w:iCs/>
          <w:sz w:val="24"/>
          <w:szCs w:val="24"/>
        </w:rPr>
        <w:t xml:space="preserve">C. Simulation Study</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 Python-based simulation was conducted to evaluate the proposed mechanism. Simulation parameters: 80 geographic nodes, 1,000 km × 1,000 km coordinate space, 220 km connection radius. Query stream: 600 queries of 40 distinct types generated according to a Zipf distribution with exponent 1.4, reflecting the empirical observation that a small number of query types account for a disproportionate share of requests [5]. Each node holds an LRU cache of capacity 8 results. Cache search radius: 300 km. Random seed fixed at 42 for reproducibility.</w:t>
      </w:r>
    </w:p>
    <w:p>
      <w:pPr>
        <w:spacing w:line="24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220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c>
          <w:tcPr>
            <w:tcW w:type="dxa" w:w="4960"/>
            <w:tcBorders>
              <w:top w:val="single" w:color="555555" w:sz="6"/>
              <w:left w:val="single" w:color="555555" w:sz="6"/>
              <w:bottom w:val="single" w:color="555555" w:sz="6"/>
              <w:right w:val="single" w:color="555555" w:sz="6"/>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Interpretation</w:t>
            </w:r>
          </w:p>
        </w:tc>
      </w:tr>
      <w:tr>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Cache hit rate</w:t>
            </w:r>
          </w:p>
        </w:tc>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71.8%  (431/600)</w:t>
            </w:r>
          </w:p>
        </w:tc>
        <w:tc>
          <w:tcPr>
            <w:tcW w:type="dxa" w:w="49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71.8% of queries served without recomputation</w:t>
            </w:r>
          </w:p>
        </w:tc>
      </w:tr>
      <w:tr>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savings</w:t>
            </w:r>
          </w:p>
        </w:tc>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71.8%</w:t>
            </w:r>
          </w:p>
        </w:tc>
        <w:tc>
          <w:tcPr>
            <w:tcW w:type="dxa" w:w="49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Fraction of computations avoided; primary benefit</w:t>
            </w:r>
          </w:p>
        </w:tc>
      </w:tr>
      <w:tr>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Mean hops (naive)</w:t>
            </w:r>
          </w:p>
        </w:tc>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 hops</w:t>
            </w:r>
          </w:p>
        </w:tc>
        <w:tc>
          <w:tcPr>
            <w:tcW w:type="dxa" w:w="49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Baseline: always route to nearest node</w:t>
            </w:r>
          </w:p>
        </w:tc>
      </w:tr>
      <w:tr>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Mean hops (cache)</w:t>
            </w:r>
          </w:p>
        </w:tc>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1.11 hops</w:t>
            </w:r>
          </w:p>
        </w:tc>
        <w:tc>
          <w:tcPr>
            <w:tcW w:type="dxa" w:w="49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+11.2% overhead: cache node may not be nearest</w:t>
            </w:r>
          </w:p>
        </w:tc>
      </w:tr>
      <w:tr>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Hop overhead</w:t>
            </w:r>
          </w:p>
        </w:tc>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+11.2%</w:t>
            </w:r>
          </w:p>
        </w:tc>
        <w:tc>
          <w:tcPr>
            <w:tcW w:type="dxa" w:w="49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Expected cost of cache-aware routing; see discussion</w:t>
            </w:r>
          </w:p>
        </w:tc>
      </w:tr>
      <w:tr>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Top-5 query share</w:t>
            </w:r>
          </w:p>
        </w:tc>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63.2% of queries</w:t>
            </w:r>
          </w:p>
        </w:tc>
        <w:tc>
          <w:tcPr>
            <w:tcW w:type="dxa" w:w="49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Zipf locality drives cache effectiveness</w:t>
            </w:r>
          </w:p>
        </w:tc>
      </w:tr>
      <w:tr>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load Gini</w:t>
            </w:r>
          </w:p>
        </w:tc>
        <w:tc>
          <w:tcPr>
            <w:tcW w:type="dxa" w:w="220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0.319</w:t>
            </w:r>
          </w:p>
        </w:tc>
        <w:tc>
          <w:tcPr>
            <w:tcW w:type="dxa" w:w="4960"/>
            <w:tcBorders>
              <w:top w:val="single" w:color="AAAAAA" w:sz="6"/>
              <w:left w:val="single" w:color="AAAAAA" w:sz="6"/>
              <w:bottom w:val="single" w:color="AAAAAA" w:sz="6"/>
              <w:right w:val="single" w:color="AAAAAA" w:sz="6"/>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Moderately distributed across 70 of 80 nodes</w:t>
            </w:r>
          </w:p>
        </w:tc>
      </w:tr>
    </w:tbl>
    <w:p>
      <w:pPr>
        <w:spacing w:after="160" w:before="60" w:line="320" w:lineRule="auto"/>
        <w:jc w:val="center"/>
      </w:pPr>
      <w:r>
        <w:rPr>
          <w:rFonts w:ascii="Times New Roman" w:cs="Times New Roman" w:eastAsia="Times New Roman" w:hAnsi="Times New Roman"/>
          <w:i/>
          <w:iCs/>
          <w:sz w:val="20"/>
          <w:szCs w:val="20"/>
        </w:rPr>
        <w:t xml:space="preserve">Table 6. Geographic Semantic Cache Routing simulation results. Python 3.12, 80 nodes, 600 queries, Zipf exponent 1.4, seed=42. Results reflect model behavior under stated assumptions.</w:t>
      </w:r>
    </w:p>
    <w:p>
      <w:pPr>
        <w:spacing w:line="24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simulation results reveal a clear tradeoff. The cache mechanism achieves a 71.8% reduction in required computations, which represents the primary benefit of the proposal: when computation is expensive (as in large-scale AI inference or cryptographic operations), avoiding 71.8% of computations constitutes a substantial efficiency gain. The cost is an 11.2% increase in mean routing hops, arising because the nearest cached node is geometrically farther than the nearest compute node for some fraction of queries.</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This hop overhead is an expected and theoretically predicted consequence of cache-aware routing in geographic networks. It is not a flaw in the mechanism but a quantified tradeoff that system designers must weigh against the compute savings benefit. The relative value of this tradeoff depends on the cost ratio between computation and routing: when computation is significantly more expensive than an additional network hop, the tradeoff favors caching.</w:t>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The simulation is subject to the following limitations. The LRU cache model does not account for cache invalidation when computation results change over time. The Zipf query distribution is an approximation; real query distributions vary by application domain. The cache radius parameter (300 km) is a design variable whose optimal value depends on node density and query locality, and was not optimized in this study. Empirical measurement of cache effectiveness in a deployed system remains as future work.</w:t>
      </w:r>
    </w:p>
    <w:p>
      <w:pPr>
        <w:spacing w:line="24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ACKNOWLEDGMENTS</w:t>
      </w:r>
    </w:p>
    <w:p>
      <w:pPr>
        <w:spacing w:line="480" w:lineRule="auto"/>
        <w:ind w:firstLine="720"/>
        <w:jc w:val="both"/>
      </w:pPr>
      <w:r>
        <w:rPr>
          <w:rFonts w:ascii="Times New Roman" w:cs="Times New Roman" w:eastAsia="Times New Roman" w:hAnsi="Times New Roman"/>
          <w:sz w:val="24"/>
          <w:szCs w:val="24"/>
        </w:rPr>
        <w:t xml:space="preserve">This work was conducted without institutional affiliation or external funding. The author thanks EDA Playground (edaplayground.com) for free access to Icarus Verilog 12.0, and Google Colab for Python simulation resources.</w:t>
      </w:r>
    </w:p>
    <w:p>
      <w:pPr>
        <w:spacing w:line="240" w:lineRule="auto"/>
      </w:pPr>
      <w:r>
        <w:rPr>
          <w:rFonts w:ascii="Times New Roman" w:cs="Times New Roman" w:eastAsia="Times New Roman" w:hAnsi="Times New Roman"/>
          <w:sz w:val="24"/>
          <w:szCs w:val="24"/>
        </w:rPr>
        <w:t xml:space="preserve"/>
      </w:r>
    </w:p>
    <w:p>
      <w:pPr>
        <w:pBdr>
          <w:bottom w:val="single" w:color="000000" w:sz="6" w:space="1"/>
        </w:pBdr>
        <w:spacing w:after="0" w:before="0" w:line="240" w:lineRule="auto"/>
      </w:pPr>
      <w:r>
        <w:t xml:space="preserve"/>
      </w:r>
    </w:p>
    <w:p>
      <w:pPr>
        <w:spacing w:line="24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DISCLOSURES</w:t>
      </w:r>
    </w:p>
    <w:p>
      <w:pPr>
        <w:spacing w:line="480" w:lineRule="auto"/>
        <w:ind w:firstLine="720"/>
        <w:jc w:val="both"/>
      </w:pPr>
      <w:r>
        <w:rPr>
          <w:rFonts w:ascii="Times New Roman" w:cs="Times New Roman" w:eastAsia="Times New Roman" w:hAnsi="Times New Roman"/>
          <w:sz w:val="24"/>
          <w:szCs w:val="24"/>
        </w:rPr>
        <w:t xml:space="preserve">The author declares that there are no conflicts of interest related to this article.</w:t>
      </w:r>
    </w:p>
    <w:p>
      <w:pPr>
        <w:spacing w:line="240" w:lineRule="auto"/>
      </w:pPr>
      <w:r>
        <w:rPr>
          <w:rFonts w:ascii="Times New Roman" w:cs="Times New Roman" w:eastAsia="Times New Roman" w:hAnsi="Times New Roman"/>
          <w:sz w:val="24"/>
          <w:szCs w:val="24"/>
        </w:rPr>
        <w:t xml:space="preserve"/>
      </w:r>
    </w:p>
    <w:p>
      <w:pPr>
        <w:pBdr>
          <w:bottom w:val="single" w:color="000000" w:sz="6" w:space="1"/>
        </w:pBdr>
        <w:spacing w:after="0" w:before="0" w:line="240" w:lineRule="auto"/>
      </w:pPr>
      <w:r>
        <w:t xml:space="preserve"/>
      </w:r>
    </w:p>
    <w:p>
      <w:pPr>
        <w:spacing w:line="24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REFERENCES</w:t>
      </w:r>
    </w:p>
    <w:p>
      <w:pPr>
        <w:spacing w:line="240" w:lineRule="auto"/>
      </w:pPr>
      <w:r>
        <w:rPr>
          <w:rFonts w:ascii="Times New Roman" w:cs="Times New Roman" w:eastAsia="Times New Roman" w:hAnsi="Times New Roman"/>
          <w:sz w:val="24"/>
          <w:szCs w:val="24"/>
        </w:rPr>
        <w:t xml:space="preserve"/>
      </w:r>
    </w:p>
    <w:p>
      <w:pPr>
        <w:spacing w:line="360" w:lineRule="auto"/>
        <w:ind w:left="720" w:hanging="720"/>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Y. Rekhter and T. Li, "A Border Gateway Protocol 4 (BGP-4)," RFC 1771, IETF, Mar. 1995.</w:t>
      </w:r>
    </w:p>
    <w:p>
      <w:pPr>
        <w:spacing w:line="360" w:lineRule="auto"/>
        <w:ind w:left="720" w:hanging="720"/>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B. Karp and H. T. Kung, "GPSR: Greedy perimeter stateless routing for wireless networks," in Proc. ACM MobiCom, Boston, MA, Aug. 2000, pp. 243–254.</w:t>
      </w:r>
    </w:p>
    <w:p>
      <w:pPr>
        <w:spacing w:line="360" w:lineRule="auto"/>
        <w:ind w:left="720" w:hanging="720"/>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H. Kaushal and G. Kaddoum, "Optical communication in space: Challenges and mitigation techniques," IEEE Commun. Surveys Tuts., vol. 19, no. 1, pp. 57–96, 1st Quart. 2017.</w:t>
      </w:r>
    </w:p>
    <w:p>
      <w:pPr>
        <w:spacing w:line="360" w:lineRule="auto"/>
        <w:ind w:left="720" w:hanging="720"/>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V. Cerf et al., "Delay-Tolerant Networking Architecture," RFC 4838, IETF, Apr. 2007.</w:t>
      </w:r>
    </w:p>
    <w:p>
      <w:pPr>
        <w:spacing w:line="360" w:lineRule="auto"/>
        <w:ind w:left="720" w:hanging="720"/>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J. Postel, "Internet Protocol," RFC 791, IETF, Sep. 1981.</w:t>
      </w:r>
    </w:p>
    <w:p>
      <w:pPr>
        <w:spacing w:line="360" w:lineRule="auto"/>
        <w:ind w:left="720" w:hanging="720"/>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S. Bloom, E. Korevaar, J. Schuster, and H. Willebrand, "Understanding the performance of free-space optics," J. Opt. Netw., vol. 2, no. 6, pp. 178–200, Jun. 2003.</w:t>
      </w:r>
    </w:p>
    <w:p>
      <w:pPr>
        <w:spacing w:line="360" w:lineRule="auto"/>
        <w:ind w:left="720" w:hanging="720"/>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S. Farrell and V. Cahill, "Delay-tolerant networking architecture for interplanetary networks," in Proc. IEEE Aerosp. Conf., Big Sky, MT, Mar. 2006.</w:t>
      </w:r>
    </w:p>
    <w:p>
      <w:pPr>
        <w:spacing w:line="360" w:lineRule="auto"/>
        <w:ind w:left="720" w:hanging="720"/>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B. Leong, B. Liskov, and R. Morris, "Geographic routing without planarization," in Proc. NSDI, San Jose, CA, May 2006.</w:t>
      </w:r>
    </w:p>
    <w:p>
      <w:pPr>
        <w:spacing w:line="240" w:lineRule="auto"/>
      </w:pPr>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2026-06-06T14:29:35.145Z</dcterms:created>
  <dcterms:modified xsi:type="dcterms:W3CDTF">2026-06-06T14:29:35.159Z</dcterms:modified>
</cp:coreProperties>
</file>

<file path=docProps/custom.xml><?xml version="1.0" encoding="utf-8"?>
<Properties xmlns="http://schemas.openxmlformats.org/officeDocument/2006/custom-properties" xmlns:vt="http://schemas.openxmlformats.org/officeDocument/2006/docPropsVTypes"/>
</file>